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5D4037" w:val="clear"/>
            <w:tcMar>
              <w:top w:type="dxa" w:w="200"/>
              <w:left w:type="dxa" w:w="220"/>
              <w:bottom w:type="dxa" w:w="200"/>
              <w:right w:type="dxa" w:w="220"/>
            </w:tcMar>
          </w:tcPr>
          <w:p>
            <w:pPr>
              <w:spacing w:after="60" w:before="0"/>
              <w:jc w:val="center"/>
            </w:pPr>
            <w:r>
              <w:rPr>
                <w:rFonts w:ascii="Arial" w:cs="Arial" w:eastAsia="Arial" w:hAnsi="Arial"/>
                <w:b/>
                <w:bCs/>
                <w:color w:val="FFFFFF"/>
                <w:sz w:val="16"/>
                <w:szCs w:val="16"/>
              </w:rPr>
              <w:t xml:space="preserve">LAHMP — Indicator Group Profile</w:t>
            </w:r>
          </w:p>
          <w:p>
            <w:pPr>
              <w:spacing w:after="80" w:before="0"/>
              <w:jc w:val="center"/>
            </w:pPr>
            <w:r>
              <w:rPr>
                <w:rFonts w:ascii="Arial" w:cs="Arial" w:eastAsia="Arial" w:hAnsi="Arial"/>
                <w:b/>
                <w:bCs/>
                <w:color w:val="FFFFFF"/>
                <w:sz w:val="26"/>
                <w:szCs w:val="26"/>
              </w:rPr>
              <w:t xml:space="preserve">Profile 15 — Butterflies and moths</w:t>
            </w:r>
          </w:p>
          <w:p>
            <w:pPr>
              <w:spacing w:after="80" w:before="0"/>
              <w:jc w:val="center"/>
            </w:pPr>
            <w:r>
              <w:rPr>
                <w:rFonts w:ascii="Arial" w:cs="Arial" w:eastAsia="Arial" w:hAnsi="Arial"/>
                <w:b w:val="false"/>
                <w:bCs w:val="false"/>
                <w:color w:val="FFFFFF"/>
                <w:sz w:val="16"/>
                <w:szCs w:val="16"/>
              </w:rPr>
              <w:t xml:space="preserve">Category: Aboveground invertebrate communities  |  Tier: Universal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60" w:before="0"/>
              <w:jc w:val="left"/>
            </w:pPr>
            <w:r>
              <w:rPr>
                <w:rFonts w:ascii="Arial" w:cs="Arial" w:eastAsia="Arial" w:hAnsi="Arial"/>
                <w:b/>
                <w:bCs/>
                <w:color w:val="C0392B"/>
                <w:sz w:val="16"/>
                <w:szCs w:val="16"/>
              </w:rPr>
              <w:t xml:space="preserve">DRAFT — Unvalidated</w:t>
            </w:r>
          </w:p>
          <w:p>
            <w:pPr>
              <w:spacing w:after="80" w:before="0"/>
              <w:jc w:val="left"/>
            </w:pPr>
            <w:r>
              <w:rPr>
                <w:rFonts w:ascii="Arial" w:cs="Arial" w:eastAsia="Arial" w:hAnsi="Arial"/>
                <w:b w:val="false"/>
                <w:bCs w:val="false"/>
                <w:color w:val="000000"/>
                <w:sz w:val="16"/>
                <w:szCs w:val="16"/>
              </w:rPr>
              <w:t xml:space="preserve">Content based on peer-reviewed literature as of April 2026. Requires validation by lepidopterists and conservation ecologists before platform deployment.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VALIDATION STATUS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Status</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DRAFT — Unvalidated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initial draft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 2026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last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Reviewer name(s)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Notes for reviewers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1. Butterflies vs moths split — this profile covers both butterflies and day-flying moths at Level 1 (UKBMS-style transect), and extends to night-flying moths at Level 2 via light trapping. Reviewer should confirm whether this is the right scope, noting that night moth monitoring requires specialist equipment and skills that may not be available in all deployment contexts. An alternative would be restricting to butterflies at Level 1 and 2, with moths only at Level 3.</w:t>
            </w:r>
          </w:p>
          <w:p>
            <w:pPr>
              <w:spacing w:after="60" w:before="0"/>
              <w:jc w:val="left"/>
            </w:pPr>
            <w:r>
              <w:rPr>
                <w:rFonts w:ascii="Arial" w:cs="Arial" w:eastAsia="Arial" w:hAnsi="Arial"/>
                <w:b w:val="false"/>
                <w:bCs w:val="false"/>
                <w:color w:val="000000"/>
                <w:sz w:val="16"/>
                <w:szCs w:val="16"/>
              </w:rPr>
              <w:t xml:space="preserve">2. UKBMS methodology geographic applicability — the UK Butterfly Monitoring Scheme transect methodology is used as the Level 1 template [geo]. Reviewer should confirm whether the European Butterfly Monitoring Scheme (eBMS) methodology is equivalent and whether regional adaptations are needed for non-European deployment contexts, noting that butterfly taxonomy and community composition differ substantially by biome.</w:t>
            </w:r>
          </w:p>
          <w:p>
            <w:pPr>
              <w:spacing w:after="60" w:before="0"/>
              <w:jc w:val="left"/>
            </w:pPr>
            <w:r>
              <w:rPr>
                <w:rFonts w:ascii="Arial" w:cs="Arial" w:eastAsia="Arial" w:hAnsi="Arial"/>
                <w:b w:val="false"/>
                <w:bCs w:val="false"/>
                <w:color w:val="000000"/>
                <w:sz w:val="16"/>
                <w:szCs w:val="16"/>
              </w:rPr>
              <w:t xml:space="preserve">3. Farmland butterfly indicator species list — the species listed as farmland butterfly indicators are temperate European [geo]. Reviewer must confirm appropriate indicator species for other deployment regions.</w:t>
            </w:r>
          </w:p>
          <w:p>
            <w:pPr>
              <w:spacing w:after="80" w:before="0"/>
              <w:jc w:val="left"/>
            </w:pPr>
            <w:r>
              <w:rPr>
                <w:rFonts w:ascii="Arial" w:cs="Arial" w:eastAsia="Arial" w:hAnsi="Arial"/>
                <w:b w:val="false"/>
                <w:bCs w:val="false"/>
                <w:color w:val="000000"/>
                <w:sz w:val="16"/>
                <w:szCs w:val="16"/>
              </w:rPr>
              <w:t xml:space="preserve">4. Larval host plant connection — the profile notes that butterfly species richness is limited by larval host plant availability. Reviewer should confirm whether this connection to Profile 28 (Grassland) and Profile 29 (Field margins) vegetation data is made explicit enough in the Linkage C section.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15</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Butterflies and moths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Category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Aboveground invertebrate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Universal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applicable — Lepidoptera are present in all terrestrial agricultural systems globally.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None — however, butterfly transect monitoring is most ecologically meaningful where some flowering vegetation is present. In fully enclosed, bare-soil, or permanently flooded landscapes, expected outcome is confirmed absence.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Taxonomic 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Order: Lepidoptera. Two monitoring groups with different accessibility and methodology: Butterflies (superfamily Papilionoidea and Hesperiidae — 'true' butterflies) — diurnal, hold wings closed or open at rest, identifiable by most observers with photographic guide; ~18,000 species globally; ~500 species in Europe [geo]. Day-flying moths — diurnal moths identifiable by transect survey alongside butterflies; includes many ecologically significant species (burnets, foresters, chimney sweeper [geo]). Night-flying moths — require light trapping; monitored at Level 2 and above; extremely species-rich (~160,000+ species globally); critical food source for bats and nocturnal birds. Ecological monitoring focuses on: wider countryside species (generalists present across managed farmland), farmland specialist species (declining with agricultural intensification), and larval host plant guilds (grass-feeding vs forb-feeding vs woody-feeding caterpillars).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monitoring 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Ecological indicator — butterfly species richness, farmland butterfly abundance index, and the presence of specialist vs generalist species ratio reflect habitat quality, flowering plant resource diversity, larval host plant availability, and landscape connectivity. Food web indicator — caterpillar abundance on field margin vegetation is a primary food source for farmland bird chicks, making Lepidoptera larval biomass a critical link in the bird population food web.</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count-based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Functional role — plain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Butterflies are among the most monitored and best understood invertebrate groups in agricultural landscapes — decades of standardised UK Butterfly Monitoring Scheme data have produced robust national population indices that now serve as primary biodiversity trend indicators for agricultural policy. At the farm scale, butterfly species richness in a 15-minute transect walk is one of the most accessible and ecologically informative biodiversity measurements available. The presence of specialist grassland species (meadow brown, marbled white, small blue in the UK context [geo]) in field margin monitoring sites confirms that long-standing habitat quality supports the most demanding members of the community. Their absence from apparently suitable habitat signals either connectivity failure or management deficiency. Moths add a parallel story at night: the abundance and diversity of grass-feeding moth caterpillars in field margins is the primary determinant of farmland bird chick survival in many species.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EFEB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7"/>
                <w:szCs w:val="17"/>
              </w:rPr>
              <w:t xml:space="preserve">Butterflies have three properties that make them exceptionally valuable ecological indicators: they are highly visible and identifiable by non-specialists; they are sensitive to management changes at both habitat and landscape scale; and they have some of the longest continuous monitoring datasets in agricultural ecology. The UK Butterfly Monitoring Scheme, running since 1976, provides population trend data for over 50 species across thousands of transects, allowing individual farm-scale monitoring to be interpreted in national and regional context. This positions butterfly monitoring uniquely among invertebrate groups: the farm-level data has meaning beyond the individual monitoring programme because it contributes to a statistically robust national picture. Moths extend the ecological story to nocturnal communities, and caterpillar biomass in particular connects Lepidoptera monitoring directly to farmland bird population trends in a chain of evidence that is unusually clear and well-documented.</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stage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Medium (Stage 2–3, Year 2–7). Butterfly abundance at transects responds within 2–3 seasons of management improvement; specialist species richness requires 4–7 years of consistent habitat quality.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Response timescale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Fast (1–2 seasons): Generalist butterfly species (common whites, meadow browns, small tortoiseshell) increasing abundance at improved habitat within 1–2 seasons of wildflower establishment or delayed cutting (Pollard &amp; Yates 1993).</w:t>
            </w:r>
          </w:p>
          <w:p>
            <w:pPr>
              <w:spacing w:after="60" w:before="0"/>
              <w:jc w:val="left"/>
            </w:pPr>
            <w:r>
              <w:rPr>
                <w:rFonts w:ascii="Arial" w:cs="Arial" w:eastAsia="Arial" w:hAnsi="Arial"/>
                <w:b w:val="false"/>
                <w:bCs w:val="false"/>
                <w:color w:val="000000"/>
                <w:sz w:val="17"/>
                <w:szCs w:val="17"/>
              </w:rPr>
              <w:t xml:space="preserve">Medium (3–5 years): Specialist species appearing in managed margins as habitat quality accumulates — particularly species requiring specific larval host plants that take 2–4 seasons to establish from seed (Dover &amp; Settele 2009).</w:t>
            </w:r>
          </w:p>
          <w:p>
            <w:pPr>
              <w:spacing w:after="60" w:before="0"/>
              <w:jc w:val="left"/>
            </w:pPr>
            <w:r>
              <w:rPr>
                <w:rFonts w:ascii="Arial" w:cs="Arial" w:eastAsia="Arial" w:hAnsi="Arial"/>
                <w:b w:val="false"/>
                <w:bCs w:val="false"/>
                <w:color w:val="000000"/>
                <w:sz w:val="17"/>
                <w:szCs w:val="17"/>
              </w:rPr>
              <w:t xml:space="preserve">Slow (5–10 years): Full community recovery including rare specialist species that require landscape-scale connectivity — recolonisation from source populations depends on corridor quality and distance (Dover &amp; Settele 2009).</w:t>
            </w:r>
          </w:p>
          <w:p>
            <w:pPr>
              <w:spacing w:after="80" w:before="0"/>
              <w:jc w:val="left"/>
            </w:pPr>
            <w:r>
              <w:rPr>
                <w:rFonts w:ascii="Arial" w:cs="Arial" w:eastAsia="Arial" w:hAnsi="Arial"/>
                <w:b w:val="false"/>
                <w:bCs w:val="false"/>
                <w:color w:val="000000"/>
                <w:sz w:val="16"/>
                <w:szCs w:val="16"/>
              </w:rPr>
              <w:t xml:space="preserve">[geo] Timescales and species from temperate European context. Tropical Lepidoptera communities are taxonomically distinct and require separate calibration.</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1 — ECOLOGICAL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Static content — validated by lepidopterists.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A — STEP 1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A1 — Block 4 pressures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4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Pressure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 and evidence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herbicide application — loss of larval host plants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Herbicide elimination of larval host plants from field margins is the primary driver of agricultural butterfly community decline. Each butterfly species requires specific plant genera or families for egg-laying and larval development — loss of these plants eliminates reproductive success regardless of adult foraging resource availability (Van Swaay &amp; Warren 1999; Dover &amp; Settele 2009).</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Overextraction of biomass — mowing timing</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Mowing field margins and set-aside strips during the larval season directly kills caterpillars in situ. Many butterfly species overwinter as larvae in sward vegetation — late winter and early spring mowing eliminates overwintering individuals before adults can emerge. Summer mowing before the primary flight period removes floral resources and cuts larvae that have hatched (Fox 2013; Pollard &amp; Yates 1993).</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pesticide application — insecticides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Direct toxicity to caterpillars from foliar insecticide applications in crops and margin vegetation. Systemic insecticides in herbaceous vegetation kill caterpillars without direct application. Indirect effects through elimination of larval host plant insect communities that caterpillars depend on for primary production (Fox 2013).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synthetic fertiliser — nitrogen enrichment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nitrogen enrichment in field margins drives coarse grass dominance over forb species — eliminating the larval host plant diversity that specialist grassland butterflies require. The loss of calcareous and neutral grassland forb communities through nitrogen enrichment is the primary driver of habitat specialist butterfly decline in temperate Europe (Van Swaay &amp; Warren 1999). [geo]</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Monoculture / loss of crop diversity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Loss of diverse crop rotations and the semi-natural habitats associated with them reduces landscape-scale larval host plant diversity. Monoculture landscapes with uniform field boundaries provide insufficient larval host plant diversity to sustain specialist butterfly communities (Dover &amp; Settele 2009).</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Landscape fragmentation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Many butterfly species have limited dispersal capacity and cannot recolonise isolated habitat patches from source populations. Landscape fragmentation — through road building, drainage, and field amalgamation — creates isolation that prevents recovery even when habitat quality improves locally (Dover &amp; Settele 2009).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A2 — Block 5 challenges this group signals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5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Challenge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Signal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Overall biodiversity decline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The farmland butterfly abundance index — total butterfly abundance per standardised transect — is one of the primary EU and national-level biodiversity indicators for agricultural landscape quality. Declining index values directly signal overall biodiversity decline in the agricultural landscape, with strong statistical relationships to other indicators established across decades of monitoring (Van Swaay &amp; Warren 1999; Pollard &amp; Yates 1993).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Vegetation diversity loss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The ratio of specialist to generalist butterfly species in the monitoring community is a direct biological signal of vegetation diversity quality. Habitat specialist species require diverse sward composition with specific host plants; their presence confirms that vegetation diversity is adequate; their absence signals progressive simplification (Dover &amp; Settele 2009).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Habitat connectivity loss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Butterfly species richness at monitoring sites is sensitive to landscape connectivity — species richness in isolated field margins is consistently lower than in connected landscapes. The presence or absence of species known to be poor dispersers (many Polyommatinae, Satyrinae species [geo]) in apparently suitable habitat signals connectivity quality (Dover &amp; Settele 2009).</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Overall biodiversity decline — bird food chain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Caterpillar (Lepidoptera larval) biomass in field margins and grasslands is the primary food source for farmland bird chicks during the critical first weeks of life. Declining Lepidoptera abundance signals declining bird chick food resource — a chain of evidence connecting butterfly transect counts to farmland bird population trends documented across multiple long-term studies (Fox 2013).</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A3 — Block 6 ecosystem services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6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Service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Contribution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Pollination services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Adult Lepidoptera are significant pollinators for many wild plant species — particularly night-blooming plants pollinated by moths and long-tubular flowers accessed by butterfly probosces. In agricultural landscapes their pollination contribution to crops is modest but their role in sustaining wild plant community reproduction in field margins and semi-natural habitats is ecologically important.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7</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Wild animals — birds and bats sustained by Lepidoptera larval food chain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Caterpillar biomass in field margins, set-aside, and grasslands is the primary protein food source for most farmland bird chick species during the critical first weeks of life. This food chain connection between agricultural butterfly and moth community quality and farmland bird population trends is among the best-documented ecological relationships in UK agricultural ecology (Fox 2013).</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Education, scientific, and research services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Butterfly communities in agricultural landscapes represent one of the most accessible and emotionally engaging forms of biodiversity indicator for farmers, landowners, and the public. The UKBMS has produced some of the most long-term robust biodiversity trend datasets in existence — the cultural and scientific value of this monitoring heritage is substantial.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A4 — Relevant EFGs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Derived semi-natural grasslands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butterfly species richness and most specialist species — reference community for recovery trajectory. Traditional hay meadow and calcareous grassland contexts support the highest farmland butterfly diversity.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Sown pastures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relevance — permanent grassland with diverse sward supports good butterfly communities.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Annual croplands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primarily through field margin habitat — arable field margins are the primary butterfly monitoring context in intensive arable landscapes.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Universal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All terrestrial EFGs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Present globally in all managed systems with some vegetation.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A5 — Relevant IPCC land use categories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IPCC Land Use Category</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Cropland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Field margin monitoring in arable landscapes — specialist species as habitat quality indicators.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Grassland</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 highest butterfly biodiversity in permanent grassland contexts.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A6 — Habitat context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Context</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Lepidoptera community 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Calcareous and neutral grassland field margins (temperate Europe [geo])</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butterfly species richness — specialist Satyrinae (meadow brown, marbled white, ringlet) and Polyommatinae (common blue, small blue) dependent on specific grass and forb host plants. Reference community for recovery assessment.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Flower-rich field margins with umbellifers and composites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Foraging habitat for many butterfly species — Sussex emerald, painted lady, red admiral, small tortoiseshell, comma visible at flowers. Adult resource is separate from larval requirement — monitoring must consider both foraging and breeding habitat.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Permanent uncut sward tussocks (field margin base)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larval overwintering habitat for many grassland species — particularly grass-feeding Satyrinae. Maintaining uncut tussock structure in field margins through the winter into spring is critical for larval survival of this guild.</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A7 — Crop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Arable with diverse field margins (clover leys, wildflower strips)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Most productive monitoring context for detecting management improvement — butterfly abundance and species richness in field margin transects responds measurably to wildflower strip establishment and delayed cutting within 2–3 seasons.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Traditional mixed farming (livestock + arable rotation)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Historical association — mixed farming systems with diverse crop rotations, permanent grassland, and intact hedgerow networks support the richest farmland butterfly communities in temperate Europe. Recovery programmes target this landscape composition.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Hay meadow grassland (Profile 28 context)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The most species-rich butterfly habitat in temperate agricultural landscapes — hay meadow management (late cutting, low fertiliser input) is directly verified through specialist butterfly species appearance and abundance (Pollard &amp; Yates 1993).</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A8 — Abiotic precursor linkages (→ ILM col 28)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LAHMP Abiotic ID</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Indicator</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relationship</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Available nitrogen (nitrate-N)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Declining available nitrogen in field margin soil is the primary abiotic precursor for larval host plant community recovery — the same mechanism documented in Profiles 28 and 29 (Grassland and Field margins). As nitrogen falls, competitive grasses yield to diverse forbs including larval host plants of specialist butterfly species. Nitrogen decline should precede host plant establishment by 1–3 seasons and measurable specialist butterfly species appearance by 3–7 years (Van Swaay &amp; Warren 1999).</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Percentage ground cover — structural diversity including tussock component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Ground cover structural diversity — specifically the presence of tussock, varied sward height, and bare soil patches — is the abiotic habitat proxy for butterfly community quality. Diverse sward structure supports different species that require different micro-habitats for oviposition, thermoregulation, and larval development. Structural diversity improvement under reduced management intensity precedes specialist butterfly species appearances by 2–4 seasons.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B — PRACTICE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B1 — Practices that benefit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Perennial crops and permanent vegetation integration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Permanent uncut sward provides the multi-year stable habitat required for specialist grassland butterfly populations — annual disturbance resets successional processes that specialist species require years to colonise.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Agroforestry integration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Woodland edge conditions created by agroforestry systems support woodland-edge butterfly species (speckled wood, white admiral, purple hairstreak [geo]) and provide caterpillar-rich habitats for farmland bird chick feeding.</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P08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Diversified crop rotation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Diverse rotations with spring crops and varied break crops create the temporal diversity of bare soil, establishing vegetation, and maturing sward that supports different butterfly species at different successional stages.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B2 — Practices this group primarily verifies (→ ILM col 19 + col 29)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000"/>
        <w:gridCol w:w="31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Causal mechanism verified</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direction and timescale (ILM col 29)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Delay first cut in flowering areas (margin cutting timing)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Butterfly abundance and generalist species richness in field margin transects is among the most responsive and interpretable verification signals for delayed cutting practice. Preventing larval mortality and allowing adult foraging through peak flight periods — May to August in temperate Europe [geo] — produces measurable abundance increases in the first season of practice change (Pollard &amp; Yates 1993).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Generalist butterfly abundance (meadow brown, common whites, small tortoiseshell) measurably higher in the first season of delayed cutting; specialist species beginning to appear within 3–5 seasons as suitable larval host plant habitat develops under consistent management; total transect abundance index increasing progressively over 5 years.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P23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Wildflower and herb seeding — larval host plant inclusion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Butterfly species richness and abundance at seeded wildflower strips increases measurably within 2–3 seasons of establishment — both from adult foraging on flowers and from larval colonisation of newly established host plants. The specific species that appear depends on which host plants are included in the seed mix (Dover &amp; Settele 2009).</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Generalist butterfly forager abundance increasing from baseline within 1–2 seasons of flower establishment; host-plant specialist species appearing within 3–7 seasons as host plant populations establish and larval populations build; species richness increase correlates with host plant diversity in the seed mix — this is a practice-specific verification with high interpretability.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Buffer strip establishment (width and botanical quality)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Butterfly species richness per buffer strip transect section is the most spatially precise verification metric for buffer strip quality — wider strips with greater botanical diversity consistently support higher species richness than narrow or botanically impoverished strips (Dover &amp; Settele 2009; Pollard &amp; Yates 1993).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Generalist species abundance increasing within 1–2 seasons of buffer strip establishment where some floral resource is present; specialist species appearing within 4–7 seasons as strip habitat matures; species richness approaching reference community (semi-natural grassland equivalents) within 7–10 years of consistent management.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C — INDICATOR GROUP INTERACTIONS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Connected Group</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Direction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Ecological 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20 — Farmland birds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Lepidoptera caterpillar biomass in field margins, set-aside, and grasslands is the primary protein food source for farmland bird chicks in the critical first weeks of life. Butterfly and moth transect monitoring provides a proxy for total caterpillar biomass — declining Lepidoptera abundance signals declining bird chick food resource. The two profiles are best interpreted jointly: farmland bird population trends and Lepidoptera monitoring trends are ecologically coupled and should be reported together in the field card narrative.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12 — Parasitic wasps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Lepidoptera larvae are the primary host of many Ichneumonidae and Braconidae parasitic wasp species. A diverse butterfly and moth community sustains a diverse parasitoid community, and vice versa — parasitoid diversity is positively correlated with host Lepidoptera diversity across landscape gradients. Monitoring both profiles provides a more complete picture of the agricultural food web than either alone.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28 — Grassland and meadow plant communities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Butterfly community composition is directly limited by larval host plant availability — the same plant species whose diversity is tracked in Profile 28. Increasing grassland forb diversity (tracked by Profile 28) directly enables increasing butterfly specialist species richness (tracked by this profile). These two profiles provide the most tightly coupled ecological monitoring relationship in the framework: the vegetation profile predicts the butterfly community outcome within 3–5 years.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2 — PROTOCOL MENU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Dynamic content — validated by lepidopterists and butterfly monitoring specialists.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E3F" w:sz="1"/>
              <w:left w:val="single" w:color="6B9E3F" w:sz="1"/>
              <w:bottom w:val="single" w:color="6B9E3F" w:sz="1"/>
              <w:right w:val="single" w:color="6B9E3F" w:sz="1"/>
            </w:tcBorders>
            <w:shd w:fill="6B9E3F"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 or farmer</w:t>
            </w:r>
          </w:p>
          <w:p>
            <w:pPr>
              <w:spacing w:after="80" w:before="0"/>
              <w:jc w:val="left"/>
            </w:pPr>
            <w:r>
              <w:rPr>
                <w:rFonts w:ascii="Arial" w:cs="Arial" w:eastAsia="Arial" w:hAnsi="Arial"/>
                <w:b w:val="false"/>
                <w:bCs w:val="false"/>
                <w:color w:val="FFFFFF"/>
                <w:sz w:val="16"/>
                <w:szCs w:val="16"/>
              </w:rPr>
              <w:t xml:space="preserve">Standardised butterfly transect — fixed 15-minute slow walk recording all butterflies and day-flying moths within a 5m corridor. Adapted from the UK Butterfly Monitoring Scheme transect methodology.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Standardised butterfly transect — community observer count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Total butterfly abundance per transect section; butterfly species count using photographic identification guide; presence of specialist farmland indicator species; day-flying moth count (where present and identifiable).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1. Establish a fixed 150–300m monitoring transect divided into 3–6 sections of 50m each through the monitoring area (field margin, grassland, wildflower strip, hedgerow edge). Mark section boundaries with GPS in Year 1.</w:t>
            </w:r>
          </w:p>
          <w:p>
            <w:pPr>
              <w:spacing w:after="40" w:before="0"/>
              <w:jc w:val="left"/>
            </w:pPr>
            <w:r>
              <w:rPr>
                <w:rFonts w:ascii="Arial" w:cs="Arial" w:eastAsia="Arial" w:hAnsi="Arial"/>
                <w:b w:val="false"/>
                <w:bCs w:val="false"/>
                <w:color w:val="000000"/>
                <w:sz w:val="17"/>
                <w:szCs w:val="17"/>
              </w:rPr>
              <w:t xml:space="preserve">2. Walk the transect at a slow, steady pace — approximately 15 minutes per section. Record all butterflies seen within a 5m wide corridor (2.5m either side of the walking line) and up to 5m ahead. Record every individual seen — do not double-count the same individual.</w:t>
            </w:r>
          </w:p>
          <w:p>
            <w:pPr>
              <w:spacing w:after="40" w:before="0"/>
              <w:jc w:val="left"/>
            </w:pPr>
            <w:r>
              <w:rPr>
                <w:rFonts w:ascii="Arial" w:cs="Arial" w:eastAsia="Arial" w:hAnsi="Arial"/>
                <w:b w:val="false"/>
                <w:bCs w:val="false"/>
                <w:color w:val="000000"/>
                <w:sz w:val="17"/>
                <w:szCs w:val="17"/>
              </w:rPr>
              <w:t xml:space="preserve">3. Record each individual: (a) identified species name (using photographic guide); (b) 'butterfly — unidentified' if species is uncertain; (c) 'day-flying moth' if clearly a moth rather than a butterfly (most moths rest with wings flat; most butterflies rest with wings together or spread flat). Note approximate colour and pattern for uncertain individuals.</w:t>
            </w:r>
          </w:p>
          <w:p>
            <w:pPr>
              <w:spacing w:after="80" w:before="0"/>
              <w:jc w:val="left"/>
            </w:pPr>
            <w:r>
              <w:rPr>
                <w:rFonts w:ascii="Arial" w:cs="Arial" w:eastAsia="Arial" w:hAnsi="Arial"/>
                <w:b w:val="false"/>
                <w:bCs w:val="false"/>
                <w:color w:val="000000"/>
                <w:sz w:val="17"/>
                <w:szCs w:val="17"/>
              </w:rPr>
              <w:t xml:space="preserve">4. Survey conditions must be: air temperature &gt;13°C [~]; not raining; wind speed calm to light breeze. Record conditions at survey start. Do not complete surveys in unsuitable conditions — missing a visit due to poor weather is preferable to a zero count in conditions that suppress butterfly activity.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Photographic butterfly identification guide (regional — Field Studies Council guides for UK [geo]; regional equivalents for other contexts); GPS; field datasheet; camera.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Community observer or farmer. Butterfly identification using a photographic guide is achievable for common species after a 1-hour briefing. Many farmland butterfly species are immediately recognisable: large white (white with black wing tips), small tortoiseshell (orange with blue-spotted wing border), peacock (eye-spot pattern), red admiral (red bands on black wings). Species count improves with experience across years.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to early summer (May–July in temperate Europe) — peak flight season for most farmland species. Survey on warm, calm, sunny days only.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summer (August–September) — second brood species and migrants. Equally important in many farming systems.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15 minutes per 50m section; 45–90 minutes for a 150–300m transect. Add 15–20 minutes for condition assessment and photography.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4 — at minimum one per month from May to August in temperate Europe. More visits improve statistical reliability of abundance estimates.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abundance trends; 5 years for specialist species appearance.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Total butterfly count per 50m section per visit (primary metric for abundance index); species list per visit; presence/absence of farmland specialist indicator species [geo — regional list required]; farmland butterfly abundance index (sum of counts across all visits and sections).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Resting butterfly photograph: with wings open from above, or wings closed from the side — both are useful for identification. (2) In-flight silhouette: useful for flight pattern and wing shape characters even when colour is not clear. (3) Section habitat photographs: one photograph per 50m section from a fixed point showing habitat character for context.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Common identification errors — Level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Most common error: double-counting the same individual moving along the transect. Walk at a steady pace and only count individuals entering the corridor ahead of you or to the side — do not go back to recount individuals already seen and recorded. If in doubt, count once and move on.</w:t>
            </w:r>
          </w:p>
          <w:p>
            <w:pPr>
              <w:spacing w:after="60" w:before="0"/>
              <w:jc w:val="left"/>
            </w:pPr>
            <w:r>
              <w:rPr>
                <w:rFonts w:ascii="Arial" w:cs="Arial" w:eastAsia="Arial" w:hAnsi="Arial"/>
                <w:b w:val="false"/>
                <w:bCs w:val="false"/>
                <w:color w:val="000000"/>
                <w:sz w:val="16"/>
                <w:szCs w:val="16"/>
              </w:rPr>
              <w:t xml:space="preserve">Second error: counting moths as butterflies. Most moths hold wings flat against the surface when resting; most butterflies hold wings together above the body or flat open. In flight, moths tend to have a faster, more erratic flight pattern. If uncertain whether an individual is a butterfly or moth, record as 'butterfly/moth — uncertain' and photograph for later determination.</w:t>
            </w:r>
          </w:p>
          <w:p>
            <w:pPr>
              <w:spacing w:after="80" w:before="0"/>
              <w:jc w:val="left"/>
            </w:pPr>
            <w:r>
              <w:rPr>
                <w:rFonts w:ascii="Arial" w:cs="Arial" w:eastAsia="Arial" w:hAnsi="Arial"/>
                <w:b w:val="false"/>
                <w:bCs w:val="false"/>
                <w:color w:val="000000"/>
                <w:sz w:val="16"/>
                <w:szCs w:val="16"/>
              </w:rPr>
              <w:t xml:space="preserve">Third error: surveying in unsuitable conditions. Zero butterfly counts in poor weather (cold, windy, overcast) are not ecologically meaningful — they reflect weather, not butterfly community health. Always note conditions and only include surveys meeting the minimum conditions criteria in trend analysis.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Specialist farmland indicator species present (e.g. meadow brown, common blue, marbled white in UK contexts [geo]): habitat quality confirmed — specialist species requirements are met. This is the most ecologically significant Level 1 monitoring outcome. Connect to Challenge #18 (Overall biodiversity decline) resolution and B2 practice verification.</w:t>
            </w:r>
          </w:p>
          <w:p>
            <w:pPr>
              <w:spacing w:after="50" w:before="0"/>
              <w:jc w:val="left"/>
            </w:pPr>
            <w:r>
              <w:rPr>
                <w:rFonts w:ascii="Arial" w:cs="Arial" w:eastAsia="Arial" w:hAnsi="Arial"/>
                <w:b w:val="false"/>
                <w:bCs w:val="false"/>
                <w:color w:val="000000"/>
                <w:sz w:val="17"/>
                <w:szCs w:val="17"/>
              </w:rPr>
              <w:t xml:space="preserve">Generalist abundance increasing across consecutive same-season surveys: positive trajectory — management improvement producing early community response. Connect to B2 practices P14 (delayed cutting) and P23 (wildflower seeding) verification.</w:t>
            </w:r>
          </w:p>
          <w:p>
            <w:pPr>
              <w:spacing w:after="80" w:before="0"/>
              <w:jc w:val="left"/>
            </w:pPr>
            <w:r>
              <w:rPr>
                <w:rFonts w:ascii="Arial" w:cs="Arial" w:eastAsia="Arial" w:hAnsi="Arial"/>
                <w:b w:val="false"/>
                <w:bCs w:val="false"/>
                <w:color w:val="000000"/>
                <w:sz w:val="16"/>
                <w:szCs w:val="16"/>
              </w:rPr>
              <w:t xml:space="preserve">Zero butterflies across all visits on warm sunny days: severely impoverished community — investigate habitat quality (larval host plants present?), connectivity (adjacent habitats with source populations?), and pesticide history.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Agricultural management context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Record at every survey visit: (1) Condition of field margin vegetation (cut recently / uncut / flowering); (2) Last cutting date and height if applicable; (3) Last insecticide application in adjacent crop; (4) Weather conditions at survey start (temperature, wind, cloud cover).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Butterfly surveying requires slow, careful walking — be aware of uneven ground in rough grassland. Coordinate access with land manager. Some field margins adjacent to busy roads — road traffic awareness essential.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UK Butterfly Monitoring Scheme (UKBMS) transect methodology — Pollard &amp; Yates (1993); European Butterfly Monitoring Scheme (eBMS) [geo — European context].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https://ukbms.org/uk-butterfly-monitoring-scheme-methodology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2 — Trained field technician</w:t>
            </w:r>
          </w:p>
          <w:p>
            <w:pPr>
              <w:spacing w:after="80" w:before="0"/>
              <w:jc w:val="left"/>
            </w:pPr>
            <w:r>
              <w:rPr>
                <w:rFonts w:ascii="Arial" w:cs="Arial" w:eastAsia="Arial" w:hAnsi="Arial"/>
                <w:b w:val="false"/>
                <w:bCs w:val="false"/>
                <w:color w:val="FFFFFF"/>
                <w:sz w:val="16"/>
                <w:szCs w:val="16"/>
              </w:rPr>
              <w:t xml:space="preserve">Full Pollard walk butterfly transect + day-flying moth identification + night moth light trapping. Provides complete Lepidoptera community assessment across diurnal and nocturnal components.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 Lepidoptera community assessment — butterfly transect with day and night moth survey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Species-level butterfly count from standardised transect; day-flying moth species list; night moth species richness and abundance from light trap; farmland butterfly index; larval host plant community characterisation.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Butterfly transect: as per Level 1 but with species-level identification required for all individuals. Record all as named species or 'unidentified — photograph for later determination'. Target minimum 8 visits per season (April–September in temperate Europe).</w:t>
            </w:r>
          </w:p>
          <w:p>
            <w:pPr>
              <w:spacing w:after="40" w:before="0"/>
              <w:jc w:val="left"/>
            </w:pPr>
            <w:r>
              <w:rPr>
                <w:rFonts w:ascii="Arial" w:cs="Arial" w:eastAsia="Arial" w:hAnsi="Arial"/>
                <w:b w:val="false"/>
                <w:bCs w:val="false"/>
                <w:color w:val="000000"/>
                <w:sz w:val="17"/>
                <w:szCs w:val="17"/>
              </w:rPr>
              <w:t xml:space="preserve">Day-flying moth survey: during the same transect walk, also note and photograph any day-flying moths encountered — burnets (Zygaena species), forester moths, cinnabar moths, and other diurnal species can be identified alongside butterflies from photographs.</w:t>
            </w:r>
          </w:p>
          <w:p>
            <w:pPr>
              <w:spacing w:after="80" w:before="0"/>
              <w:jc w:val="left"/>
            </w:pPr>
            <w:r>
              <w:rPr>
                <w:rFonts w:ascii="Arial" w:cs="Arial" w:eastAsia="Arial" w:hAnsi="Arial"/>
                <w:b w:val="false"/>
                <w:bCs w:val="false"/>
                <w:color w:val="000000"/>
                <w:sz w:val="17"/>
                <w:szCs w:val="17"/>
              </w:rPr>
              <w:t xml:space="preserve">Night moth light trapping (optional at Level 2, standard at Level 3): deploy a 15W actinic or 125W MV light trap at a fixed position within the monitoring area for one night per month (minimum 3 nights per season — May, July, September). Count and identify all Lepidoptera attracted to the trap the following morning. Key farmland moth genera for monitoring: Mythimna (wainscots — grass feeders), Agrotis (dart moths — forb feeders), Eilema (footmen — lichen feeders), Apamea (brocades — grass feeders).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Regional butterfly field guide (species-level); regional moth identification guide; actinic light trap (15W tube or 125W MV bulb) and associated timer and collection box; killing jar or refrigeration for moth identification; field datasheet; camera.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Trained field technician with butterfly species identification skill for all common farmland species, and basic moth identification skill for common macro-moths. Light trapping requires supervised training in trap setup and moth sorting (6+ hours minimum).</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April–September butterfly transect; May, July, September light trap nights. [geo temperate European context]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September–October — late-season species and moth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45–90 minutes butterfly transect; overnight light trap deployment + 1–2 hours morning sorting.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8+ butterfly transect visits; 3 light trap nights.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both butterfly and moth community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Farmland butterfly abundance index (annual sum across visits × sections); butterfly species richness; specialist:generalist species ratio; day-flying moth species list; night moth species richness and abundance index from light trap; grass-feeding moth proportion (key farmland bird food chain indicator).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All Level 1 photographs plus: light trap catch documentation photographs showing moth diversity and size range.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Specialist:generalist butterfly species ratio &gt;0.3 [~]: habitat supports demanding species — habitat quality confirmed above minimum threshold for meaningful biodiversity value. Connect to Challenge #22 (Vegetation diversity loss) and the integrated plant community data from Profiles 28 and 29.</w:t>
            </w:r>
          </w:p>
          <w:p>
            <w:pPr>
              <w:spacing w:after="80" w:before="0"/>
              <w:jc w:val="left"/>
            </w:pPr>
            <w:r>
              <w:rPr>
                <w:rFonts w:ascii="Arial" w:cs="Arial" w:eastAsia="Arial" w:hAnsi="Arial"/>
                <w:b w:val="false"/>
                <w:bCs w:val="false"/>
                <w:color w:val="000000"/>
                <w:sz w:val="16"/>
                <w:szCs w:val="16"/>
              </w:rPr>
              <w:t xml:space="preserve">Grass-feeding moth proportion &gt;40% [~] of light trap catch: caterpillar food chain for farmland birds well-supported — connect to Profile 20 (Farmland birds) and note in master document as bird chick food chain indicator.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Light trap deployment — electrical safety outdoors; waterproofed connections required. Light trap must not be left unattended where children or livestock have access. Killing jar (ethyl acetate) — handle in ventilated conditions; store securely.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Pollard &amp; Yates (1993); Fox R (2013) for moth component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https://doi.org/10.1111/icad.12012</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3 — Specialist with laboratory access</w:t>
            </w:r>
          </w:p>
          <w:p>
            <w:pPr>
              <w:spacing w:after="80" w:before="0"/>
              <w:jc w:val="left"/>
            </w:pPr>
            <w:r>
              <w:rPr>
                <w:rFonts w:ascii="Arial" w:cs="Arial" w:eastAsia="Arial" w:hAnsi="Arial"/>
                <w:b w:val="false"/>
                <w:bCs w:val="false"/>
                <w:color w:val="FFFFFF"/>
                <w:sz w:val="16"/>
                <w:szCs w:val="16"/>
              </w:rPr>
              <w:t xml:space="preserve">Complete Lepidoptera community survey including systematic light trapping programme, larval host plant association survey, and landscape-scale connectivity analysis.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 Lepidoptera community assessment with systematic moth monitoring and larval ecology survey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Complete butterfly and moth species list from transects and light trapping; larval host plant association survey for each monitored species; population size estimates for specialist butterfly species using mark-recapture; landscape connectivity assessment using species dispersal model.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Level 2 surveys extended: butterfly transect visits increased to minimum 12 per season; light trapping weekly for 2 months (May–June and August–September). Mark-recapture: wing-mark butterflies with waterproof pen during transect walks; estimate population size from recapture rate using Lincoln-Petersen method. Larval survey: systematic search for caterpillars and eggs on known host plants per section — count larvae and record host plant species. Landscape connectivity: GPS-map habitat patches within 2km of monitoring area; model connectivity using species-specific dispersal parameters.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2 plus: wing-marking pens; landscape GIS software; mark-recapture calculation tools; field guides for larvae and eggs (if available regionally).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Lepidopterist with butterfly and macro-moth species identification; ecologist for mark-recapture calculations; GIS analyst for connectivity modelling.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April–September full season survey — all visits and both light trap periods.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12+ butterfly transect visits; weekly light trap nights for two months.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 for population size trends and species composition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 butterfly and moth species list; population size estimates for key specialist species; larval density (caterpillars per 10m host plant); landscape connectivity index per species; farmland butterfly index.</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Specialist butterfly population size increasing over 5+ years combined with larval density increase: genuine population recovery confirmed through the full life cycle — most comprehensive biological verification of habitat management improvement available from Lepidoptera monitoring.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Mark-recapture fieldwork — do not mark individuals in poor condition; use minimal marking to avoid compromising thermoregulation. Light trap programme — electrical safety and secure installation throughout monitoring season.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Pollard &amp; Yates (1993); Dover &amp; Settele (2009); Van Swaay &amp; Warren (1999)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https://doi.org/10.1111/j.1365-2699.2008.02020.x</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All sources cited in this profile. 3-column format: citation / DOI or ISBN / section cited in.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300"/>
        <w:gridCol w:w="22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 (full reference)</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Section cited 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Dover JW, Settele J (2009) The influences of landscape structure on butterfly distribution and movement: a review. Journal of Biogeography 36:12–22.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https://doi.org/10.1111/j.1365-2699.2008.02020.x</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A7; B2; Response timescale; Protocol Level 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Fox R (2013) The decline of moths in Great Britain: a review of possible causes. Insect Conservation and Diversity 6:5–19.</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https://doi.org/10.1111/j.1752-4598.2012.00186.x</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Protocol Level 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Pollard E, Yates TJ (1993) Monitoring Butterflies for Ecology and Conservation. Chapman &amp; Hall, London.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ISBN 9780412407000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Ecological rationale; B2; Protocol Levels 1 and 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Van Swaay CAM, Warren MS (1999) Red Data Book of European Butterflies (Rhopalocera). Nature and Environment No. 99. Council of Europe Publishing, Strasbourg. [geo — European context]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No DOI — Council of Europe publication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A8; B2</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5"/>
                <w:szCs w:val="15"/>
              </w:rPr>
              <w:t xml:space="preserve">END OF PROFILE 15 — Butterflies and moths</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5D4037" w:sz="3"/>
          </w:tcBorders>
          <w:tcMar>
            <w:bottom w:type="dxa" w:w="60"/>
          </w:tcMar>
        </w:tcPr>
        <w:p>
          <w:pPr>
            <w:spacing w:after="80" w:before="0"/>
            <w:jc w:val="left"/>
          </w:pPr>
          <w:r>
            <w:rPr>
              <w:rFonts w:ascii="Arial" w:cs="Arial" w:eastAsia="Arial" w:hAnsi="Arial"/>
              <w:b w:val="false"/>
              <w:bCs w:val="false"/>
              <w:color w:val="5D4037"/>
              <w:sz w:val="14"/>
              <w:szCs w:val="14"/>
            </w:rPr>
            <w:t xml:space="preserve">LAHMP — Profile 15 — Butterflies and moths</w:t>
          </w:r>
        </w:p>
      </w:tc>
      <w:tc>
        <w:tcPr>
          <w:tcBorders>
            <w:bottom w:val="single" w:color="5D4037" w:sz="3"/>
          </w:tcBorders>
          <w:tcMar>
            <w:bottom w:type="dxa" w:w="60"/>
          </w:tcMar>
        </w:tcPr>
        <w:p>
          <w:pPr>
            <w:spacing w:after="80" w:before="0"/>
            <w:jc w:val="right"/>
          </w:pPr>
          <w:r>
            <w:rPr>
              <w:rFonts w:ascii="Arial" w:cs="Arial" w:eastAsia="Arial" w:hAnsi="Arial"/>
              <w:b w:val="false"/>
              <w:bCs w:val="false"/>
              <w:color w:val="888888"/>
              <w:sz w:val="15"/>
              <w:szCs w:val="15"/>
            </w:rPr>
            <w:t xml:space="preserve">v2.0 | 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BB3852C-549E-4B14-8FF9-72376AF15EC0}"/>
</file>

<file path=customXml/itemProps2.xml><?xml version="1.0" encoding="utf-8"?>
<ds:datastoreItem xmlns:ds="http://schemas.openxmlformats.org/officeDocument/2006/customXml" ds:itemID="{8DBF5AF5-0167-4BDA-91E5-2DE8BB7DC8E3}"/>
</file>

<file path=customXml/itemProps3.xml><?xml version="1.0" encoding="utf-8"?>
<ds:datastoreItem xmlns:ds="http://schemas.openxmlformats.org/officeDocument/2006/customXml" ds:itemID="{F3C27240-6B86-4F18-B487-8B3720A22C1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2026-04-12T12:07:54Z</dcterms:created>
  <dcterms:modified xsi:type="dcterms:W3CDTF">2026-04-12T12:07:54Z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