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5D4037"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4"/>
                <w:szCs w:val="24"/>
              </w:rPr>
              <w:t xml:space="preserve">Profile 17 — Aquatic macroinvertebrates</w:t>
            </w:r>
          </w:p>
          <w:p>
            <w:pPr>
              <w:spacing w:after="80" w:before="0"/>
              <w:jc w:val="center"/>
            </w:pPr>
            <w:r>
              <w:rPr>
                <w:rFonts w:ascii="Arial" w:cs="Arial" w:eastAsia="Arial" w:hAnsi="Arial"/>
                <w:b w:val="false"/>
                <w:bCs w:val="false"/>
                <w:color w:val="FFFFFF"/>
                <w:sz w:val="16"/>
                <w:szCs w:val="16"/>
              </w:rPr>
              <w:t xml:space="preserve">Category: Aquatic communities  |  Tier: Universal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freshwater ecologists and benthic invertebrate specialists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Hard prerequisite — this profile requires a permanent or seasonal water body. The conditionality logic (surface water present = profile active) should be reviewed to confirm whether seasonal ditches that dry out in summer qualify as suitable monitoring sites. The profile currently notes that sites must hold water at the time of survey.</w:t>
            </w:r>
          </w:p>
          <w:p>
            <w:pPr>
              <w:spacing w:after="60" w:before="0"/>
              <w:jc w:val="left"/>
            </w:pPr>
            <w:r>
              <w:rPr>
                <w:rFonts w:ascii="Arial" w:cs="Arial" w:eastAsia="Arial" w:hAnsi="Arial"/>
                <w:b w:val="false"/>
                <w:bCs w:val="false"/>
                <w:color w:val="000000"/>
                <w:sz w:val="16"/>
                <w:szCs w:val="16"/>
              </w:rPr>
              <w:t xml:space="preserve">2. BMWP scoring — the Biological Monitoring Working Party (BMWP) score is specified as the primary biotic index at Level 2. This scoring system is validated for UK and temperate European freshwater systems [geo]. Reviewer must confirm appropriate equivalent biotic indices for tropical and subtropical deployment contexts (e.g. SASS5 for South Africa, F-O/E index for Australia).</w:t>
            </w:r>
          </w:p>
          <w:p>
            <w:pPr>
              <w:spacing w:after="60" w:before="0"/>
              <w:jc w:val="left"/>
            </w:pPr>
            <w:r>
              <w:rPr>
                <w:rFonts w:ascii="Arial" w:cs="Arial" w:eastAsia="Arial" w:hAnsi="Arial"/>
                <w:b w:val="false"/>
                <w:bCs w:val="false"/>
                <w:color w:val="000000"/>
                <w:sz w:val="16"/>
                <w:szCs w:val="16"/>
              </w:rPr>
              <w:t xml:space="preserve">3. Level 1 kick sampling — the kick sampling approach at Level 1 is an established method used in UK citizen science programmes (Riverfly Partnership). Reviewer should confirm whether this protocol is sufficiently standardised for cross-site comparability, and whether the kick sampling approach is appropriate for still-water sites (ponds, ditches) where disturbance creates different sampling artefacts than in flowing water.</w:t>
            </w:r>
          </w:p>
          <w:p>
            <w:pPr>
              <w:spacing w:after="80" w:before="0"/>
              <w:jc w:val="left"/>
            </w:pPr>
            <w:r>
              <w:rPr>
                <w:rFonts w:ascii="Arial" w:cs="Arial" w:eastAsia="Arial" w:hAnsi="Arial"/>
                <w:b w:val="false"/>
                <w:bCs w:val="false"/>
                <w:color w:val="000000"/>
                <w:sz w:val="16"/>
                <w:szCs w:val="16"/>
              </w:rPr>
              <w:t xml:space="preserve">4. Abiotic-biological integration — this profile connects strongly to the four abiotic water quality indicators (A15–A18). Reviewer should confirm that the biological response thresholds cited in the interpretation guide are consistent with current standard reference conditions for the primary deployment contexts.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17</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Aquatic macroinvertebrates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Aquatic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aquatic macroinvertebrate monitoring is relevant wherever surface water features are present in or adjacent to agricultural landscapes: streams, rivers, ditches, ponds, lakes, wetland channels. The specific communities differ by water body type and region, but the monitoring framework is universally applicable.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Permanent or seasonal water body present within the monitored landscape that holds water at the time of survey. Not applicable where no surface water feature exists.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Multiple invertebrate orders captured collectively — defined by size (retained on 500μm mesh sieve) and habitat (freshwater or wetland). Key taxonomic groups in order of pollution sensitivity (most sensitive first — follows BMWP scoring approach [geo temperate European]): High sensitivity (BMWP score 7–10): Ephemeroptera (mayflies — nymphs), Plecoptera (stoneflies — nymphs), Trichoptera (caddisflies — larvae and pupal cases); Moderate-high sensitivity (score 5–8): Odonata (dragonflies and damselflies — nymphs), Megaloptera (alderflies), Coleoptera (water beetles — adults and larvae), Gammaridae (freshwater shrimps); Moderate sensitivity (score 3–5): Asellidae (water lice/hog lice), Chironomidae (non-biting midges — larvae); Low sensitivity (score 1–2): Tubificidae (worms), Sphaerium (pea clams), Lymnaea (pond snails). The BMWP score of the total community provides a biotic index of water quality.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Water quality indicator — aquatic macroinvertebrate community composition (biotic index BMWP or equivalent) is the primary biological indicator of surface water quality in agricultural drainage catchments. Ecosystem function indicator — macroinvertebrate community structure indicates the functional state of the decomposer and grazer food web in aquatic systems.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 healthy agricultural stream or ditch supports a community of aquatic invertebrates that tells you almost everything you need to know about the water quality above and below the monitoring point. Mayfly nymphs, stonefly larvae, and caddisfly cases in a kick sample mean the water is clean, well-oxygenated, and free of the sediment and nutrient loading that drives agricultural water quality decline. Tubificid worms alone mean the opposite — the organic loading is so severe that only the most pollution-tolerant organisms survive. The transition from tubificid-dominated to mayfly-dominated communities under improving catchment management is one of the clearest and most quantifiable biological recovery signals available from any monitoring programme.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Aquatic macroinvertebrate monitoring has a 50-year history as the standard biological method for assessing river and stream water quality in temperate Europe and beyond. The BMWP scoring system — assigning scores from 1 to 10 to each taxonomic family based on pollution sensitivity — converts a kick sample into a quantitative water quality metric that is directly comparable across sites and years. The Riverfly Partnership in the UK has demonstrated that trained community observers can collect reliable kick sample data using a simplified version of this protocol, with their results validated against professional surveys. This community science application of macroinvertebrate monitoring makes it one of the most accessible quantitative water quality biological indicators available for farm-level monitoring.</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Fast (Stage 2 from Year 1). BMWP scores and total taxon richness respond within 1–3 seasons of management improvement in the catchment. Sensitive group recovery (Ephemeroptera, Plecoptera) requires 2–5 years of consistent improving water quality.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(1–2 seasons): Total taxon richness and ASPT (Average Score Per Taxon) improve within 1–2 seasons of measurably declining suspended sediment inputs and organic loading — changes in the macroinvertebrate community can be detected within months of habitat improvement in some cases (Friberg et al. 2009).</w:t>
            </w:r>
          </w:p>
          <w:p>
            <w:pPr>
              <w:spacing w:after="60" w:before="0"/>
              <w:jc w:val="left"/>
            </w:pPr>
            <w:r>
              <w:rPr>
                <w:rFonts w:ascii="Arial" w:cs="Arial" w:eastAsia="Arial" w:hAnsi="Arial"/>
                <w:b w:val="false"/>
                <w:bCs w:val="false"/>
                <w:color w:val="000000"/>
                <w:sz w:val="17"/>
                <w:szCs w:val="17"/>
              </w:rPr>
              <w:t xml:space="preserve">Medium (2–5 years): Recovery of sensitive groups (Ephemeroptera, Plecoptera, Trichoptera — EPT taxa) requires 2–5 years of consistently improving water quality, as these groups have 1–2 year life cycles and limited upstream dispersal (Friberg et al. 2009; Bonada et al. 2006).</w:t>
            </w:r>
          </w:p>
          <w:p>
            <w:pPr>
              <w:spacing w:after="80" w:before="0"/>
              <w:jc w:val="left"/>
            </w:pPr>
            <w:r>
              <w:rPr>
                <w:rFonts w:ascii="Arial" w:cs="Arial" w:eastAsia="Arial" w:hAnsi="Arial"/>
                <w:b w:val="false"/>
                <w:bCs w:val="false"/>
                <w:color w:val="000000"/>
                <w:sz w:val="16"/>
                <w:szCs w:val="16"/>
              </w:rPr>
              <w:t xml:space="preserve">[geo] BMWP scoring calibrated for temperate European rivers and streams. SASS5 and equivalent systems applicable for African and Australian deployment contexts.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freshwater ecologists.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pollution from internal sources — manure, slurry, silage effluent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Organic loading from livestock effluent causes acute deoxygenation through BOD (biochemical oxygen demand) — bacterial decomposition of organic matter consumes dissolved oxygen, creating hypoxic conditions lethal to most macroinvertebrate taxa. Even brief slurry escape events can eliminate sensitive taxa from km-scale river reaches (Friberg et al. 2009; Bonada et al. 2006).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synthetic fertiliser application — nitrate and phosphate runoff</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Nutrient runoff drives eutrophication — excessive algal growth followed by die-off and decomposition creates cyclical deoxygenation events. Elevated nitrate concentrations are directly toxic to sensitive Ephemeroptera and Plecoptera species at concentrations above approximately 5mg/L [~] (Friberg et al. 2009). LAHMP indicator A17 tracks this pressure.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tillage — sediment runoff</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Fine sediment runoff from tilled fields fills the interstitial spaces between streambed gravels that Ephemeroptera, Plecoptera, and Trichoptera use for shelter, egg deposition, and pupal cases. Physical sediment filling of gravel bed completely eliminates EPT taxa from affected reaches — physical habitat loss rather than water quality degradation per se (Bonada et al. 2006).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Drainage modification — channelisation and dredging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Stream channelisation eliminates the physical habitat diversity (riffles, pools, undercut banks, woody debris) that sustains diverse macroinvertebrate communities. Mechanically straightened and deepened channels with uniform cross-section support dramatically lower macroinvertebrate diversity than naturally meandering channels (Friberg et al. 2009).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Unsustainable water abstraction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Severe flow reduction through abstraction concentrates pollutants, reduces oxygen renewal through turbulence, increases water temperature, and eliminates riffle habitats that most sensitive macroinvertebrate taxa require. Low-flow events below ecological minimum flow are acute stress events for EPT communities.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pesticide application — runoff to watercourses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Pyrethroid, organophosphate, and neonicotinoid pesticides entering water bodies through runoff or drift cause acute mortality to aquatic macroinvertebrates — many aquatic insects are more sensitive to these compounds than terrestrial species. Even brief exposure during rainfall runoff events can cause significant community shifts (Friberg et al. 2009).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Aquatic biodiversity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BMWP score and EPT (Ephemeroptera-Plecoptera-Trichoptera) taxon richness are the most widely used quantitative indicators of this challenge in freshwater systems globally. Declining BMWP score or ASPT indicates deteriorating water quality; increasing score indicates recovery. EPT richness is the most sensitive sub-index for detecting improvement (Friberg et al. 2009).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Surface water pollution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ASPT (Average Score Per Taxon = BMWP score / number of scoring families) is the most sensitive available biological indicator of organic pollution and pesticide contamination in agricultural watercourses. ASPT above 6.0 [~] indicates good to high ecological status; below 4.0 [~] indicates poor status (Bonada et al. 2006).</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Nutrient runoff and leaching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Total taxon richness and EPT richness decline predictably with increasing nutrient concentrations — the community response integrates the full seasonal exposure to nutrient loading, making it more ecologically representative than a point-in-time chemical measurement (Friberg et al. 2009).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Wetland loss and degradation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Macroinvertebrate community composition in farm ditches and wetland channels is directly indicative of the ecological condition of these features. Loss of sensitive taxa from farm ditches signals active water quality deterioration consistent with wetland habitat degradation.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purification — nutrient regulation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Aquatic macroinvertebrates contribute to nutrient cycling in freshwater systems — shredder taxa break down coarse particulate organic matter, scrapers graze biofilms, filter feeders remove fine particles. The macroinvertebrate community drives the biological processing of organic material that is fundamental to nutrient retention and transformation in agricultural waterways (Friberg et al. 2009).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Wild fish provisioning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Aquatic macroinvertebrates are the primary food source for freshwater fish in agricultural waterways. The macroinvertebrate community composition and biomass determines the fish food resource quality — declining EPT communities signal declining fish food resource independently of direct fish monitoring.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Nursery population and habitat maintenance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Aquatic macroinvertebrates — particularly mayfly and caddisfly adults emerging from water bodies — are a primary food source for bats (Daubenton's bat), swallows, martins, dippers, and grey wagtails in agricultural landscapes. Their emergence biomass is a critical input to terrestrial food webs from the aquatic system.</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River flood mitigation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Macroinvertebrate community health is positively correlated with riparian and channel habitat integrity — the same natural channel features (wood debris, diverse bed substrate, riparian vegetation) that sustain diverse macroinvertebrate communities also contribute to flood mitigation through increased flow resistance, bank stability, and channel storage capacity.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F2.x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Lowland rivers and lakes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deployment context — agricultural watercourses most affected by diffuse pollution and most in need of biological water quality monitoring.</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TF1.x</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Palustrine wetlands (farm ditches, seasonal ponds)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farm ditches and seasonal wetland features support distinctive macroinvertebrate communities; monitoring tracks agricultural drainage management quality.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EFGs with surface water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Wherever surface water is present in an agricultural landscape, this profile applies.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 agricultural diffuse pollution from arable systems most directly detected by macroinvertebrate community change.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where livestock access to water margins contributes to water quality decline.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Wetlands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Direct — wetland ditch and pond communities are a primary monitoring target.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Water body type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Water Body Type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Macroinvertebrate community 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Streams and rivers — gravel/cobble bed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EPT diversity — riffle habitats sustain stonefly, mayfly, and caddisfly communities. Most ecologically interpretable monitoring context for BMWP scoring. EPT richness above 5 families [~] indicates good ecological status.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Agricultural drainage ditches — slow flow</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Distinct community from running water — Coleoptera (water beetles), Corixidae (water boatmen), Gammaridae (freshwater shrimps) dominant. Lower EPT representation; Asellus and Chironomidae more prevalent. BMWP scoring applicable but with different expected reference values.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Farm ponds and lakes — standing water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Community dominated by Odonata, Coleoptera, Corixidae, Dytiscidae; limited Ephemeroptera. Trophic status (mesotrophic vs eutrophic) is the primary management variable. Different scoring approach needed — specialist advice for pond communities.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Livestock with water margin access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Livestock access to streams and ditches is the single most damaging management practice for agricultural water macroinvertebrate communities — direct faecal deposition, bank erosion, and physical disturbance combine to eliminate sensitive taxa rapidly. Exclusion fencing is the most cost-effective intervention. Record livestock access status at every monitoring visit.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arable adjacent to drainage network</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sediment and nutrient runoff risk — particularly after tillage events before crop establishment. Monitoring in winter following autumn tillage captures the worst-case community state. Spring surveys on recovering systems capture the improvement trajectory.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E8F8F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The four LAHMP abiotic water quality indicators (A15–A18) are the primary abiotic precursors for aquatic macroinvertebrate community recovery. Improving abiotic water quality precedes detectable community change by 1–2 seasons.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turbidity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turbidity signals reducing sediment input — a prerequisite for EPT community recovery in sediment-impacted systems. Clean water improves light penetration for algal food production and restores interstitial gravel habitat for EPT egg deposition and larval shelter. Turbidity decline typically precedes EPT community improvement by 1–3 seasons (Friberg et al. 2009).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nitrate concentration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water nitrate signals reducing agricultural nutrient loading — the primary chemical driver of eutrophication-associated macroinvertebrate community decline. Nitrate decline precedes macroinvertebrate ASPT improvement by 1–2 seasons as algal bloom frequency and severity decline (Friberg et al. 2009).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Dissolved oxygen (DO)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Improving dissolved oxygen — rising away from the hypoxic conditions associated with organic loading and eutrophication — is the most direct abiotic precursor for EPT community recovery. DO improvement above the 60% saturation threshold [~] precedes the return of sensitive taxa by 1–2 seasons as the physiological barrier to sensitive species is lifted (Bonada et al. 2006).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pH</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pH stability within the optimal range (6.0–8.0 [~]) signals absence of agricultural acidification (from sulphate leaching) or alkalinisation (from calcium carbonate run-off). pH improvement or stabilisation precedes sensitive taxon recovery by 1–2 seasons.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Buffer strips and riparian zone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Vegetated buffer strips between agricultural land and watercourses intercept sediment, nutrients, and pesticides before they reach the water body. Buffer strip width and vegetation density are the primary determinants of the filtration efficiency — wider, denser strips provide better protection. This is the single most impactful practice for protecting and improving aquatic macroinvertebrate communities in adjacent agricultural streams (Friberg et al. 2009).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Rotational / adaptive grazing management — livestock exclusion from water margins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Livestock exclusion from water margins eliminates the most acute direct pressure on aquatic macroinvertebrate communities — faecal loading, physical disturbance, and bank erosion. Recovery of bank vegetation and reduced sediment and organic inputs following exclusion begins within one season.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harvesting and soil moisture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Improved on-farm water management reduces flashy runoff events that carry sediment and pollutants to watercourses. Reducing peak flow intensity during rainfall events reduces the acute pollution episodes that cause the most severe macroinvertebrate community crashes.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Buffer strip and riparian zone establishment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BMWP score improvement and EPT taxon richness increase in watercourses adjacent to newly established buffer strips is the primary biological verification signal for this practice. The biological recovery lags behind abiotic improvement by 1–3 seasons — check A15–A18 abiotic precursors first to confirm the water quality improvement that should precede biological recovery (Friberg et al. 2009).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BMWP score increasing within 2–3 seasons of buffer strip establishment and measurably improving A16 (turbidity) and A17 (nitrate); EPT family richness increasing within 3–5 seasons of consistent water quality improvement; ASPT improvement from &lt;4 toward &gt;6 over 3–7 years of sustained buffer strip and catchment management.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Rotational grazing — livestock exclusion from water margins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BMWP score improvement and the return of Gammaridae (freshwater shrimps — sensitive to organic loading) and Ephemeroptera families to the monitoring site are the primary biological verification signals for successful livestock exclusion from water margins. Gammaridae reappearance is particularly sensitive and rapid — their return within 1–2 seasons of exclusion is a reliable positive indicator.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Gammaridae (freshwater shrimps) present in kick samples within 1–2 seasons of livestock exclusion where upstream source populations exist; BMWP score increasing within 2–3 seasons; EPT families appearing within 3–5 seasons as water quality stabilises and gravel habitat sediment clears.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31 — Aquatic and riparian vegetation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Aquatic macrophytes (Profile 31) and aquatic macroinvertebrates (Profile 17) are both water quality bioindicators and mutually supporting ecological components — macrophytes provide attachment substrate, oxygen, and shelter for macroinvertebrates; macroinvertebrate grazing regulates algal growth on macrophyte surfaces. Their joint monitoring provides the most complete biological assessment of agricultural water body condition. Both profiles should be assessed in the same monitoring visit where possible.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 — Fish</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Aquatic macroinvertebrates are the primary food resource for freshwater fish in agricultural waterways. Macroinvertebrate community recovery precedes and enables fish community recovery — EPT-rich macroinvertebrate communities sustain the invertebrate drift food resource that salmonid and cyprinid fish populations depend on. Profile 17 macroinvertebrate data predicts Profile 18 fish community quality independently.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21 — Frogs and toads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Amphibian larvae (tadpoles) and adult frogs share water bodies with aquatic macroinvertebrates — aquatic insects are prey for tadpoles; amphibian eggs and tadpoles are prey for large predatory water beetles (Dytiscidae, Hydrophilidae). Aquatic community health is a joint indicator of habitat quality for both groups.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Dynamic content — validated by freshwater ecologists and benthic invertebrate specialists.</w:t>
            </w:r>
          </w:p>
          <w:p>
            <w:pPr>
              <w:spacing w:after="80" w:before="0"/>
              <w:jc w:val="left"/>
            </w:pPr>
            <w:r>
              <w:rPr>
                <w:rFonts w:ascii="Arial" w:cs="Arial" w:eastAsia="Arial" w:hAnsi="Arial"/>
                <w:b w:val="false"/>
                <w:bCs w:val="false"/>
                <w:color w:val="C0392B"/>
                <w:sz w:val="16"/>
                <w:szCs w:val="16"/>
              </w:rPr>
              <w:t xml:space="preserve">Safety note for all protocol levels: Never enter flowing water alone. All sampling from the bank or at bankside wading depth only. Wear appropriate waterproof footwear. Be aware of deeper sections, unstable banks, and upstream flow conditions. Follow standard field safety protocols for water sampling.</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Kick sampling from the bank — standard Riverfly Partnership simplified protocol. Community observer uses a standard pond net to disturb the streambed and collects what drifts into the net over a fixed time. Identifies the presence of key pollution-sensitive families.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Simplified kick sampling — Riverfly Partnership community observer protocol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Presence of eight key macroinvertebrate groups in order of pollution sensitivity (EPT families — Ephemeroptera, Plecoptera, Trichoptera — plus five additional groups); abundance class per group; combined trigger score for intervention.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Stand at the water's edge (or in shallow water up to knee depth if safe). Hold a 500μm pond net vertically in the water with the opening facing upstream.</w:t>
            </w:r>
          </w:p>
          <w:p>
            <w:pPr>
              <w:spacing w:after="40" w:before="0"/>
              <w:jc w:val="left"/>
            </w:pPr>
            <w:r>
              <w:rPr>
                <w:rFonts w:ascii="Arial" w:cs="Arial" w:eastAsia="Arial" w:hAnsi="Arial"/>
                <w:b w:val="false"/>
                <w:bCs w:val="false"/>
                <w:color w:val="000000"/>
                <w:sz w:val="17"/>
                <w:szCs w:val="17"/>
              </w:rPr>
              <w:t xml:space="preserve">2. Use your foot to disturb the streambed immediately upstream of the net — kick the substrate vigorously for 1 minute, covering an area approximately 0.5m × 0.5m. Invertebrates dislodged will drift into the net.</w:t>
            </w:r>
          </w:p>
          <w:p>
            <w:pPr>
              <w:spacing w:after="40" w:before="0"/>
              <w:jc w:val="left"/>
            </w:pPr>
            <w:r>
              <w:rPr>
                <w:rFonts w:ascii="Arial" w:cs="Arial" w:eastAsia="Arial" w:hAnsi="Arial"/>
                <w:b w:val="false"/>
                <w:bCs w:val="false"/>
                <w:color w:val="000000"/>
                <w:sz w:val="17"/>
                <w:szCs w:val="17"/>
              </w:rPr>
              <w:t xml:space="preserve">3. Empty net contents into a white tray filled with a small amount of clean water. Examine under good daylight or torch illumination. Count and record organisms from the following eight groups: (1) Stonefly nymphs (Plecoptera — flat, two tails); (2) Mayfly nymphs (Ephemeroptera — three tails or one plate-like tail, gills on abdomen); (3) Caddisfly larvae (Trichoptera — in portable cases of sand, leaf, or stick; or free-living with hooks at rear); (4) Freshwater shrimp (Gammarus — curved sideways-swimmer); (5) Water louse (Asellus — flattened, woodlouse-like); (6) Caseless caddis / flat-bodied mayfly (without case or tails); (7) Hog louse (Asellus aquaticus); (8) Worms / bloodworms (Tubificidae / Chironomidae — red, wriggling).</w:t>
            </w:r>
          </w:p>
          <w:p>
            <w:pPr>
              <w:spacing w:after="80" w:before="0"/>
              <w:jc w:val="left"/>
            </w:pPr>
            <w:r>
              <w:rPr>
                <w:rFonts w:ascii="Arial" w:cs="Arial" w:eastAsia="Arial" w:hAnsi="Arial"/>
                <w:b w:val="false"/>
                <w:bCs w:val="false"/>
                <w:color w:val="000000"/>
                <w:sz w:val="17"/>
                <w:szCs w:val="17"/>
              </w:rPr>
              <w:t xml:space="preserve">4. Record count per group as: 0 (absent) / 1 (1–9 individuals) / 2 (10–99 individuals) / 3 (100+ individuals). Calculate the 'trigger score' following the Riverfly Partnership protocol — report to site coordinator if score has dropped since last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500μm mesh pond net; white sampling tray; magnifying hand lens (10×); field datasheet; Riverfly Partnership identification card (laminated); camera.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with training in the Riverfly Partnership protocol — approximately 3 hours of supervised training and practice at a reference site is the standard for Riverfly monitors. No prior biological training required.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(March–May) — when EPT populations are highest and nymphal/larval stages are most visible. Autumn (September–October) — second survey for seasonal comparison.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 for seasonal comparison and detection of late-year recruits.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20–30 minutes per sampling station including kick sampling, sorting, recording, and photograph. Recommended: 3 stations per monitoring site.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 spring and autumn.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trigger score trend; 5 years for EPT community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Trigger score per station per visit (following Riverfly Partnership protocol [geo]); presence/absence and abundance class of eight key groups; EPT group count (stonefly + mayfly + caddisfly combined score).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Net contents in white tray: photograph the full tray contents before sorting — overall community density visible. (2) Key group individual photographs: photograph representative individuals from each group present — particularly EPT organisms which are the most important ecological indicators. (3) Site overview: photograph the monitoring station showing stream character, bank vegetation, and any visible water quality issues.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confusing flatworms (Planaria) with mayfly or stonefly nymphs. Flatworms are flattened, unsegmented, glide smoothly across the tray surface with no visible legs. Mayfly and stonefly nymphs have 6 legs, visible segmented abdomens, and tails. If confused, refer to the Riverfly identification card and record as 'other' if uncertain.</w:t>
            </w:r>
          </w:p>
          <w:p>
            <w:pPr>
              <w:spacing w:after="60" w:before="0"/>
              <w:jc w:val="left"/>
            </w:pPr>
            <w:r>
              <w:rPr>
                <w:rFonts w:ascii="Arial" w:cs="Arial" w:eastAsia="Arial" w:hAnsi="Arial"/>
                <w:b w:val="false"/>
                <w:bCs w:val="false"/>
                <w:color w:val="000000"/>
                <w:sz w:val="16"/>
                <w:szCs w:val="16"/>
              </w:rPr>
              <w:t xml:space="preserve">Second error: missing small organisms — many caddisfly larvae are small (&lt;5mm in early instars) and may be overlooked in a full tray. Sort carefully through all tray contents — a gentle rinse with clean water can improve visibility of small organisms against the white tray background.</w:t>
            </w:r>
          </w:p>
          <w:p>
            <w:pPr>
              <w:spacing w:after="80" w:before="0"/>
              <w:jc w:val="left"/>
            </w:pPr>
            <w:r>
              <w:rPr>
                <w:rFonts w:ascii="Arial" w:cs="Arial" w:eastAsia="Arial" w:hAnsi="Arial"/>
                <w:b w:val="false"/>
                <w:bCs w:val="false"/>
                <w:color w:val="000000"/>
                <w:sz w:val="16"/>
                <w:szCs w:val="16"/>
              </w:rPr>
              <w:t xml:space="preserve">Third error: sampling in unsuitable conditions immediately after a spate (flood event). Post-spate sampling underestimates community richness as invertebrates drift downstream during high flow events. Wait minimum 48 hours after any significant flow event before sampling.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All three EPT groups (stonefly, mayfly, caddisfly) present with abundance class ≥1 each: good to high ecological status — clean, well-oxygenated water confirmed. Connect to A15–A18 abiotic water quality indicators and verify P16 (buffer strip) and P13 (livestock exclusion) practices.</w:t>
            </w:r>
          </w:p>
          <w:p>
            <w:pPr>
              <w:spacing w:after="50" w:before="0"/>
              <w:jc w:val="left"/>
            </w:pPr>
            <w:r>
              <w:rPr>
                <w:rFonts w:ascii="Arial" w:cs="Arial" w:eastAsia="Arial" w:hAnsi="Arial"/>
                <w:b w:val="false"/>
                <w:bCs w:val="false"/>
                <w:color w:val="000000"/>
                <w:sz w:val="17"/>
                <w:szCs w:val="17"/>
              </w:rPr>
              <w:t xml:space="preserve">Only Asellus and Chironomidae present — no EPT groups: poor ecological status — organic loading or sediment impact severe. Check livestock access and A17 (water nitrate) and A18 (DO) abiotic precursors. Connect to Challenge #17 (Aquatic biodiversity decline).</w:t>
            </w:r>
          </w:p>
          <w:p>
            <w:pPr>
              <w:spacing w:after="80" w:before="0"/>
              <w:jc w:val="left"/>
            </w:pPr>
            <w:r>
              <w:rPr>
                <w:rFonts w:ascii="Arial" w:cs="Arial" w:eastAsia="Arial" w:hAnsi="Arial"/>
                <w:b w:val="false"/>
                <w:bCs w:val="false"/>
                <w:color w:val="000000"/>
                <w:sz w:val="16"/>
                <w:szCs w:val="16"/>
              </w:rPr>
              <w:t xml:space="preserve">Trigger score has dropped since last survey: investigate cause — check management history for recent slurry, pesticide, or intensive tillage events upstream. Report to site coordinator if following the Riverfly Partnership scheme.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at every visit: (1) Livestock access to the monitoring reach (Y/N — species if Y); (2) Evidence of any recent slurry, silage, or effluent release upstream; (3) Recent tillage events on adjacent fields; (4) Water colour and turbidity observed at sampling; (5) Recent significant rainfall events (date of last &gt;10mm rainfall event).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Never sample alone — always have a second person present when wading or approaching unstable banks. Wear non-slip waterproof footwear; probe bank stability before stepping. If in doubt about water depth or flow stability, sample from the bank using a long-handled net. Wash hands thoroughly after sampling — do not eat or drink without handwashing. Be aware of leptospirosis (Weil's disease) risk from agricultural water contact — cover any cuts before sampling.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Riverfly Partnership Riverfly Monitoring Initiative protocol (Riverfly Partnership, 2012) [geo — UK]; modified for farm-level LAHMP monitoring.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https://www.riverflies.org/</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Standardised kick sampling with BMWP scoring — three-minute kick sample sorted to family level, BMWP score and ASPT calculated. Produces a quantitative biotic index comparable across sites and years.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Three-minute kick sample with BMWP scoring — trained technician protocol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BMWP (Biological Monitoring Working Party) score; ASPT (Average Score Per Taxon); total taxon richness; EPT richness; functional feeding group composition.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Conduct 3 one-minute kick samples at different habitat types within the monitoring reach (e.g. riffle, pool edge, marginal vegetation) to capture the full community. Empty each sample into a white tray.</w:t>
            </w:r>
          </w:p>
          <w:p>
            <w:pPr>
              <w:spacing w:after="40" w:before="0"/>
              <w:jc w:val="left"/>
            </w:pPr>
            <w:r>
              <w:rPr>
                <w:rFonts w:ascii="Arial" w:cs="Arial" w:eastAsia="Arial" w:hAnsi="Arial"/>
                <w:b w:val="false"/>
                <w:bCs w:val="false"/>
                <w:color w:val="000000"/>
                <w:sz w:val="17"/>
                <w:szCs w:val="17"/>
              </w:rPr>
              <w:t xml:space="preserve">2. Sort all organisms from the combined 3-minute sample. Identify to family level using a regional freshwater invertebrate key. For each family present, record: (a) family name; (b) BMWP score from the standard scoring table [geo]; (c) abundance class (1–9 / 10–99 / 100+).</w:t>
            </w:r>
          </w:p>
          <w:p>
            <w:pPr>
              <w:spacing w:after="80" w:before="0"/>
              <w:jc w:val="left"/>
            </w:pPr>
            <w:r>
              <w:rPr>
                <w:rFonts w:ascii="Arial" w:cs="Arial" w:eastAsia="Arial" w:hAnsi="Arial"/>
                <w:b w:val="false"/>
                <w:bCs w:val="false"/>
                <w:color w:val="000000"/>
                <w:sz w:val="17"/>
                <w:szCs w:val="17"/>
              </w:rPr>
              <w:t xml:space="preserve">3. Calculate: BMWP score (sum of scores for all families present, each family counted once); Number of scoring families (N); ASPT = BMWP / N. Higher scores indicate better ecological status.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500μm mesh pond net; white sampling trays (3); forceps; hand lens (10×); magnifying glass (optional); regional freshwater invertebrate family identification key; BMWP scoring table; field datasheet; 70% ethanol vials for voucher specimens if needed; camera.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supervised training in aquatic macroinvertebrate family identification (minimum 2 field days with a freshwater specialist). Familiarity with BMWP scoring system and standard kick sampling protocol.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(March–May) — peak EPT populations. Autumn (September–November) — for seasonal comparison and detection of different cohorts.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45–60 minutes per monitoring station for 3 kick samples, sorting, identification, and scoring.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(spring and autumn).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BMWP/ASPT trend; 5 years for community composition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BMWP score per station per visit; ASPT; number of scoring families; EPT family richness; functional feeding group composition (% shredder / scraper / collector / predator).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All Level 1 photographs. Additionally: individual photographs of key taxonomic groups for confirmation — particularly EPT organisms at family level. Retain voucher specimens in ethanol for uncertain identifications.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ASPT &gt;6.0 [~]: good to high ecological status — diverse community with well-represented EPT taxa. Connect to Services #19 (Water purification) and #6 (Wild fish provisioning) in field card narrative.</w:t>
            </w:r>
          </w:p>
          <w:p>
            <w:pPr>
              <w:spacing w:after="50" w:before="0"/>
              <w:jc w:val="left"/>
            </w:pPr>
            <w:r>
              <w:rPr>
                <w:rFonts w:ascii="Arial" w:cs="Arial" w:eastAsia="Arial" w:hAnsi="Arial"/>
                <w:b w:val="false"/>
                <w:bCs w:val="false"/>
                <w:color w:val="000000"/>
                <w:sz w:val="17"/>
                <w:szCs w:val="17"/>
              </w:rPr>
              <w:t xml:space="preserve">ASPT 4.0–6.0 [~]: moderate ecological status — acceptable but below target; check A15–A18 abiotic precursors for limiting factors.</w:t>
            </w:r>
          </w:p>
          <w:p>
            <w:pPr>
              <w:spacing w:after="80" w:before="0"/>
              <w:jc w:val="left"/>
            </w:pPr>
            <w:r>
              <w:rPr>
                <w:rFonts w:ascii="Arial" w:cs="Arial" w:eastAsia="Arial" w:hAnsi="Arial"/>
                <w:b w:val="false"/>
                <w:bCs w:val="false"/>
                <w:color w:val="000000"/>
                <w:sz w:val="16"/>
                <w:szCs w:val="16"/>
              </w:rPr>
              <w:t xml:space="preserve">ASPT &lt;4.0 [~]: poor to bad ecological status — community severely impaired; immediate investigation of pollution source required. Connect to Challenge #17 (Aquatic biodiversity decline) and #13 (Surface water pollution).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1 — safety protocols mandatory. Retain ethanol voucher specimens for uncertain identifications — dispose of ethanol according to local regulations.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BMWP scoring system (Hawkes 1998 and subsequent revisions); Friberg N et al. (2009) — see References. Regional equivalents: SASS5 (South Africa); Scottish Environmental Protection Agency equivalents; Australian SIGNAL score.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https://doi.org/10.1007/s10750-009-9736-7</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Full quantitative macroinvertebrate community sampling with species-level identification, multi-metric biological indices, and metabarcoding for cryptic species detection.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Quantitative macroinvertebrate sampling with multi-metric biological index and eDNA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species or genus-level macroinvertebrate community inventory; quantitative density estimates; multi-metric biological index (WFD ecological status); eDNA screening for rare or cryptic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Surber sampler deployment (0.09m2 frame, 500μm mesh) for quantitative density sampling — 5 Surber samples per habitat type (riffle, pool, marginal) fixed to GPS positions. Samples preserved in 70% ethanol for laboratory processing. Species-level identification using regional comprehensive keys (Freshwater Biological Association keys for UK [geo]; regional equivalents). Multi-metric index calculation following WFD standards or regional equivalent. eDNA water sample (1L filtered through 0.45μm membrane) for metabarcoding of rare EPT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Surber sampler; 70% ethanol for preservation; filtration pump and 0.45μm membrane filters; laboratory compound microscope (100–400×); comprehensive freshwater invertebrate keys; DNA extraction laboratory access.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Freshwater ecologist with species-level macroinvertebrate identification training; molecular ecologist for eDNA.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(March–May) and autumn (September–October) — both seasons required for full community characterisation.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(spring and autumn).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community composition and multi-metric index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species list; quantitative density (individuals/m2) per taxon; multi-metric biological index score; WFD ecological status class; eDNA-detected species list; O/E ratio (observed/expected taxa) from reference condition modelling.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O/E ratio increasing toward 1.0 [~] over 5+ years: community recovery toward reference condition confirmed. This is the most rigorous biological verification of catchment management improvement available from freshwater biological monitoring.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1 plus: ethanol preservation in the field — no open flames during handling. eDNA filtering — use gloves to prevent contamination of samples.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Friberg N et al. (2009); Bonada et al. (2006)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https://doi.org/10.1007/s10750-009-9736-7</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Bonada N, Prat N, Resh VH, Statzner B (2006) Developments in aquatic insect bioassessment: a comparative analysis of recent approaches. Annual Review of Entomology 51:495–523.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https://doi.org/10.1146/annurev.ento.51.110104.151124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A8; Ecological rationale; Protocol Levels 2 and 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Friberg N, Bonada N, Bradley DC, Dunbar MJ, Edwards FK, Grey J, et al. (2009) Bioassessment of running waters using macroinvertebrate assemblages. Advances in Ecological Research 53:237–282.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https://doi.org/10.1016/S0065-2504(10)53004-0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A7; A8; B2; Response timescale; Protocol Levels 2 and 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Hawkes HA (1998) Origin and development of the biological monitoring working party score system. Water Research 32:964–968.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https://doi.org/10.1016/S0043-1354(97)00275-3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 2 (BMWP scoring)</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Riverfly Partnership (2012) Riverfly Monitoring Initiative: a guide for anglers, riverfly enthusiasts and conservationists. The Riverfly Partnership, Callington. [geo — UK]</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https://www.riverflies.org/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 1</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17 — Aquatic macroinvertebrates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5D4037" w:sz="3"/>
          </w:tcBorders>
          <w:tcMar>
            <w:bottom w:type="dxa" w:w="60"/>
          </w:tcMar>
        </w:tcPr>
        <w:p>
          <w:pPr>
            <w:spacing w:after="80" w:before="0"/>
            <w:jc w:val="left"/>
          </w:pPr>
          <w:r>
            <w:rPr>
              <w:rFonts w:ascii="Arial" w:cs="Arial" w:eastAsia="Arial" w:hAnsi="Arial"/>
              <w:b w:val="false"/>
              <w:bCs w:val="false"/>
              <w:color w:val="5D4037"/>
              <w:sz w:val="14"/>
              <w:szCs w:val="14"/>
            </w:rPr>
            <w:t xml:space="preserve">LAHMP — Profile 17 — Aquatic macroinvertebrates</w:t>
          </w:r>
        </w:p>
      </w:tc>
      <w:tc>
        <w:tcPr>
          <w:tcBorders>
            <w:bottom w:val="single" w:color="5D4037"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6EAD315-4C44-429B-AD95-9E183DA0EDD9}"/>
</file>

<file path=customXml/itemProps2.xml><?xml version="1.0" encoding="utf-8"?>
<ds:datastoreItem xmlns:ds="http://schemas.openxmlformats.org/officeDocument/2006/customXml" ds:itemID="{94EF123A-9E5C-4E5E-993F-184A6FE18EAB}"/>
</file>

<file path=customXml/itemProps3.xml><?xml version="1.0" encoding="utf-8"?>
<ds:datastoreItem xmlns:ds="http://schemas.openxmlformats.org/officeDocument/2006/customXml" ds:itemID="{BB5F9806-979E-4A7A-8D32-D35425B6851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2026-04-12T14:16:30Z</dcterms:created>
  <dcterms:modified xsi:type="dcterms:W3CDTF">2026-04-12T14:16:30Z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