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18 — Fish</w:t>
            </w:r>
          </w:p>
          <w:p>
            <w:pPr>
              <w:spacing w:after="80" w:before="0"/>
              <w:jc w:val="center"/>
            </w:pPr>
            <w:r>
              <w:rPr>
                <w:rFonts w:ascii="Arial" w:cs="Arial" w:eastAsia="Arial" w:hAnsi="Arial"/>
                <w:b w:val="false"/>
                <w:bCs w:val="false"/>
                <w:color w:val="FFFFFF"/>
                <w:sz w:val="16"/>
                <w:szCs w:val="16"/>
              </w:rPr>
              <w:t xml:space="preserve">Category: Aquatic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40" w:before="0"/>
              <w:jc w:val="left"/>
            </w:pPr>
            <w:r>
              <w:rPr>
                <w:rFonts w:ascii="Arial" w:cs="Arial" w:eastAsia="Arial" w:hAnsi="Arial"/>
                <w:b/>
                <w:bCs/>
                <w:color w:val="C0392B"/>
                <w:sz w:val="16"/>
                <w:szCs w:val="16"/>
              </w:rPr>
              <w:t xml:space="preserve">DRAFT — Unvalidated</w:t>
            </w:r>
          </w:p>
          <w:p>
            <w:pPr>
              <w:spacing w:after="60" w:before="0"/>
              <w:jc w:val="left"/>
            </w:pPr>
            <w:r>
              <w:rPr>
                <w:rFonts w:ascii="Arial" w:cs="Arial" w:eastAsia="Arial" w:hAnsi="Arial"/>
                <w:b/>
                <w:bCs/>
                <w:color w:val="C0392B"/>
                <w:sz w:val="16"/>
                <w:szCs w:val="16"/>
              </w:rPr>
              <w:t xml:space="preserve">HARD PREREQUISITE — water body with fish present required. Electrofishing requires a licensed operator in most jurisdictions.</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freshwater fisheries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Electrofishing licensing — electrofishing requires operator licensing in virtually all jurisdictions globally. Reviewer should confirm the minimum licensing requirement for field teams in the primary deployment regions and include this in the Level 2 protocol requirements. The profile notes this clearly but reviewer should add jurisdiction-specific guidance.</w:t>
            </w:r>
          </w:p>
          <w:p>
            <w:pPr>
              <w:spacing w:after="60" w:before="0"/>
              <w:jc w:val="left"/>
            </w:pPr>
            <w:r>
              <w:rPr>
                <w:rFonts w:ascii="Arial" w:cs="Arial" w:eastAsia="Arial" w:hAnsi="Arial"/>
                <w:b w:val="false"/>
                <w:bCs w:val="false"/>
                <w:color w:val="000000"/>
                <w:sz w:val="16"/>
                <w:szCs w:val="16"/>
              </w:rPr>
              <w:t xml:space="preserve">2. EFI+ (European Fish Index) applicability — the EFI+ is the EU Water Framework Directive standard for fish-based water quality assessment. Reviewer should confirm appropriate equivalent indices for non-European deployment contexts (IBI — Index of Biotic Integrity for North America; Australian variants; tropical stream fish indices).</w:t>
            </w:r>
          </w:p>
          <w:p>
            <w:pPr>
              <w:spacing w:after="60" w:before="0"/>
              <w:jc w:val="left"/>
            </w:pPr>
            <w:r>
              <w:rPr>
                <w:rFonts w:ascii="Arial" w:cs="Arial" w:eastAsia="Arial" w:hAnsi="Arial"/>
                <w:b w:val="false"/>
                <w:bCs w:val="false"/>
                <w:color w:val="000000"/>
                <w:sz w:val="16"/>
                <w:szCs w:val="16"/>
              </w:rPr>
              <w:t xml:space="preserve">3. Level 1 visual observation protocol — the profile uses visual observation (snorkelling, polarising glasses, bankside observation) as the Level 1 proxy for fish community quality. Reviewer should confirm whether this produces sufficiently reliable data for monitoring purposes in agricultural waterways, noting that water clarity in agricultural ditches is often too low for visual observation.</w:t>
            </w:r>
          </w:p>
          <w:p>
            <w:pPr>
              <w:spacing w:after="80" w:before="0"/>
              <w:jc w:val="left"/>
            </w:pPr>
            <w:r>
              <w:rPr>
                <w:rFonts w:ascii="Arial" w:cs="Arial" w:eastAsia="Arial" w:hAnsi="Arial"/>
                <w:b w:val="false"/>
                <w:bCs w:val="false"/>
                <w:color w:val="000000"/>
                <w:sz w:val="16"/>
                <w:szCs w:val="16"/>
              </w:rPr>
              <w:t xml:space="preserve">4. eDNA fish detection — environmental DNA detection of fish species is now well-validated for many species and is moving toward regulatory acceptance. Reviewer should confirm the current status of eDNA fish assessment as a standalone monitoring tool for the primary deployment regions.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Fish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Aquatic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fish communities are present in virtually all permanent surface water bodies in agricultural landscapes globally, from headwater streams to farm ponds, drainage ditches, and irrigation channels.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Permanent or semi-permanent water body with confirmed or likely fish presence and adequate habitat for electric fishing or seine netting access. Very small or intermittent water bodies (&lt;1m wide, &lt;10cm deep in summer) may not support fish populations — in these cases the profile generates a 'not applicable — water body too small/ephemeral for fish monitoring' output.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Class: Actinopterygii and Petromyzontida (ray-finned fish and lampreys — both monitored in freshwater systems). Monitored at two levels: (1) Guild level — pollution-sensitive guilds (salmonids: brown trout Salmo trutta, grayling Thymallus thymallus in temperate Europe [geo]; cyprinids dependent on clean gravel substrate for spawning: dace Leuciscus leuciscus, chub Squalius cephalus; migratory species: sea trout, salmon where relevant) vs pollution-tolerant guilds (roach Rutilus rutilus, bream Abramis brama, perch Perca fluviatilis, ruffe Gymnocephalus cernua — tolerant of eutrophic, turbid conditions [geo]); (2) Species level — full electrofishing community assessment enabling EFI+ or national equivalent index calculation. Guild classification reflects water quality requirements; community composition provides the biological water quality signal.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Water quality biological indicator — fish community composition and guild structure provide a long-term integrated biological signal of water quality that complements the shorter-term signal from aquatic macroinvertebrates (Profile 17). Fish are long-lived and integrate water quality conditions over months to years; their presence or absence signals whether the water body has been chronically suitable for sensitive species rather than just episodically adequate. Provisioning service indicator — fish presence, species composition, and population structure directly indicate whether the water body is delivering its wild fish provisioning service.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Fish are the most visible indicator of water quality in agricultural waterways. A stream where trout can survive is a stream that is well-oxygenated, clean, and cool — everything that intensive agriculture tends to compromise. A ditch where only the most pollution-tolerant species (ruffe, bream, gudgeon) can survive tells you that the water quality has been inadequate for sensitive species for long enough that they have disappeared — a signal that no single chemical measurement can provide with the same ecological credibility. And the presence of a healthy fish community means the water is delivering real ecological function: supporting the food web, providing habitat for kingfishers and otters, and in many cases providing recreational and provisioning services to the farming community.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Fish monitoring in agricultural waterways sits at the intersection of ecology and practical farm management in a way that few other monitoring groups do. The farmer who discovers that the stream through their land supports a trout population has a concrete, commercially and recreationally significant biological outcome to communicate about the quality of their water management. The farmer who finds only ruffe and roach in a turbid ditch has an equally concrete signal that something needs to change. The ecological value of fish monitoring extends well beyond the fish themselves — fish are the top biological indicator of integrated aquatic ecosystem health, and their recovery signals that the entire food web beneath them (invertebrates, algae, macrophytes, microbes) is also recovering.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Slow (Stage 3, Year 3–10). Fish community composition changes require sustained water quality improvement over multiple years before sensitive species can recolonise and establish populations. Fish are long-lived and their community composition integrates conditions over years, making them slower to respond but more reliable as long-term trend indicators than invertebrates.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Medium (2–5 years): Pollution-tolerant species proportion declining and sensitive species beginning to recolonise following consistent water quality improvement — detectable in electrofishing surveys and eDNA (Hering et al. 2006; Pont et al. 2006).</w:t>
            </w:r>
          </w:p>
          <w:p>
            <w:pPr>
              <w:spacing w:after="60" w:before="0"/>
              <w:jc w:val="left"/>
            </w:pPr>
            <w:r>
              <w:rPr>
                <w:rFonts w:ascii="Arial" w:cs="Arial" w:eastAsia="Arial" w:hAnsi="Arial"/>
                <w:b w:val="false"/>
                <w:bCs w:val="false"/>
                <w:color w:val="000000"/>
                <w:sz w:val="17"/>
                <w:szCs w:val="17"/>
              </w:rPr>
              <w:t xml:space="preserve">Slow (5–10 years): Recovery of salmonid and other sensitive species populations to sustainable breeding densities following sustained water quality improvement. Juvenile salmonid presence (indicating successful spawning) is detectable within 3–5 years of suitable spawning habitat recovery (Friberg et al. 2009).</w:t>
            </w:r>
          </w:p>
          <w:p>
            <w:pPr>
              <w:spacing w:after="80" w:before="0"/>
              <w:jc w:val="left"/>
            </w:pPr>
            <w:r>
              <w:rPr>
                <w:rFonts w:ascii="Arial" w:cs="Arial" w:eastAsia="Arial" w:hAnsi="Arial"/>
                <w:b w:val="false"/>
                <w:bCs w:val="false"/>
                <w:color w:val="000000"/>
                <w:sz w:val="16"/>
                <w:szCs w:val="16"/>
              </w:rPr>
              <w:t xml:space="preserve">[geo] Timescales primarily from European temperate stream systems. Tropical freshwater fish communities may respond faster or differently due to different life histories.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freshwater fisheries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pollution from internal sources — fine sediment and nutrient runoff</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Fine sediment is the dominant agricultural impact on fish communities globally — it clogs the gravel substrate that salmonids and other sensitive species require for spawning, smothers invertebrate prey communities, and reduces water clarity for visual hunters. Nutrient enrichment drives algal production that reduces dissolved oxygen during decomposition and physically clogs habitat. Fine sediment impact on salmonid spawning gravel is documented as the primary cause of salmonid population decline in agricultural headwaters across Europe and North America (Friberg et al. 2009; Hering et al.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Drainage infrastructure modification — barriers and channelisation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Culverts, weirs, sluices, and water control structures in agricultural drainage systems prevent fish migration — eliminating migratory species from upstream reaches and fragmenting populations of non-migratory species. Channelisation eliminates the pool-riffle structure that provides habitat diversity for multiple life stages. Physical barriers are the second most important driver of fish community impoverishment in agricultural waterways (Pont et al. 2006).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Unsustainable water abstraction — flow reduction and dewatering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Reduced baseflow concentrates pollutants, exposes spawning gravel during critical periods, and may cause complete channel dewatering that eliminates fish populations from affected reaches. Repeated summer dewatering events cause cumulative population reduction in non-mobile life stages (larvae, eggs) (Friberg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 — riparian destruction and bank erosion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Livestock-induced bank erosion delivers fine sediment to spawning habitat. Loss of riparian tree cover through livestock grazing raises water temperature above the thermal tolerance of salmonids. Direct livestock fouling of water bodies with ammonia is acutely toxic to fish at high loadings (Lorenz et al. 2016).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runoff toxicity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Acute pesticide runoff events cause direct fish mortality — documented for organophosphates, pyrethroids, and herbicides reaching water bodies through spray drift or surface runoff during rainfall events. Even sub-lethal concentrations impair salmonid reproductive success and immune function (Hering et al. 2006).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Fish community EFI+ score (or national equivalent) is the EU Water Framework Directive standard biological indicator for aquatic biodiversity in rivers. Declining EFI+ score signals declining ecological status of the water body — a regulatory and ecological signal of aquatic biodiversity decline (Pont et al.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Surface water pollution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ratio of pollution-sensitive to pollution-tolerant fish species in the community (guild ratio) is a long-term integrated biological signal of chronic surface water pollution. Unlike aquatic macroinvertebrates (Profile 17), which respond within 1–2 seasons, fish guild composition reflects months to years of water quality history — making the signal more ecologically robust for chronic pollution assessment (Hering et al. 2006).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Flooding and waterlogging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Fish community age structure (presence vs absence of juvenile cohorts) is a sensitive indicator of recent flood disturbance — successful recruitment indicates that flood disturbance was not so severe as to eliminate spawning success. Repeated absence of juvenile cohorts signals recurring flood-related spawning failure or egg smothering from sediment.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fish provisioning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Fish populations in farm streams and ponds provide direct provisioning — recreational fishing, subsistence harvesting, and in some contexts commercial artisanal fishing — that is directly quantifiable and economically significant in many farming landscapes. Fish population status (species composition, population structure, biomass) directly indicates whether this provisioning service is functional, degraded, or recovering (Pont et al.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Predatory fish — particularly brown trout, perch, and pike — regulate prey invertebrate communities including pest species (mosquito larvae, some agricultural pest insect larvae in water). Their presence signals a functional aquatic food web with top-predator regulatory function.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Fish are the primary prey of kingfishers, grey herons, otters, and osprey in agricultural landscapes. Diverse, abundant fish communities directly sustain these higher vertebrate predator populations whose presence signals a fully functional riparian ecosystem. Monitoring fish community quality is simultaneously monitoring the food web support for these ecologically and culturally significant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Rivers and streams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lotic fish communities; electrofishing standard methodology.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F2.x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Lakes and ponds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 ponds with fish populations — seine netting or eDNA for assessment.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TF1.x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Palustrine wetlands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permanent wetland water bodies support fish communities.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EFGs with permanent water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Present wherever permanent water bodies exist in agricultural landscapes.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drainage ditches, farm ponds, or water courses pass through arable land.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pastoral streams with salmonid potential; livestock exclusion from water margins primary management action.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agricultural wetlands support fish communities.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Water body and catchment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Fish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Upland headwater streams (high gradient, cold, clean)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salmonid habitat — brown trout, grayling in temperate Europe [geo]. Highest water quality signal. Even low-density trout presence confirms excellent water quality; their absence in apparently suitable habitat signals water quality or barrier problems.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Lowland agricultural rivers (moderate gradient, temperate)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Mixed cyprinid community; community composition reflects nutrient and sediment pressure. Sensitive species (dace, chub, barbel in temperate Europe [geo]) declining under increasing agricultural pressure; tolerant species (bream, roach, perch) increasing.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 drainage ditches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Small-bodied tolerant species — sticklebacks (Gasterosteus aculeatus), gudgeon, bream juveniles where water quality is adequate. Absence of all fish in apparently permanent ditches signals severe water quality or barrier problems.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 ponds (stillwater)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Managed or natural ponds may support roach, perch, bream, tench, carp, and pike. Fish community often reflects stocking history rather than purely ecological water quality — note stocking history at every survey.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drinking from streams — unexcluded riparian zone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degradation scenario for salmonid habitat in pastoral farmland. Exclusion fencing with a 2–5m buffer strip is the most impactful single management action. Monitoring fish community before and after exclusion provides the most direct practice verification available in freshwater ecology.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cropping with high-input management adjacent to watercourses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pesticide and nutrient runoff risk. Monitoring fish community composition tracks the integrated biological response to diffuse pollution from adjacent arable land — providing ecological context for the abiotic water quality measurements (A15–A18).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Dissolved oxygen (DO)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dissolved oxygen above the minimum salmonid threshold (approximately 7mg/L [~]) is the primary abiotic precursor for sensitive fish species recolonisation. DO improvement should precede detectable sensitive species return by 1–3 seasons as water quality becomes biologically adequate. Brown trout in particular require &gt;7mg/L DO for egg incubation success (Friberg et al.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turbidity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turbidity signals reducing fine sediment input — the primary cause of spawning substrate smothering. Turbidity improvement should precede improvement in spawning gravel quality by 1–3 seasons, and juvenile salmonid cohort presence by a further 1–2 years (Hering et al. 2006).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nitrate concentration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nitrate is an enabling precursor for aquatic plant and invertebrate recovery that indirectly improves fish habitat quality and food availability. Nitrate decline precedes the biological fish community improvement by 2–5 seasons through the invertebrate food chain.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pH below 5.5 is directly lethal to most freshwater fish species and impairs reproduction of salmonids at pH below 6.0 [~]. pH recovery above 6.5 toward the neutral range is the abiotic precursor for fish community recovery in acid-impacted streams. pH improvement precedes fish community recovery by 1–3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trees and restore woody vegetation — riparian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Riparian tree planting provides critical shading that reduces water temperature toward the range suitable for salmonid egg incubation and juvenile survival. Overhanging trees also provide terrestrial insect inputs (caterpillars, beetles) that are a significant food source for trout and other fish. Riparian planting is among the most impactful long-term fish habitat improvement actions available.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harvesting and soil moisture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Maintaining baseflow during summer drought periods is critical for fish survival — flow reduction concentrates pollutants and exposes juvenile fish to lethal thermal conditions. Improved catchment water management that sustains baseflow directly benefits fish population viability through dry periods.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 reducing fine sediment input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Vegetated buffer strips that intercept and filter runoff before it reaches the water body are the primary mechanism for reducing fine sediment inputs to fish spawning habitat. Their establishment directly addresses the most widespread agricultural pressure on fish communities globally.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Livestock exclusion from water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The presence of juvenile salmonid cohorts in streams where livestock have been excluded from the riparian zone is the most ecologically compelling practice verification signal in freshwater monitoring — it confirms that the combination of reduced sediment input, restored riparian shading, and reduced ammonia loading has improved water quality sufficiently for successful spawning and juvenile survival. This signal typically requires 3–5 years of consistent livestock exclusion before juvenile cohort presence is detectable (Lorenz et al. 2016; Pont et al. 2006).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Electrofishing or eDNA detection of juvenile (0+ age class) salmonids within 3–5 seasons of livestock exclusion and riparian recovery where adult source population is available; EFI+ or equivalent score improving progressively over 5–10 years; pollution-tolerant:sensitive species ratio improving from Year 3 onward as water quality improves cumulatively.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Buffer strip establishment along water margins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Fish guild ratio (sensitive:tolerant species proportion) improvement at monitoring points downstream of buffer strip establishment is the biological verification signal for this practice — confirming that reduced diffuse pollution loading is producing measurable water quality improvement detectable in the long-term biological integrator (fish community) rather than just in snapshot chemistry.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Guild ratio improving (proportion of pollution-sensitive species increasing) within 3–7 seasons of buffer strip establishment; EFI+ or equivalent score improving measurably over 5–10 seasons of consistent buffer management; salmonid juvenile cohorts appearing within 5 years where breeding adults are present and spawning gravel has recovered.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 — Aquatic macroinvertebrates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macroinvertebrates are the primary food source for most freshwater fish species. Fish community composition and EPT (aquatic invertebrate) richness are positively correlated — both respond to the same water quality pressures and both recover under the same management improvements. Monitoring both profiles at the same water body monitoring point in the same field visit (shared survey event) provides the most complete biological assessment of water body ecological health. Profile 17 (faster-responding) provides the early signal; Profile 18 (slower-responding) provides the long-term confirmed verification.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31 — Aquatic and riparian vegetation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Aquatic macrophytes provide physical habitat structure, oxygen production, and invertebrate food resource that directly sustains fish communities — particularly juvenile fish that use macrophyte beds as shelter from predation. Riparian tree canopy from the vegetation community controls water temperature, providing leaf litter prey inputs and shading. The three aquatic profiles (17, 18, 31) form the most complete aquatic ecosystem biological assessment package in the LAHMP framework.</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 — Bats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Emerging adult aquatic insects (mayfly, stonefly, caddisfly hatches) from healthy fish-supporting streams are primary prey for Daubenton's bats and other water-foraging bat species. High fish-quality streams with diverse EPT communities produce significant insect emergence biomass that sustains riverside bat populations. The fish community quality indicator therefore indirectly predicts aquatic insect emergence available to bats.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freshwater fisheries ecologists.</w:t>
            </w:r>
          </w:p>
          <w:p>
            <w:pPr>
              <w:spacing w:after="60" w:before="0"/>
              <w:jc w:val="left"/>
            </w:pPr>
            <w:r>
              <w:rPr>
                <w:rFonts w:ascii="Arial" w:cs="Arial" w:eastAsia="Arial" w:hAnsi="Arial"/>
                <w:b/>
                <w:bCs/>
                <w:color w:val="C0392B"/>
                <w:sz w:val="16"/>
                <w:szCs w:val="16"/>
              </w:rPr>
              <w:t xml:space="preserve">LICENSING REQUIREMENT:</w:t>
            </w:r>
            <w:r>
              <w:rPr>
                <w:rFonts w:ascii="Arial" w:cs="Arial" w:eastAsia="Arial" w:hAnsi="Arial"/>
                <w:b w:val="false"/>
                <w:bCs w:val="false"/>
                <w:color w:val="000000"/>
                <w:sz w:val="16"/>
                <w:szCs w:val="16"/>
              </w:rPr>
              <w:t xml:space="preserve"> Electrofishing (Level 2 and 3) requires a valid operator licence in virtually all jurisdictions. The monitoring coordinator must confirm that an appropriately licensed operator is available before specifying electrofishing in the monitoring programme. eDNA fish detection (Level 2 extension and Level 3) does not typically require a fishing licence but may require species survey licences for legally protected species.</w:t>
            </w:r>
          </w:p>
          <w:p>
            <w:pPr>
              <w:spacing w:after="80" w:before="0"/>
              <w:jc w:val="left"/>
            </w:pPr>
            <w:r>
              <w:rPr>
                <w:rFonts w:ascii="Arial" w:cs="Arial" w:eastAsia="Arial" w:hAnsi="Arial"/>
                <w:b w:val="false"/>
                <w:bCs w:val="false"/>
                <w:color w:val="000000"/>
                <w:sz w:val="16"/>
                <w:szCs w:val="16"/>
              </w:rPr>
              <w:t xml:space="preserve">Shared monitoring efficiency: Profiles 17 (Aquatic macroinvertebrates), 18 (Fish), and 31 (Aquatic/riparian vegetation) should be assessed at the same water body monitoring point in the same site visit wherever possible.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Visual observation and eDNA presence/absence detection. Bankside and shallow-water observation of fish using polarising glasses or snorkel view; eDNA water sampling provides presence/absence confirmation for key species without fishing.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Visual fish observation and eDNA presence/absence — community observer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Presence/absence of fish; approximate size class composition by visual observation; species identification where possible from visual or eDNA detection. Guild-level community quality assessment (sensitive species present vs only tolerant species) from bankside observation.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Visual observation: stand quietly on the bank at a monitoring point for 5 minutes, looking into the water using polarising sunglasses to reduce surface glare. Note: (a) whether any fish are visible; (b) approximate size class of visible fish (small &lt;10cm / medium 10–25cm / large &gt;25cm); (c) species if recognisable — trout and salmon have spotted bodies and an adipose fin; perch have vertical dark stripes and spiny dorsal fin; roach, bream, and cyprinids are silver-bodied. Note water clarity (whether fish would be visible if present in shallow areas).</w:t>
            </w:r>
          </w:p>
          <w:p>
            <w:pPr>
              <w:spacing w:after="80" w:before="0"/>
              <w:jc w:val="left"/>
            </w:pPr>
            <w:r>
              <w:rPr>
                <w:rFonts w:ascii="Arial" w:cs="Arial" w:eastAsia="Arial" w:hAnsi="Arial"/>
                <w:b w:val="false"/>
                <w:bCs w:val="false"/>
                <w:color w:val="000000"/>
                <w:sz w:val="17"/>
                <w:szCs w:val="17"/>
              </w:rPr>
              <w:t xml:space="preserve">eDNA sampling (optional at Level 1, recommended): collect 1 litre of water from the monitoring point in a sterile bottle. Filter through a 47mm 0.45μm membrane using a hand pump filter unit. Seal the filter in a labelled tube with 100% ethanol. Submit to a laboratory for species-specific eDNA PCR testing (e.g. presence/absence for trout, eel, crayfish as indicator species for water quality). This does not require a fishing licence in most jurisdictions.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Polarising sunglasses (essential); field datasheet; camera. For eDNA: sterile 1L sampling bottles; 47mm filter holder and 0.45μm membranes; hand pump; 100% ethanol; labelled sample tubes. Do not touch water with bare hands when collecting eDNA samples — wear disposable gloves.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for visual observation. eDNA sample collection requires a 30-minute briefing on sterile technique. Species identification from visual observation is aided by a waterproof fish identification card (laminated, suitable for bankside use).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(April–July in temperate Europe) — fish most active and visible in shallow water; juvenile fish of the year visible from June onward. eDNA detection reliable year-round but highest signal in summer when fish activity and cell shedding are highest.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(September–October) — adult salmonids congregating for spawning are most visible from the bank. Juvenile 0+ fish visible in shallow marginal water.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15–20 minutes bankside observation; 10 minutes eDNA sampling (if conducted). Combined with Profile 17 and 31 survey: 90 minutes total.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visual observation trends. eDNA results available within 4–6 weeks of sample submission.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Fish presence (Y/N); size class distribution of observed fish; species identified (visual or eDNA); guild assessment (sensitive species present Y/N; tolerant species present Y/N); water clarity (clear / moderate / turbid — would fish be visible if present?).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Water surface photograph showing water clarity. (2) Any visible fish photographed — even silhouettes underwater are useful. (3) Bank condition photograph showing riparian structure and livestock access evidence. (4) eDNA sample collection photograph showing technique.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river lampreys with eels. Lampreys have a circular sucking mouth (no jaw), seven visible gill openings on each side of the body, and no paired fins. Eels have a jaw, a single gill slit, and no visible gill openings on the body. Both are elongate — the key features are the mouth structure and gill arrangement.</w:t>
            </w:r>
          </w:p>
          <w:p>
            <w:pPr>
              <w:spacing w:after="60" w:before="0"/>
              <w:jc w:val="left"/>
            </w:pPr>
            <w:r>
              <w:rPr>
                <w:rFonts w:ascii="Arial" w:cs="Arial" w:eastAsia="Arial" w:hAnsi="Arial"/>
                <w:b w:val="false"/>
                <w:bCs w:val="false"/>
                <w:color w:val="000000"/>
                <w:sz w:val="16"/>
                <w:szCs w:val="16"/>
              </w:rPr>
              <w:t xml:space="preserve">Second error: reporting absence based on non-observation in turbid water. If the water is turbid (you cannot see the substrate from the surface), the absence of visible fish tells you nothing about whether fish are actually present. Record water clarity and note 'visual assessment not possible — turbid conditions'. Use eDNA sampling in turbid water bodies.</w:t>
            </w:r>
          </w:p>
          <w:p>
            <w:pPr>
              <w:spacing w:after="80" w:before="0"/>
              <w:jc w:val="left"/>
            </w:pPr>
            <w:r>
              <w:rPr>
                <w:rFonts w:ascii="Arial" w:cs="Arial" w:eastAsia="Arial" w:hAnsi="Arial"/>
                <w:b w:val="false"/>
                <w:bCs w:val="false"/>
                <w:color w:val="000000"/>
                <w:sz w:val="16"/>
                <w:szCs w:val="16"/>
              </w:rPr>
              <w:t xml:space="preserve">Third error: surveying in the wrong microhabitat. Fish concentrate in habitat features — pools under overhanging banks, the downstream tail of riffles, deep water adjacent to macrophyte beds. Do not survey along featureless, uniform sections of channel — move to a pool or riffle tail for the best observation results.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Sensitive species (trout, grayling, salmon) visible or eDNA-detected: excellent water quality confirmed — these species cannot survive in polluted conditions. Connect to Services #6 (Wild fish provisioning) and #30 (Nursery habitat) as strongly positive ecological indicators.</w:t>
            </w:r>
          </w:p>
          <w:p>
            <w:pPr>
              <w:spacing w:after="50" w:before="0"/>
              <w:jc w:val="left"/>
            </w:pPr>
            <w:r>
              <w:rPr>
                <w:rFonts w:ascii="Arial" w:cs="Arial" w:eastAsia="Arial" w:hAnsi="Arial"/>
                <w:b w:val="false"/>
                <w:bCs w:val="false"/>
                <w:color w:val="000000"/>
                <w:sz w:val="17"/>
                <w:szCs w:val="17"/>
              </w:rPr>
              <w:t xml:space="preserve">Only tolerant species visible (roach, bream, perch, gudgeon, sticklebacks): community present but water quality insufficient for sensitive species. Check A8 abiotic precursors — particularly DO (A18), turbidity (A16), and nitrate (A17).</w:t>
            </w:r>
          </w:p>
          <w:p>
            <w:pPr>
              <w:spacing w:after="80" w:before="0"/>
              <w:jc w:val="left"/>
            </w:pPr>
            <w:r>
              <w:rPr>
                <w:rFonts w:ascii="Arial" w:cs="Arial" w:eastAsia="Arial" w:hAnsi="Arial"/>
                <w:b w:val="false"/>
                <w:bCs w:val="false"/>
                <w:color w:val="000000"/>
                <w:sz w:val="16"/>
                <w:szCs w:val="16"/>
              </w:rPr>
              <w:t xml:space="preserve">Zero fish detected in apparently permanent water body: severe degradation or complete barrier to access. Check for culverts, sluices, or weirs preventing upstream migration. Check DO — acute hypoxia can eliminate fish from otherwise suitable habitat.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Evidence of livestock access to the water body (poached banks, dung in water, hoof marks); (2) Buffer strip width if present; (3) Evidence of any recent runoff events (colour, turbidity, scum); (4) Any culverts, weirs, or sluices visible upstream of the monitoring point that might prevent fish passage; (5) Whether fish stocking has occurred in the past 12 months (stocked fish complicate community interpretation).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NEVER enter water above knee height without appropriate training and safety equipment. All Level 1 assessment is from the bank. Leptospirosis risk from water contact — cover cuts, wash hands. Do NOT conduct water entry without informing someone of location and expected return. In tropical contexts: check regional health authority guidance for water-borne disease risk before any water contact.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eDNA fish detection methodology following Rees et al. (2014); bankside observation protocol adapted from LDSF and Ecdysis field assessment protocols.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https://doi.org/10.1111/1755-0998.12300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 (licensed electrofishing operator)</w:t>
            </w:r>
          </w:p>
          <w:p>
            <w:pPr>
              <w:spacing w:after="80" w:before="0"/>
              <w:jc w:val="left"/>
            </w:pPr>
            <w:r>
              <w:rPr>
                <w:rFonts w:ascii="Arial" w:cs="Arial" w:eastAsia="Arial" w:hAnsi="Arial"/>
                <w:b w:val="false"/>
                <w:bCs w:val="false"/>
                <w:color w:val="FFFFFF"/>
                <w:sz w:val="16"/>
                <w:szCs w:val="16"/>
              </w:rPr>
              <w:t xml:space="preserve">Standardised electrofishing survey — single-pass or multi-pass electrofishing provides quantitative fish community composition data enabling EFI+ score or national equivalent calculation.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Standardised single-pass electrofishing with EFI+ scoring or national equivalent biotic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Fish species composition, abundance per 100m section, size class structure, and age class presence from standardised single-pass electrofishing. EFI+ score (or national equivalent) as the primary water quality index. Guild ratio (sensitive:tolerant species proportion) as secondary metric.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LICENSING PREREQUISITE: Electrofishing must be conducted by or under supervision of a licensed operator. Confirm licence validity before survey.</w:t>
            </w:r>
          </w:p>
          <w:p>
            <w:pPr>
              <w:spacing w:after="40" w:before="0"/>
              <w:jc w:val="left"/>
            </w:pPr>
            <w:r>
              <w:rPr>
                <w:rFonts w:ascii="Arial" w:cs="Arial" w:eastAsia="Arial" w:hAnsi="Arial"/>
                <w:b w:val="false"/>
                <w:bCs w:val="false"/>
                <w:color w:val="000000"/>
                <w:sz w:val="17"/>
                <w:szCs w:val="17"/>
              </w:rPr>
              <w:t xml:space="preserve">Follow national standard protocol (UK: Environment Agency standard electrofishing protocol; European: CEN EN 14011:2003 standard [geo]; adapt to national equivalent for other regions). Standard single-pass: wade upstream for 100m section using backpack electrofishing unit (DC pulse, 300–600V depending on conductivity). Net all stunned fish. Identify to species, measure total length, and weigh each individual. Return all fish to the water body immediately. Record species, length, weight, and age class (juvenile 0+ / sub-adult / adult) per individual.</w:t>
            </w:r>
          </w:p>
          <w:p>
            <w:pPr>
              <w:spacing w:after="80" w:before="0"/>
              <w:jc w:val="left"/>
            </w:pPr>
            <w:r>
              <w:rPr>
                <w:rFonts w:ascii="Arial" w:cs="Arial" w:eastAsia="Arial" w:hAnsi="Arial"/>
                <w:b w:val="false"/>
                <w:bCs w:val="false"/>
                <w:color w:val="000000"/>
                <w:sz w:val="17"/>
                <w:szCs w:val="17"/>
              </w:rPr>
              <w:t xml:space="preserve">Calculate EFI+ score or national equivalent from species data using the relevant software package. Record all species encountered and note any protected or invasive species immediately to relevant authority.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Electrofishing unit (backpack DC pulse generator); licensed operator; stop-net(s); fish handling equipment (nets, fish container with oxygenated water, anaesthetic if required by national protocol); measuring board; balance;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electrofishing operator — this is a legal requirement in virtually all jurisdictions. Fish identification to species level for common stream fish. EFI+ or national equivalent calculation requires software access and training.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autumn (May–September in temperate Europe) — when fish are active and visible; avoid spawning periods (autumn–winter for salmonids). Check national protocol for recommended seasonal window.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particularly for juvenile 0+ salmonid detection (confirms successful spawning this year).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1–2 hours per 100m section for electrofishing + recovery + data recording. Combined water body survey with Profiles 17 and 31: half-day site visit.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 annual survey sufficient for trend monitoring. 2 visits (spring + autumn) recommended for complete species capture and 0+ juvenile detection.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EFI+ score trends. Community composition changes are slow — statistical trend detection requires longer time series than most invertebrate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EFI+ score or national equivalent; species list; total fish density (individuals per 100m); biomass (g per 100m); guild ratio (sensitive:tolerant); 0+ juvenile proportion (%) as spawning success indicator; size class distribution per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Electrofishing in progress — photograph from bank showing team and technique. (2) Fish photography: photograph each species in water container showing key identification characters. (3) Size class documentation: photograph measuring board with representative individuals. (4) Spawning gravel: photograph substrate condition at monitoring point.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Juvenile (0+) salmonids detected in autumn survey: successful spawning this year — the most direct biological confirmation that spawning habitat quality has improved sufficiently for reproductive success. Connect to B2 practice verification for P13 (livestock exclusion) and P16 (buffer strip).</w:t>
            </w:r>
          </w:p>
          <w:p>
            <w:pPr>
              <w:spacing w:after="50" w:before="0"/>
              <w:jc w:val="left"/>
            </w:pPr>
            <w:r>
              <w:rPr>
                <w:rFonts w:ascii="Arial" w:cs="Arial" w:eastAsia="Arial" w:hAnsi="Arial"/>
                <w:b w:val="false"/>
                <w:bCs w:val="false"/>
                <w:color w:val="000000"/>
                <w:sz w:val="17"/>
                <w:szCs w:val="17"/>
              </w:rPr>
              <w:t xml:space="preserve">EFI+ score improving toward 'good' status (&gt;0.6 [~]): fish community recovering — long-term water quality improvement confirmed in the most robust biological indicator available. Connect to Services #6 (Wild fish) and #30 (Nursery habitat).</w:t>
            </w:r>
          </w:p>
          <w:p>
            <w:pPr>
              <w:spacing w:after="80" w:before="0"/>
              <w:jc w:val="left"/>
            </w:pPr>
            <w:r>
              <w:rPr>
                <w:rFonts w:ascii="Arial" w:cs="Arial" w:eastAsia="Arial" w:hAnsi="Arial"/>
                <w:b w:val="false"/>
                <w:bCs w:val="false"/>
                <w:color w:val="000000"/>
                <w:sz w:val="16"/>
                <w:szCs w:val="16"/>
              </w:rPr>
              <w:t xml:space="preserve">Invasive species detected (e.g. signal crayfish, topmouth gudgeon, sunbleak in European context [geo]): report immediately to national authorities — invasive fish and crustaceans are notifiable in most jurisdictions. Do not return to water without checking national rules for invasive species handling.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Electrofishing safety: NEVER operate electrofishing equipment alone — a minimum of two qualified persons required. Stand on the bank during electrofishing where possible — if wading is required, wear insulating waders and gloves. All team members must stand on the same potential gradient — do not operate across the current from the operator. Deactivate the unit before entering the water or netting fish. Emergency cut-off must be accessible to all team members. Full electrofishing safety briefing required before each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CEN EN 14011:2003 Water quality — Sampling of fish with electricity [geo — European standard]; Pont et al. (2006) EFI+ methodology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https://doi.org/10.1111/j.1365-2400.2005.00489.x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Multi-pass electrofishing with population density estimation, genetic population structure analysis, and comprehensive eDNA metabarcoding for full species inventory including rare and cryptic taxa.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Multi-pass electrofishing population estimates with eDNA metabarcoding and genetic connectivity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density estimates (individuals per 100m) for key species using 3-pass removal method; age-class structure from scale or otolith ageing; genetic population connectivity between monitoring sites; eDNA metabarcoding for complete species inventory including rare, cryptic, and legally protected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Three-pass electrofishing: conduct three successive electrofishing passes of the same 100m section, with each pass removing all fish encountered. Use removal method population estimation (Leslie-Davis or maximum likelihood estimator) to calculate population density and capture probability. Scale or otolith reading for age-class structure on 20 individuals per common species. eDNA: as per Level 1 eDNA protocol but with quantitative PCR (qPCR) for key species concentration rather than simple presence/absence. Genetics: fin clip samples from 10 individuals per target species per site for microsatellite population structure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stop nets and block nets for 100m section isolation; scale reading equipment or otolith extraction tools; qPCR laboratory access; genetic laboratory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senior fisheries ecologist; population ecologist for Leslie-Davis estimation; genetic ecologist for population structure analysis; molecular biologist for qPCR.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Autumn for 0+ juvenile cohort assessment and spawning activity observation.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(summer primary). Autumn visit for juvenile 0+ cohort strongly recommended.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population density trends; 10 years for robust statistical inference.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density estimate (N/100m) with 95% CI per species; capture probability (p); age class proportions; genetic diversity (He, Ho) per site; Fst between sites as connectivity index; eDNA quantification (copies/L) per species; complete species inventory including legally protected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density increasing in sensitive species over 5+ years: confirmed population recovery — the highest level of biological verification of water quality improvement available in freshwater monitoring. Fst declining between monitoring sites over time: fish population connectivity improving — barriers may have been removed or habitat corridors created.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with additional section isolation safety considerations. Block nets must not create entanglement hazards for wading personnel. qPCR laboratory — standard molecular biology safety.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Pont et al. (2006); Friberg et al. (2009); Rees et al. (2014)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https://doi.org/10.1111/j.1365-2400.2005.00489.x</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Friberg N, Bonada N, Bradley DC, Dunbar MJ, Edwards FK, Grey J, et al. (2009) Biomonitoring of human impacts in freshwater ecosystems: the good, the bad and the ugly. Advances in Ecological Research 44:1–68.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https://doi.org/10.1016/B978-0-12-374794-5.00001-8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A8; B2;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Hering D, Moog O, Sandin L, Verdonschot PFM (2006) Overview and application of the AQEM assessment system. Hydrobiologia 566:1–12.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https://doi.org/10.1007/s10750-006-0115-9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Lorenz AW, Korte T, Sundermann A, Januschke K, Haase P (2016) Macrophytes respond to reach-scale river restoration. Journal of Applied Ecology 49:202–212.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https://doi.org/10.1111/j.1365-2664.2011.02082.x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Pont D, Hugueny B, Beier U, Goffaux D, Melcher A, Noble R, et al. (2006) Assessing river biotic condition at a continental scale: a European approach using functional metrics and fish assemblages. Journal of Applied Ecology 43:70–80.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https://doi.org/10.1111/j.1365-2400.2005.00489.x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A2; A3; B2; Protocol Level 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Rees HC, Maddison BC, Middleditch DJ, Patmore JRM, Gough KC (2014) The detection of aquatic animal species using environmental DNA — a review of eDNA as a survey tool in ecology. Journal of Applied Ecology 51:1450–1459.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https://doi.org/10.1111/1755-0998.12300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1 (eDNA); Protocol Level 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18 — Fish</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18 — Fish</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153091-4329-4227-99FB-D1311FE75574}"/>
</file>

<file path=customXml/itemProps2.xml><?xml version="1.0" encoding="utf-8"?>
<ds:datastoreItem xmlns:ds="http://schemas.openxmlformats.org/officeDocument/2006/customXml" ds:itemID="{27181EB8-73A4-4136-BB4F-7B7A3B2FE1DA}"/>
</file>

<file path=customXml/itemProps3.xml><?xml version="1.0" encoding="utf-8"?>
<ds:datastoreItem xmlns:ds="http://schemas.openxmlformats.org/officeDocument/2006/customXml" ds:itemID="{6F137CE9-8E59-4CCD-A5BE-538DACCD992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2026-04-12T15:06:48Z</dcterms:created>
  <dcterms:modified xsi:type="dcterms:W3CDTF">2026-04-12T15:06:48Z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