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6"/>
                <w:szCs w:val="26"/>
              </w:rPr>
              <w:t xml:space="preserve">Profile 21 — Frogs and toads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herpetologists before platform deployment. Note: in many jurisdictions, handling of amphibians (particularly protected species) requires a licence. The protocols at Levels 1 and 2 avoid physical handling wherever possible.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Chytrid fungus biosecurity — Batrachochytrium dendrobatidis (Bd) and B. salamandrivorans (Bsal) are amphibian pathogens that can be spread between water bodies on survey equipment. The profile includes biosecurity guidance at every level but reviewer should confirm whether the decontamination procedures described are consistent with current national biosecurity guidelines for the primary deployment regions.</w:t>
            </w:r>
          </w:p>
          <w:p>
            <w:pPr>
              <w:spacing w:after="60" w:before="0"/>
              <w:jc w:val="left"/>
            </w:pPr>
            <w:r>
              <w:rPr>
                <w:rFonts w:ascii="Arial" w:cs="Arial" w:eastAsia="Arial" w:hAnsi="Arial"/>
                <w:b w:val="false"/>
                <w:bCs w:val="false"/>
                <w:color w:val="000000"/>
                <w:sz w:val="16"/>
                <w:szCs w:val="16"/>
              </w:rPr>
              <w:t xml:space="preserve">2. Hard prerequisite (water body) — this profile requires a permanent or seasonal pond, ditch, or wetland for breeding population monitoring. Reviewer should confirm the minimum water body size and permanence that makes the profile applicable, and whether terrestrial toad monitoring (road mortality counts or terrestrial transects) is a meaningful supplement where suitable breeding ponds are absent.</w:t>
            </w:r>
          </w:p>
          <w:p>
            <w:pPr>
              <w:spacing w:after="60" w:before="0"/>
              <w:jc w:val="left"/>
            </w:pPr>
            <w:r>
              <w:rPr>
                <w:rFonts w:ascii="Arial" w:cs="Arial" w:eastAsia="Arial" w:hAnsi="Arial"/>
                <w:b w:val="false"/>
                <w:bCs w:val="false"/>
                <w:color w:val="000000"/>
                <w:sz w:val="16"/>
                <w:szCs w:val="16"/>
              </w:rPr>
              <w:t xml:space="preserve">3. Egg mass counting accuracy — common frog (Rana temporaria) egg mass counts at breeding ponds are the primary Level 1 metric in temperate Europe [geo]. Reviewer should confirm (a) whether this metric is applicable in non-European contexts where different species have different spawn morphology, and (b) whether spawn counts in early spring are achievable for community observers given the narrow seasonal window.</w:t>
            </w:r>
          </w:p>
          <w:p>
            <w:pPr>
              <w:spacing w:after="80" w:before="0"/>
              <w:jc w:val="left"/>
            </w:pPr>
            <w:r>
              <w:rPr>
                <w:rFonts w:ascii="Arial" w:cs="Arial" w:eastAsia="Arial" w:hAnsi="Arial"/>
                <w:b w:val="false"/>
                <w:bCs w:val="false"/>
                <w:color w:val="000000"/>
                <w:sz w:val="16"/>
                <w:szCs w:val="16"/>
              </w:rPr>
              <w:t xml:space="preserve">4. Tropical amphibian diversity — the profile is primarily framed around temperate anuran communities. In tropical deployment contexts, amphibian diversity is dramatically higher and the species composition of the monitoring community, call survey approach, and ecological significance will differ substantially. Reviewer to flag adaptation requirements.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Frogs and toads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Applicable wherever permanent or seasonal water bodies exist within or adjacent to the monitored landscape. Where no suitable breeding water body is available within approximately 2km of the monitoring area, this profile generates a 'no suitable breeding habitat present' output, which is itself ecologically informative.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permanent or seasonal pond, ditch, wetland, or other standing water feature suitable for amphibian breeding — minimum approximately 4m2 surface area, retaining water for at least the period from February to June in temperate systems [geo]. Road mortality counts and terrestrial transects provide supplementary data where breeding ponds are not accessible for direct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Anura (frogs and toads). Two monitoring sub-groups: Frogs (Ranidae and related families) — smooth moist skin, long jumping legs, aquatic breeding with mass spawn; key temperate European species: common frog (Rana temporaria), edible frog (Pelophylax esculentus) complex [geo]; Toads (Bufonidae and related families) — warty dry skin, shorter legs, crawling locomotion, breeding with long string spawn; key temperate European species: common toad (Bufo bufo), natterjack toad (Epidalea calamita — requires specialist licence in UK [geo]). Note: newts (Caudata) are covered under Profile 39 (Salamanders and newts — Conditional profile) and are not included here. Monitoring at species level versus pooled frog/toad counts depends on regional species richness and identification complexity — in tropical contexts with high species diversity, call surveys with acoustic identification are the standard monitoring approach.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Water body and landscape quality indicator — amphibian breeding population size (egg mass or spawn string counts at ponds), adult abundance at breeding ponds, and juvenile metamorph counts reflect water body quality, terrestrial habitat connectivity between breeding sites and overwintering/foraging habitats, and the absence of acute pesticide contamination. Sentinel species — amphibians are among the most contaminant-sensitive vertebrates; their absence from apparently suitable water bodies is a reliable signal of water quality problems, pesticide contamination, or disease.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Frogs and toads occupy an unusual ecological position — they are simultaneously aquatic (as larvae) and terrestrial (as adults and juveniles), meaning that their population health reflects the quality of both environments and the connectivity between them. A pond that supports a healthy common frog population tells you that the water quality is adequate for embryo development, the aquatic food web is intact enough to sustain tadpoles, the pond margin provides adequate shade and refuge, and the terrestrial habitat within 500m provides overwintering and summer foraging conditions for the adults. They are compressed ecological indicators of the entire landscape unit around the water body — and their population trend across years tells you whether that landscape is improving or deteriorating.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Amphibians are among the most threatened vertebrate groups on Earth — approximately 41% of species are currently classified as threatened with extinction, a higher proportion than any other vertebrate class (IUCN 2023). In agricultural landscapes, the primary drivers are not exotic but local: drainage of farm ponds, pesticide contamination, fertiliser runoff, and the physical fragmentation of terrestrial habitat connectivity between breeding ponds and summer/winter terrestrial habitats. Monitoring amphibian breeding populations at farm ponds is therefore not just an ecological assessment — it is a direct audit of whether the farm's water and landscape management is sustaining or destroying a globally threatened vertebrate group. The egg mass count at a farm pond is one of the most direct and meaningful biodiversity monitoring actions possible at farm 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2–5). Breeding population size changes at monitored ponds respond within 2–4 seasons of management change. Population recovery following habitat improvement requires 3–7 years as cohorts mature.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First colonisation of new or improved ponds by common frog — this species disperses readily and colonises new ponds within 1–2 seasons where population sources exist within 2km. Spawn detected in Year 1 of a new farm pond confirms successful colonisation (Beebee &amp; Griffiths 2005).</w:t>
            </w:r>
          </w:p>
          <w:p>
            <w:pPr>
              <w:spacing w:after="60" w:before="0"/>
              <w:jc w:val="left"/>
            </w:pPr>
            <w:r>
              <w:rPr>
                <w:rFonts w:ascii="Arial" w:cs="Arial" w:eastAsia="Arial" w:hAnsi="Arial"/>
                <w:b w:val="false"/>
                <w:bCs w:val="false"/>
                <w:color w:val="000000"/>
                <w:sz w:val="17"/>
                <w:szCs w:val="17"/>
              </w:rPr>
              <w:t xml:space="preserve">Medium (3–7 years): Common toad population growth at improved breeding sites — toads are more site-faithful and dispersal-limited than frogs, but improve measurably within 3–7 seasons of habitat restoration (Beebee &amp; Griffiths 2005; Cooke &amp; Scorgie 1983).</w:t>
            </w:r>
          </w:p>
          <w:p>
            <w:pPr>
              <w:spacing w:after="80" w:before="0"/>
              <w:jc w:val="left"/>
            </w:pPr>
            <w:r>
              <w:rPr>
                <w:rFonts w:ascii="Arial" w:cs="Arial" w:eastAsia="Arial" w:hAnsi="Arial"/>
                <w:b w:val="false"/>
                <w:bCs w:val="false"/>
                <w:color w:val="000000"/>
                <w:sz w:val="16"/>
                <w:szCs w:val="16"/>
              </w:rPr>
              <w:t xml:space="preserve">[geo] Timescales primarily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herpetologists.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Unsustainable water infrastructure — pond drainage and ditch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pond drainage and infilling is the primary historical driver of amphibian decline in agricultural landscapes — the UK lost 50% of its farm ponds between 1950 and 2010 [geo] and the trajectory in other intensively managed agricultural regions is similar. Without breeding water bodies within dispersal range, populations cannot persist regardless of terrestrial habitat quality (Beebee &amp; Griffiths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direct and indirect toxicity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Amphibians absorb water and chemicals through their highly permeable skin and are among the most pesticide-sensitive vertebrates. Atrazine at concentrations documented in agricultural runoff causes endocrine disruption and sex reversal in frogs at parts per billion concentrations. Organophosphate runoff causes direct mortality of tadpoles. Glyphosate formulations containing polyethoxylated tallowamine (POEA) surfactant are acutely toxic to frog tadpoles at field-realistic concentrations (Relyea 2005). The profile notes these specific chemical risks for field team awareness.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 — nutrient and sediment runoff</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Eutrophication promotes algal blooms that reduce dissolved oxygen and can produce cyanobacterial toxins lethal to amphibian embryos. Fine sediment smothers pond substrate used by egg masses for anchor attachment and oxygen exchange. Fertiliser-enriched ponds consistently support lower amphibian species richness than nutrient-poor ponds (Beebee &amp; Griffiths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infrastructure modification — connectivity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Hard drainage infrastructure, roads, and field drainage improvements fragment the terrestrial habitat that amphibians must cross between breeding ponds and overwintering/summer foraging habitats. Road mortality during seasonal migration to and from breeding ponds is a significant mortality source for common toad populations in agricultural landscapes with high road density (Beebee &amp; Griffiths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pond bank destruction and water fouling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access to ponds causes bank erosion, direct faecal contamination, and physical disturbance of shallow breeding areas. Trampled pond margins destroy the marginal aquatic vegetation that provides egg mass attachment surfaces and tadpole shelter.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Amphibian breeding population size at farm ponds is a direct biological indicator of aquatic habitat quality. Common frog egg mass counts at farm ponds are among the most accessible and interpretable measures of farm pond biological status available to a community observer without specialist equipment. Declining counts signal deteriorating pond water quality or terrestrial habitat connectivity (Beebee &amp; Griffiths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Flooding and waterlogging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Amphibians are highly sensitive to water body permanence — seasonal ponds that dry before metamorphosis is complete cause total reproductive failure in that season. Increasing frequency of summer pond drying under climate change scenarios, combined with agricultural water management, is a growing pressure on amphibian populations in lowland agricultural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Common toad populations in fragmented agricultural landscapes show strong genetic differentiation between pond populations — evidence of reduced dispersal connectivity. Monitoring population size at multiple farm ponds detects whether connectivity is being maintained (stable population exchange between ponds) or collapsing (isolated populations declining independently).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Common toads are voracious predators of slugs, flies, beetles, and other invertebrates — consuming up to 100 prey items per night during the terrestrial season. A single toad in a vegetable garden or arable field margin provides measurable slug control over its foraging territory. Dense toad populations in traditionally managed farmland provide a distributed, persistent slug control service that has not been adequately valued in agricultural pest management planning (Beebee &amp; Griffiths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Amphibians are primary prey for grass snakes, herons, otters, and several bat species. Their abundance at farm ponds sustains predator populations whose presence signals a functional aquatic and semi-aquatic food web. Monitoring amphibian populations tracks the food base for these higher-trophic-level species simultaneously.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animal provisioning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 tropical and subtropical agricultural contexts, frogs are harvested for food — frog populations in farm ponds and rice paddies provide a directly utilisable provisioning service. Monitoring population health in these contexts is simultaneously biodiversity conservation and food security assessment.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Ponds, ditches, and farm water bodies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breeding habitat — all farm pond and ditch monitoring is relevant.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grassland with farm ponds is primary toad foraging habitat.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TF1.x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Palustrine 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wet marginal habitats function as breeding habitat.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adjacent to water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Amphibians use all terrestrial habitats within dispersal range of breeding water bodies.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all farm wetlands and ponds.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pastoral landscapes with farm ponds support highest amphibian populations.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farm ponds and ditches are present within arable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Water body and landscape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Amphibian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farm ponds (0.5–2m depth, 20–500m2, permanent, unshaded, no fish)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Optimal breeding habitat — the absence of predatory fish (particularly perch, pike, and bass) is a critical condition for tadpole survival. Traditional farm ponds that lack fish populations are the most important amphibian breeding habitat in agricultural landscapes. Record fish presence at every survey visit. [geo — temperate European context]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ditches with permanent water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Variable habitat — amphibians present in ditches where water quality and fish pressure are adequate. Common frog spawn in ditches is a positive indicator of adequate water quality. Livestock exclusion fencing significantly improves ditch amphibian habitat.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Rice paddies (tropical and subtropical)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Globally significant amphibian breeding habitat — seasonal flooded rice fields are critical breeding habitat for many tropical frog species. Pesticide use in rice paddies is a primary driver of tropical frog decline. Monitoring frog calling activity and tadpole presence in rice paddies provides both biodiversity and water quality information.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with pond access — primary threat configuration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access to breeding ponds destroys spawn, tramples margins, and fouls the water — the primary degradation pathway for farm pond amphibian populations. Livestock exclusion fencing with a 2–5m buffer strip is the most impactful management action; its effect on breeding population recovery is measurable within 2–3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and low-input grassland with farm ponds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farm-scale amphibian population density — reduced pesticide loading, improved water quality, and retention of terrestrial habitat features (log piles, rough grass, stone walls) combine to sustain maximum amphibian population size. Reference management context for recovery trajectory target-setting.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 in water body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Adequate DO (above 5mg/L [~] minimum) is the primary abiotic precursor for tadpole survival through metamorphosis. DO improvement under reduced nutrient loading and improved riparian shading precedes measurable tadpole survival improvement and adult population recovery by 1–3 seasons (Beebee &amp; Griffiths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nitrate concentration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water nitrate signals reducing eutrophication that enables algal growth control and improved oxygen dynamics — precursor for egg mass development and tadpole survival. Nitrate decline precedes breeding success improvement by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Common frog embryos are sensitive to acidic conditions (pH below 5.5 [~]) — acid runoff from agricultural soils can prevent successful development. pH recovery toward neutrality (pH 6.5–8.0) is an enabling precursor for egg mass development success (Beebee &amp; Griffiths 2005).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soil moisture management — pond creation and retention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Creating or restoring farm ponds is the most directly impactful management action for amphibian conservation in agricultural landscapes — a new pond in appropriate habitat can be colonised by common frogs within 1–2 seasons where source populations exist within 2km.</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 livestock exclusion from pond margins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exclusion from breeding ponds immediately removes the primary disturbance from spawning areas. Excluding livestock from a 2–5m buffer zone around farm ponds is the single most cost-effective management investment for amphibian conservation on farms with livestock.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partial pond shading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Partial riparian shading (targeting approximately 30–50% canopy cover over the pond) maintains cool water temperatures that reduce algal growth without eliminating the light and warmth that amphibian embryos require. Full shading is detrimental; partial native tree planting at the pond margin is beneficial.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Livestock exclusion from water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Amphibian breeding population increase at farm ponds following livestock exclusion fencing is a direct and ecologically compelling practice verification signal. Egg mass counts increasing within 2–3 seasons of livestock exclusion confirm that the primary breeding site disturbance has been removed and water quality is recovering (Beebee &amp; Griffiths 2005; Cooke &amp; Scorgie 1983).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Common frog egg mass count increasing within 2–3 seasons of livestock exclusion where adult source population is present within the pond; spawn string count (common toad) stable or increasing within 3–5 seasons; metamorph count detectable in late summer within 2 seasons of improved breeding conditions.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Farm pond creation or restoration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First amphibian colonisation of a newly created or restored farm pond — confirmed by the presence of spawn in the first or second spring after pond establishment — is the definitive practice verification signal for pond creation. This single monitoring outcome (first spawn) communicates the entire ecological chain from habitat creation through colonisation to reproduction in one interpretable event.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First common frog spawn detected within 1–2 springs of pond establishment where source populations within 2km; spawn count increasing progressively over 3–7 seasons as local population builds; common toad populations slower to colonise — confirm establishment within 5–10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 — Aquatic macroinvertebrates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Tadpoles feed on algae and aquatic microorganisms alongside aquatic macroinvertebrates — they are ecological competitors of some invertebrate grazers but also prey for predatory invertebrates and fish. The EPT community (Profile 17) and amphibian breeding success at the same water body respond to the same water quality pressures and management improvements. Combined assessment at the same pond or ditch provides the most complete aquatic biological monitoring package. Healthy EPT communities and healthy amphibian populations co-occur in good water quality — their joint presence is the strongest combined biological indicator of farm water body quality.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 — Snakes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 snakes (Natrix natrix in temperate Europe [geo]) are specialist aquatic predators that feed almost exclusively on frogs and, secondarily, on fish and invertebrates in and around water bodies. Amphibian breeding pond quality is the primary determinant of grass snake population status in agricultural landscapes — monitoring amphibians simultaneously provides the food base indicator for grass snake (Profile 24) monitoring.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07 — Terrestrial snails and slugs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toads are voracious predators of slugs — this prey-predator relationship means that toad population health is both sustained by slug community abundance and provides natural top-down regulation of slug populations. Where both profiles are in the monitoring programme, toad abundance and slug abundance together provide a biological indicator of the natural enemy-prey balance in the monitoring area.</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herpetologists.</w:t>
            </w:r>
          </w:p>
          <w:p>
            <w:pPr>
              <w:spacing w:after="80" w:before="0"/>
              <w:jc w:val="left"/>
            </w:pPr>
            <w:r>
              <w:rPr>
                <w:rFonts w:ascii="Arial" w:cs="Arial" w:eastAsia="Arial" w:hAnsi="Arial"/>
                <w:b/>
                <w:bCs/>
                <w:color w:val="C0392B"/>
                <w:sz w:val="16"/>
                <w:szCs w:val="16"/>
              </w:rPr>
              <w:t xml:space="preserve">BIOSECURITY REQUIREMENT — ALL LEVELS:</w:t>
            </w:r>
            <w:r>
              <w:rPr>
                <w:rFonts w:ascii="Arial" w:cs="Arial" w:eastAsia="Arial" w:hAnsi="Arial"/>
                <w:b w:val="false"/>
                <w:bCs w:val="false"/>
                <w:color w:val="000000"/>
                <w:sz w:val="16"/>
                <w:szCs w:val="16"/>
              </w:rPr>
              <w:t xml:space="preserve"> Equipment that contacts water must be decontaminated between water bodies to prevent spread of Batrachochytrium dendrobatidis (Bd) and Batrachochytrium salamandrivorans (Bsal). Decontamination: rinse all equipment in undiluted Virkon S solution (1%) for minimum 1 minute, or dry completely between sites. Follow national amphibian disease guidance. Do not transfer water, wet substrate, or organisms between water bodies.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Breeding pond egg mass count — counting common frog egg masses and common toad spawn strings at the monitoring pond during the spawning period. No equipment required beyond waterproof footwear and a simple count datasheet.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Breeding pond amphibian spawn count — community observer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Common frog egg mass count (number of discrete spawn clumps visible at pond surface or in shallows); common toad spawn string presence and estimated total length; presence of any other amphibian species (frog/toad/newt); evidence of tadpoles or metamorphs in subsequent visits.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Visit the monitoring pond during the primary spawning window — early morning in dry weather when spawn is most visible at the surface. Do not enter the water — count from the bank or from a flat dry bank extension into the pond margin.</w:t>
            </w:r>
          </w:p>
          <w:p>
            <w:pPr>
              <w:spacing w:after="40" w:before="0"/>
              <w:jc w:val="left"/>
            </w:pPr>
            <w:r>
              <w:rPr>
                <w:rFonts w:ascii="Arial" w:cs="Arial" w:eastAsia="Arial" w:hAnsi="Arial"/>
                <w:b w:val="false"/>
                <w:bCs w:val="false"/>
                <w:color w:val="000000"/>
                <w:sz w:val="17"/>
                <w:szCs w:val="17"/>
              </w:rPr>
              <w:t xml:space="preserve">2. Common frog egg masses: count all distinct circular gelatinous spawn clumps visible from the bank in the shallows (0–30cm depth). Each discrete clump = one count. Masses may aggregate into large connected masses — look for the individual clump boundaries. Record total count and estimated proportion of pond surface covered by spawn.</w:t>
            </w:r>
          </w:p>
          <w:p>
            <w:pPr>
              <w:spacing w:after="40" w:before="0"/>
              <w:jc w:val="left"/>
            </w:pPr>
            <w:r>
              <w:rPr>
                <w:rFonts w:ascii="Arial" w:cs="Arial" w:eastAsia="Arial" w:hAnsi="Arial"/>
                <w:b w:val="false"/>
                <w:bCs w:val="false"/>
                <w:color w:val="000000"/>
                <w:sz w:val="17"/>
                <w:szCs w:val="17"/>
              </w:rPr>
              <w:t xml:space="preserve">3. Common toad spawn strings: look for double-row strings of dark eggs wrapped around aquatic vegetation. Estimate total spawn string length in metres (not individual strings — they may be continuous). Record any male toads visible (characteristic dry, olive-brown body with warts).</w:t>
            </w:r>
          </w:p>
          <w:p>
            <w:pPr>
              <w:spacing w:after="80" w:before="0"/>
              <w:jc w:val="left"/>
            </w:pPr>
            <w:r>
              <w:rPr>
                <w:rFonts w:ascii="Arial" w:cs="Arial" w:eastAsia="Arial" w:hAnsi="Arial"/>
                <w:b w:val="false"/>
                <w:bCs w:val="false"/>
                <w:color w:val="000000"/>
                <w:sz w:val="17"/>
                <w:szCs w:val="17"/>
              </w:rPr>
              <w:t xml:space="preserve">4. Return visit in May–June (or equivalent late spring date for regional timing): count visible tadpole aggregations in shallow warm areas (qualitative: absent / few / many / very many); count any metamorphs (tiny froglets / toadlets) visible at pond margins.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camera; waterproof footwear or waders (for bank edge access only — do not enter the pond). Binoculars helpful for counting in larger ponds.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Common frog spawn (gelatinous clumps with dark central eggs visible to the naked eye) is unmistakeable. Common toad spawn strings (double row of small eggs in clear jelly, wrapped around vegetation) require a 20-minute briefing with photographs. An online 1-hour video training resource (ARG UK or national equivalent [geo]) covers all Level 1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spring — late January to March in temperate lowland Europe [geo]; timing varies with altitude and latitude. The spawning window is typically 2–3 weeks long and peaks when overnight air temperatures remain above 5°C for several consecutive nights. Survey within the first week of spawning beginning for the most accurate egg mass count — spawn aggregates rapidly become indistinct as development advances.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spring/early summer: tadpole and metamorph count (May–June in temperate Europe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pond for egg mass count; 10 minutes for tadpole/metamorph check.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 spawn count visit (January–March); mid-season tadpole count (April–May); metamorph count (June).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 breeding population size varies significantly with spring temperature and rainfall; trend detection requires 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Common frog egg mass count per pond; common toad spawn string length estimate (m); tadpole aggregation score (absent/few/many/very many); metamorph count per bank metre; fish presence (Y/N — critical contextual variable for interpreting tadpole survival).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Egg mass count photograph: photograph the full shallow area of the pond from the bank, showing egg mass distribution — this provides a photographic count check. (2) Individual egg mass close-up showing the gelatinous structure and dark embryos. (3) Toad spawn string detail showing the characteristic double-row arrangement. (4) Metamorphs: a tiny froglet or toadlet on the pond bank edge is a visually striking monitoring record — photograph if seen.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common frog and common toad spawn. Frog spawn: large gelatinous clumps, 10–20cm diameter, dark eggs in clear jelly, floating at or near the surface. Toad spawn: thin strings, 2–5mm diameter, wrapped tightly around aquatic vegetation, double row of dark eggs visible. If spawn is in clumps = frog; if spawn is in strings around a plant stem = toad.</w:t>
            </w:r>
          </w:p>
          <w:p>
            <w:pPr>
              <w:spacing w:after="60" w:before="0"/>
              <w:jc w:val="left"/>
            </w:pPr>
            <w:r>
              <w:rPr>
                <w:rFonts w:ascii="Arial" w:cs="Arial" w:eastAsia="Arial" w:hAnsi="Arial"/>
                <w:b w:val="false"/>
                <w:bCs w:val="false"/>
                <w:color w:val="000000"/>
                <w:sz w:val="16"/>
                <w:szCs w:val="16"/>
              </w:rPr>
              <w:t xml:space="preserve">Second error: missing spawn in deeper or murkier water by only scanning the surface. Walk slowly around the entire pond edge and scan the shallows at all depths accessible from the bank — some frog spawn is laid at 20–30cm depth and only visible with polarising glasses or from directly above in clear water.</w:t>
            </w:r>
          </w:p>
          <w:p>
            <w:pPr>
              <w:spacing w:after="80" w:before="0"/>
              <w:jc w:val="left"/>
            </w:pPr>
            <w:r>
              <w:rPr>
                <w:rFonts w:ascii="Arial" w:cs="Arial" w:eastAsia="Arial" w:hAnsi="Arial"/>
                <w:b w:val="false"/>
                <w:bCs w:val="false"/>
                <w:color w:val="000000"/>
                <w:sz w:val="16"/>
                <w:szCs w:val="16"/>
              </w:rPr>
              <w:t xml:space="preserve">Third error: surveying too early, before spawning begins, and recording zero as absence. Confirm timing against regional phenology records — if overnight temperatures have not yet consistently exceeded 5°C, the absence of spawn is not yet informative. Re-survey 1 week later.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Egg mass count increasing across consecutive same-pond spring surveys: breeding population growing — positive verification of P13 (livestock exclusion) or P17 (pond restoration) practice. Connect to Services #28 (Pest control — toad predation on slugs) and #30 (Nursery habitat for grass snakes, herons).</w:t>
            </w:r>
          </w:p>
          <w:p>
            <w:pPr>
              <w:spacing w:after="50" w:before="0"/>
              <w:jc w:val="left"/>
            </w:pPr>
            <w:r>
              <w:rPr>
                <w:rFonts w:ascii="Arial" w:cs="Arial" w:eastAsia="Arial" w:hAnsi="Arial"/>
                <w:b w:val="false"/>
                <w:bCs w:val="false"/>
                <w:color w:val="000000"/>
                <w:sz w:val="17"/>
                <w:szCs w:val="17"/>
              </w:rPr>
              <w:t xml:space="preserve">Egg mass count stable for 3+ years: population in equilibrium — management is sustaining but not growing the population. Check whether limiting factors are terrestrial (habitat connectivity to overwintering sites) rather than pond-based.</w:t>
            </w:r>
          </w:p>
          <w:p>
            <w:pPr>
              <w:spacing w:after="80" w:before="0"/>
              <w:jc w:val="left"/>
            </w:pPr>
            <w:r>
              <w:rPr>
                <w:rFonts w:ascii="Arial" w:cs="Arial" w:eastAsia="Arial" w:hAnsi="Arial"/>
                <w:b w:val="false"/>
                <w:bCs w:val="false"/>
                <w:color w:val="000000"/>
                <w:sz w:val="16"/>
                <w:szCs w:val="16"/>
              </w:rPr>
              <w:t xml:space="preserve">Egg mass count declining over 3+ years: population stress — investigate fish introduction (perch, bass, pike eliminate tadpoles rapidly), recent pesticide runoff events, or pond silting. Connect to A8 precursors A18 (DO) and A17 (nitrate).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Fish presence/absence — confirm by visual observation in clear shallows; (2) Livestock access evidence (hoof marks at margin, faecal material in water); (3) Recent agricultural operations adjacent to the pond (spreading, spraying, drain clearance); (4) Water clarity (clear / slightly turbid / very turbid); (5) Air temperature at time of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Pond edge — be aware of unstable banks and soft mud. Never approach pond edges in the dark without a torch. Leptospirosis risk from water contact — cover cuts, wash hands thoroughly after survey. Chytrid fungus biosecurity — decontaminate all equipment between water bodies (see protocol preamble). In tropical contexts: check regional health authority guidance for water-borne disease risk.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Amphibian and Reptile Conservation (ARC) Trust great crested newt and common amphibian monitoring methodologies adapted for Level 1 [geo — UK]; Beebee &amp; Griffiths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https://www.arc-trust.org/advice-guidance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Torch survey with adult count plus egg mass count — night torch surveys at the breeding pond during peak breeding activity provide quantitative adult population abundance data. Pitfall trap survey for terrestrial population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Night torch survey with adult count and egg mass survey — quantitative breeding population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Adult amphibian count per torch survey (all species, all life stages); egg mass count and spawn coverage; juvenile metamorph count in late-season visit; terrestrial adult count from pitfall trap survey at pond approach routes.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Torch survey: visit the monitoring pond on a warm, still, wet night (air temperature &gt;5°C, rain or high humidity optimal) during peak spawning (February–March for frogs; March–April for toads in temperate Europe [geo]). Walk slowly around the entire pond perimeter using a powerful torch. Count all amphibians visible in the water from the bank — note species, sex (male/female identifiable by size and position in toads; calling males in frogs), and life stage. Count separately in 10-minute sections of the perimeter. Complete 3 torch survey visits over a 2-week window during peak spawning.</w:t>
            </w:r>
          </w:p>
          <w:p>
            <w:pPr>
              <w:spacing w:after="40" w:before="0"/>
              <w:jc w:val="left"/>
            </w:pPr>
            <w:r>
              <w:rPr>
                <w:rFonts w:ascii="Arial" w:cs="Arial" w:eastAsia="Arial" w:hAnsi="Arial"/>
                <w:b w:val="false"/>
                <w:bCs w:val="false"/>
                <w:color w:val="000000"/>
                <w:sz w:val="17"/>
                <w:szCs w:val="17"/>
              </w:rPr>
              <w:t xml:space="preserve">Egg mass count: conduct in daylight at the same visit or within 24 hours. Count as per Level 1 protocol.</w:t>
            </w:r>
          </w:p>
          <w:p>
            <w:pPr>
              <w:spacing w:after="80" w:before="0"/>
              <w:jc w:val="left"/>
            </w:pPr>
            <w:r>
              <w:rPr>
                <w:rFonts w:ascii="Arial" w:cs="Arial" w:eastAsia="Arial" w:hAnsi="Arial"/>
                <w:b w:val="false"/>
                <w:bCs w:val="false"/>
                <w:color w:val="000000"/>
                <w:sz w:val="17"/>
                <w:szCs w:val="17"/>
              </w:rPr>
              <w:t xml:space="preserve">Pitfall trap (optional): install 10 pitfall traps at pond approach routes during migration period (January–March). Check daily. Count and release all amphibians caught. Calculate migration toad/frog count per trap-night.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Powerful waterproof torch (minimum 200 lumens); red light headtorch (preserves night vision for observer); waders or waterproof boots; pitfall trap buckets (10 × 10cm diameter) with drift fence; field datasheet. Biosecurity: Virkon S solution; spray bottle.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herpetological identification training for regional amphibian species. Night torch survey requires practice — the torch angle and scan speed affect detectability. ARG UK or equivalent national training course recommended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January–March for torch survey and egg mass count; June–July for metamorph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April–May for late-season tadpole density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per torch survey (pond perimeter walk with counts); 20 minutes egg mass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torch surveys within the peak 2-week breeding window; 1 metamorph count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adult count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Adult count per species per torch survey; sex ratio per species; peak count across 3 survey nights; egg mass count; metamorph count per 10m bank; pitfall trap count per trap-night where deployed.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torch survey — photograph any amphibians visible at the pond surface from the bank (without flash — use torch beam only to avoid disturbance). Pitfall trap: photograph captured individuals in a white container before release.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Adult count peak increasing over 5+ years: confirmed population growth — the most robust amphibian population trend indicator. Adult count is less affected by annual weather variation than egg mass counts.</w:t>
            </w:r>
          </w:p>
          <w:p>
            <w:pPr>
              <w:spacing w:after="80" w:before="0"/>
              <w:jc w:val="left"/>
            </w:pPr>
            <w:r>
              <w:rPr>
                <w:rFonts w:ascii="Arial" w:cs="Arial" w:eastAsia="Arial" w:hAnsi="Arial"/>
                <w:b w:val="false"/>
                <w:bCs w:val="false"/>
                <w:color w:val="000000"/>
                <w:sz w:val="16"/>
                <w:szCs w:val="16"/>
              </w:rPr>
              <w:t xml:space="preserve">High male:female ratio (&gt;5:1 males per female) in torch count: population is experiencing recruitment failure — few surviving females reaching adult stage. Investigate tadpole mortality causes (fish, disease, water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Night survey — full safety protocols as per Profile 19 (bats) night survey guidance. Biosecurity decontamination between ponds is mandatory. Pitfall traps — check every 24 hours without exception; trapped amphibians die rapidly in hot or cold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Griffiths et al. (2010) monitoring methodology; Beebee &amp; Griffiths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https://doi.org/10.1111/j.1365-2486.2009.02083.x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Population size estimation using mark-recapture, eDNA quantification for pond population assessment, and disease surveillance for chytrid and ranavirus.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Mark-recapture population estimation with eDNA quantification and disease surveillance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per species per pond from mark-recapture; eDNA concentration per species as a population size proxy; disease prevalence (Bd, Bsal, ranavirus) from swab samples.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Mark-recapture: capture adults in pitfall traps or by torch and hand at pond edge; individually mark with visible implant elastomer (VIE) or photographic identification (toe webbing pattern); release; recapture over 5+ consecutive nights. Apply Lincoln-Petersen or Jolly-Seber estimate. eDNA: collect 2L water from standardised pond positions (3 samples per pond); filter; quantify per species using species-specific qPCR. Disease surveillance: swab each captured individual on ventral skin (10 strokes with sterile swab); submit swabs for Bd/Bsal/ranavirus PCR testing.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Pitfall trap array or torch survey; VIE injection kit or photographic ID system; eDNA filtration equipment; qPCR laboratory; sterile disease swabs; PCR testing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Herpetologist with mark-recapture experience; amphibian handling licence where required; molecular biologist for eDNA and disease PCR.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Peak breeding season — January–March for temperate European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capture occasions within peak breeding window for mark-recapture.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size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with 95% CI; eDNA concentration (copies/L); disease prevalence (% individuals positive for Bd/Bsal/ranavirus); eDNA:adult count calibration coefficient.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Disease confirmed (Bd or Bsal detected in swab samples): immediately notify national wildlife disease surveillance authority — chytrid disease is a notifiable emerging infectious disease in most jurisdictions. Bd or Bsal positive sites require enhanced monitoring and biosecurity.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Amphibian handling may require species licence. Chytrid-positive sites — highest biosecurity protocols; consider whether monitoring continuation is appropriate or whether site decontamination is priority. Inform national herpetological authority immediately upon disease detection.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Beebee &amp; Griffiths (2005); Griffiths et al. (2010); Relyea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https://doi.org/10.1126/science.1094672</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Beebee TJC, Griffiths RA (2005) The amphibian decline crisis: a watershed for conservation biology? Biological Conservation 125:271–285.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https://doi.org/10.1016/j.biocon.2005.04.009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 Protocol Levels 1 and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Cooke AS, Scorgie HRA (1983) The status of the commoner amphibians and reptiles in Britain. Focus on Nature Conservation No 3. Nature Conservancy Council, Shrewsbury.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government monograph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B2;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Griffiths RA, Sewell D, McCrea RS (2010) Dynamics of a declining amphibian metapopulation: survival, dispersal and the impact of climate. Biological Conservation 143:485–491.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https://doi.org/10.1016/j.biocon.2009.11.017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IUCN (2023) The IUCN Red List of Threatened Species. Version 2023-1. International Union for Conservation of Nature.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https://www.iucnredlist.org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(41% threatened statistic)</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Relyea RA (2005) The lethal impact of Roundup on aquatic and terrestrial amphibians. Ecological Applications 15:1118–1124.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https://doi.org/10.1890/04-1291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(pesticide toxicity)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21 — Frogs and toads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21 — Frogs and toads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E4FC4E-98B0-4B59-BD03-9F78D67E2F70}"/>
</file>

<file path=customXml/itemProps2.xml><?xml version="1.0" encoding="utf-8"?>
<ds:datastoreItem xmlns:ds="http://schemas.openxmlformats.org/officeDocument/2006/customXml" ds:itemID="{9D3F1AD7-D9F0-4B33-A079-F454376DE6B1}"/>
</file>

<file path=customXml/itemProps3.xml><?xml version="1.0" encoding="utf-8"?>
<ds:datastoreItem xmlns:ds="http://schemas.openxmlformats.org/officeDocument/2006/customXml" ds:itemID="{20C9E7C7-4453-43C9-B2BE-A2D54B33B35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2026-04-12T15:51:04Z</dcterms:created>
  <dcterms:modified xsi:type="dcterms:W3CDTF">2026-04-12T15:51:04Z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