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26 — Birds of prey and owls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ornithologists and raptor ecologists before platform deployment. All birds of prey and owls are legally protected in virtually all jurisdictions. Nest visits require a Schedule 1 or equivalent special licence in most countries.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Species list regionalisation — the profile uses temperate European farmland raptor species as primary examples (barn owl, kestrel, buzzard, sparrowhawk, little owl, red kite) [geo]. Reviewer must provide regional indicator species lists for all major deployment contexts — African, South Asian, South American, and Australasian agricultural landscapes have very different raptor communities.</w:t>
            </w:r>
          </w:p>
          <w:p>
            <w:pPr>
              <w:spacing w:after="60" w:before="0"/>
              <w:jc w:val="left"/>
            </w:pPr>
            <w:r>
              <w:rPr>
                <w:rFonts w:ascii="Arial" w:cs="Arial" w:eastAsia="Arial" w:hAnsi="Arial"/>
                <w:b w:val="false"/>
                <w:bCs w:val="false"/>
                <w:color w:val="000000"/>
                <w:sz w:val="16"/>
                <w:szCs w:val="16"/>
              </w:rPr>
              <w:t xml:space="preserve">2. Barn owl nest box monitoring — the profile treats barn owl nest box inspection as an accessible Level 2 monitoring method. Reviewer should confirm whether this is appropriate — nest box inspections disturb brooding birds and require precise timing and technique to avoid abandonment. Many national barn owl monitoring schemes restrict nest box inspection to trained ringers only.</w:t>
            </w:r>
          </w:p>
          <w:p>
            <w:pPr>
              <w:spacing w:after="60" w:before="0"/>
              <w:jc w:val="left"/>
            </w:pPr>
            <w:r>
              <w:rPr>
                <w:rFonts w:ascii="Arial" w:cs="Arial" w:eastAsia="Arial" w:hAnsi="Arial"/>
                <w:b w:val="false"/>
                <w:bCs w:val="false"/>
                <w:color w:val="000000"/>
                <w:sz w:val="16"/>
                <w:szCs w:val="16"/>
              </w:rPr>
              <w:t xml:space="preserve">3. Pellet analysis accessibility — owl pellet analysis is one of the most ecologically rich community observer activities available — well-structured classroom and field-based pellet dissection produces prey species lists accessible to non-specialists. Reviewer should confirm whether this is formally included in the protocol or whether it remains at Level 3 specialist only.</w:t>
            </w:r>
          </w:p>
          <w:p>
            <w:pPr>
              <w:spacing w:after="80" w:before="0"/>
              <w:jc w:val="left"/>
            </w:pPr>
            <w:r>
              <w:rPr>
                <w:rFonts w:ascii="Arial" w:cs="Arial" w:eastAsia="Arial" w:hAnsi="Arial"/>
                <w:b w:val="false"/>
                <w:bCs w:val="false"/>
                <w:color w:val="000000"/>
                <w:sz w:val="16"/>
                <w:szCs w:val="16"/>
              </w:rPr>
              <w:t xml:space="preserve">4. Red kite reintroduction context — in regions where apex raptors have been reintroduced (red kite, white-tailed eagle in UK [geo]), their presence is partially an artefact of management intervention rather than purely a management quality indicator. Reviewer should confirm how reintroduced versus naturally recovering raptor populations should be handled in the monitoring narrative.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Birds of prey and owls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birds of prey and owls are present in all agricultural landscapes globally. Species composition varies greatly by biome but the monitoring framework is universally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applicable in all managed agricultural landscapes.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Orders: Accipitriformes, Falconiformes, Strigiformes. Three monitoring sub-groups: (1) Open-country diurnal raptors — key farmland indicator species in temperate European agricultural systems: common buzzard (Buteo buteo — widespread; rabbit, vole, carrion diet); common kestrel (Falco tinnunculus — declining; specialist small mammal hunter; distinctive hovering behaviour); sparrowhawk (Accipiter nisus — farmland bird predator; woodland-edge associated); red kite (Milvus milvus — recovering in some areas; carrion, earthworms, small mammals) [geo]; (2) Owls — barn owl (Tyto alba — globally iconic agricultural biodiversity indicator; specialist small mammal hunter in rough grassland; declining in intensified farmland); little owl (Athene noctua — farmland specialist; invertebrates and small mammals); tawny owl (Strix aluco — woodland and woodland-edge; not exclusively agricultural) [geo]; (3) Farmland raptor guild — the specific species list varies greatly by region; the monitoring framework selects 2–4 indicator species appropriate for each deployment context and monitors them systematically. All species are legally protected globally.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raptor species composition, breeding pair territory density, and nest success reflect the prey community quality (small mammals, farmland birds, invertebrates), habitat structural quality (rough grassland for kestrel and barn owl), and landscape connectivity below them. Ultimate apex indicator — raptors and owls sit at the pinnacle of the agricultural food web; their breeding success integrates the combined state of every food web component below them. Barn owl specifically: pellet analysis provides a direct dietary snapshot of small mammal community composition — one of the most ecologically rich monitoring outputs in the entire framework from a single non-invasive data collection.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barn owl hunting over a field margin at dusk is monitoring the farm on our behalf. Its flight pattern — the slow, quartering, low flight over rough grassland — is an active search of the small mammal community in the tussock below. If the owl finds enough to eat, the field margin is ecologically functional. If it does not — if it spends its nights over a sparse, mown, pesticide-treated margin and returns empty-handed to a dwindling clutch of chicks — the margin is not. Barn owl breeding success is the most direct biological audit of rough grassland quality in the framework, and the dietary data from pellet analysis is simultaneously a prey community survey that would take hours of live trapping to achieve.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Birds of prey and owls occupy a monitoring position that no other group in the framework replicates: they sit at the top of the food web and integrate, through their dietary requirements and breeding success, the combined ecological state of multiple prey communities simultaneously. A breeding pair of barn owls raising four chicks to fledging has consumed approximately 2,000–3,000 small mammals during the breeding season — primarily field voles, wood mice, and common shrews. Their successful breeding is not just a positive monitoring outcome; it is a quantified statement about the small mammal carrying capacity of the landscape around them. The barn owl nest box provides the most ecologically dense data return per monitoring unit of any vertebrate group: one nest box inspection provides breeding attempt, clutch size, brood size, and — through pellet analysis from the nest floor — a dietary record of hundreds of prey individuals.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Slow (Stage 3, Year 5–10). Raptor territory density and breeding success change slowly — long-lived species with slow reproductive rates cannot rapidly accumulate population change. Barn owl nest box occupation and breeding success responds within 2–5 seasons of habitat quality improvement; kestrel territory density within 3–7 seasons.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(2–5 years): Barn owl nest box occupation and breeding attempt rate improves within 2–4 seasons of rough grassland restoration that increases small mammal prey density (Taylor 1994; Village 1990).</w:t>
            </w:r>
          </w:p>
          <w:p>
            <w:pPr>
              <w:spacing w:after="60" w:before="0"/>
              <w:jc w:val="left"/>
            </w:pPr>
            <w:r>
              <w:rPr>
                <w:rFonts w:ascii="Arial" w:cs="Arial" w:eastAsia="Arial" w:hAnsi="Arial"/>
                <w:b w:val="false"/>
                <w:bCs w:val="false"/>
                <w:color w:val="000000"/>
                <w:sz w:val="17"/>
                <w:szCs w:val="17"/>
              </w:rPr>
              <w:t xml:space="preserve">Medium (3–7 years): Kestrel territory establishment in recovering farmland habitats — kestrel density is closely correlated with rough grassland area and small mammal prey density; recovery from decline is measurable within 3–7 seasons of consistent habitat management (Village 1990).</w:t>
            </w:r>
          </w:p>
          <w:p>
            <w:pPr>
              <w:spacing w:after="80" w:before="0"/>
              <w:jc w:val="left"/>
            </w:pPr>
            <w:r>
              <w:rPr>
                <w:rFonts w:ascii="Arial" w:cs="Arial" w:eastAsia="Arial" w:hAnsi="Arial"/>
                <w:b w:val="false"/>
                <w:bCs w:val="false"/>
                <w:color w:val="000000"/>
                <w:sz w:val="16"/>
                <w:szCs w:val="16"/>
              </w:rPr>
              <w:t xml:space="preserve">[geo] Timescales and species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raptor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rodenticide secondary poisoning and prey depletion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Rodenticide secondary poisoning (anticoagulants: brodifacoum, difenacoum) is the primary pharmaceutical threat to barn owls, kestrels, red kites, and buzzards in agricultural landscapes — these species consume poisoned rodents and accumulate lethal liver residues. Barn owl mortality from rodenticide poisoning is documented across all agricultural regions where anticoagulant rodenticides are routinely used. Population monitoring consistently shows higher breeding success in organic farm contexts with reduced rodenticide use (Newton 1979; Taylor 1994).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loss of rough grassland foraging habitat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Barn owls and kestrels are specialists of rough grassland hunting — they cannot effectively hunt in short, closely mown sward where voles and mice are inaccessible. The progressive loss of rough grassland from agricultural landscapes (conversion to intensively managed silage leys, arable expansion, margin elimination) has directly reduced the hunting habitat available to both species. Kestrel population decline across temperate Europe is closely correlated with the loss of rough grassland habitat at landscape scale (Village 1990).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 loss of rough grassland and small mammal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nitrogen inputs drive dense coarse grass growth that eliminates the diverse tussock structure sustaining vole populations — the primary prey base for barn owls and kestrels. The same nitrogen-driven grassland simplification that impoverishes butterfly and Orthoptera communities also degrades the small mammal community that sustains farmland raptors.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 — nest site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Barn owl nest sites (old farm buildings, hollow trees, purpose-installed nest boxes) are declining through barn renovation, demolition, and tree loss. Kestrel nest sites (old corvid nests in hedgerow trees, quarry faces, building ledges) are declining through hedgerow tree loss. Nest site availability is a primary limiting factor for both species in some landscapes regardless of prey community quality (Taylor 1994).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modification — loss of rough wet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and improvement of rough wet grassland eliminates the vole-rich habitat that sustains barn owl and short-eared owl populations in pastoral landscapes. Wet rough grassland with Molinia, Deschampsia, and Juncus vegetation sustains the highest vole densities; its drainage is the primary habitat loss driver for short-eared owl in upland agricultural margins. [geo — temperate European]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Raptor species richness and territory density in agricultural landscapes is among the most comprehensive top-predator indicators of overall farmland biodiversity quality. A farm landscape supporting breeding kestrel, barn owl, and buzzard simultaneously has sufficient small mammal prey density, rough grassland extent, and nest site availability to sustain three specialist predators — a high-quality biological signal of food web completeness (Newton 1979).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Kestrel and barn owl breeding success is directly limited by rough grassland extent and small mammal prey density — both of which are determined by vegetation management. Breeding success monitoring provides an integrative biological verification of vegetation management quality that no invertebrate monitoring group alone can provide.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Decline in natural pest regulation capacity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Barn owls, kestrels, and little owls provide significant rodent and invertebrate pest control — quantifiable through dietary analysis. Their decline signals the loss of a distributed, persistent, cost-free pest management service in agricultural landscapes.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Barn owls consume 1,000–3,000 small rodents per breeding pair per year in agricultural landscapes — providing a quantifiable and economically significant rodent control service in grain storage areas, root vegetable fields, and hayfields. Kestrels consume field voles that damage root crops and pasture grass root systems. The combined pest control value of a diverse raptor community in agricultural landscapes is substantial and well-documented (Taylor 1994; Village 1990).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Education, scientific and research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Barn owls and kestrels are among the most culturally significant and publicly recognised wildlife species in agricultural landscapes globally. Their presence on a farm is a powerful communication asset for farmer engagement with biodiversity monitoring — barn owl pellets in particular are accessible to community observers and school groups as a hands-on dietary analysis resource that directly communicates the food web connection between farm management and predator biodiversity.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Raptor presence at the apex of the food web stabilises prey population dynamics — preventing extreme population cycles in voles and other prey species that can cause agricultural damage. The trophic regulation function of raptor communities contributes to landscape-level ecological stability in ways that benefit agricultural productivity indirectly.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pasture with rough grass sustains kestrel and barn owl foraging habitat.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raptor territory density — diverse structure sustains maximum small mammal prey density.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raptor monitoring and nest site detection in farm buildings.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vertebrate prey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Raptors and owls present globally in all habitats with adequate prey.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grassland sustains small mammal prey for kestrel and barn owl.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arable field margin and farm building nest site monitoring.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Raptor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Rough tussock grassland (&gt;30cm sward, field vole habitat) adjacent to farm buildings or trees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barn owl and kestrel foraging habitat — field vole density in tussock grass is the primary determinant of both species' breeding success. A minimum of 5–10ha of rough tussock grassland within 2km of a nest site is broadly considered the minimum for sustained barn owl breeding productivity [~]. (Taylor 1994)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buildings, old barns, church towers, hollow veteran trees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barn owl nest sites — any enclosed, dry, elevated cavity within 2–5km of rough foraging habitat may be occupied. Farm building renovation without bat and barn owl survey is the primary nest site loss driver. Little owl uses smaller cavities — old tree holes, stone walls, farm equipment. (Taylor 1994)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Open agricultural landscapes with elevated observation perches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kestrel foraging and territory display habitat — kestrels require elevated perches (telegraph poles, fence posts, trees) within hunting flight distance of vole-rich rough grass. Perch density in the agricultural landscape is a secondary habitat quality indicator for kestrel. (Village 1990)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Mixed organic farming with retained rough grassland and old farm buildings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raptor territory density and breeding success — organic management (no rodenticide), retained rough grassland (high vole density), and retained farm building nest sites combine to sustain the maximum raptor community. Taylor (1994) documented consistently higher barn owl breeding success on organic farms with adequate rough grassland.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pastoral farmland with hay meadow and old buildings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Historical reference context for raptor community quality — traditional mixed pastoral farms before agricultural intensification supported barn owl pairs per farm in many temperate European regions. Recovery toward this density under improved management is the long-term trajectory target.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tussock and sward structure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Increasing tussock grass cover in field margins and rough grassland sustains the field vole populations that are the primary prey base for barn owls and kestrels. Tussock development under delayed cutting precedes field vole population increase by 1–2 seasons, which precedes raptor foraging activity improvement by a further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recovering soil invertebrate communities — earthworms, beetle larvae, Tipula larvae — that sustain the little owl and buzzard prey base. SOC improvement under reduced tillage precedes raptor dietary quality improvement by 2–4 seasons as the soil invertebrate food chain recovers.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 in margin soil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nitrogen signals recovering rough grassland structure — the vole-habitat precursor for barn owl and kestrel breeding success. Nitrogen decline precedes tussock grass structure improvement by 1–3 seasons; tussock development precedes vole density increase by 1–2 seasons; vole density improvement precedes raptor breeding success improvement by a further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 first cut — rough grassland tussock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Delayed cutting retains the tussock structure that sustains field vole habitat and barn owl foraging prey density. Even a 2–3 week delay in cutting reduces vole habitat loss and maintains the invertebrate-rich litter layer that small mammals depend 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 — rodenticide reduction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Rodenticide reduction is the most impactful single management change for barn owl and kestrel breeding success — eliminating secondary poisoning mortality that may be causing 10–50% of annual adult mortality in some agricultural populations. Taylor (1994) documented directly the relationship between rodenticide use and barn owl mortality.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 — nest site provision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Installing barn owl nest boxes in suitable farm buildings or purpose-built tree-mounted boxes within rough grassland foraging habitat provides the limiting nest site resource where buildings are absent or unsuitable. Barn owl nest boxes have among the highest cost-to-biodiversity return of any conservation management action in agricultural landscapes.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 rough grassland habitat improvement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Barn owl nest box occupancy and breeding attempt rate increasing at monitored nest boxes in seasons following improved rough grassland management is the primary practice verification signal. Barn owl dietary diversity from pellet analysis (increasing number of vole and small mammal species) provides a secondary verification that the prey community has improved. Taylor (1994) directly documents the management-breeding success relationship.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Barn owl nest box inspection revealing occupation within 2–3 seasons of rough grassland restoration adjacent to nest box site; breeding attempt confirmed within 3–5 seasons; brood size increasing over 5–7 seasons as rough grassland quality and extent improve progressively.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 rodenticide reduction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Barn owl and kestrel breeding productivity improvement (brood size, chick survival to fledging) following rodenticide reduction is the most direct raptor-level practice verification signal. Anticoagulant rodenticide reduction reduces adult mortality, enabling improved breeding productivity within 2–4 seasons.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Brood size measurably higher at nest boxes in monitored areas within 2–4 seasons of rodenticide cessation in farm buildings and fields; adult survival rate improvement detectable from colour-ring or wing-tag resighting within 3–5 seasons; pellet analysis showing dietary diversity maintained (no shift toward species unaffected by rodenticides).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 — Small mammal insectivores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Small mammals — field voles, wood mice, common shrews — are the primary prey of barn owls, kestrels, short-eared owls, and weasels simultaneously. Profile 22 (Small mammal insectivores) provides the prey community data that contextualises raptor breeding success monitoring from this profile. Where both are in the programme, a barn owl poor breeding season that coincides with a low shrew trap index provides ecologically coherent joint evidence of prey community failure — more compelling than either monitoring result alone.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 — Farmland birds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Sparrowhawks and peregrine falcons prey on farmland birds (Profile 20) — a relationship that creates apparent monitoring tension (raptors consuming the farmland bird indicator species). However, a healthy sparrowhawk population requires a healthy farmland bird prey community — their presence signals a food web abundant enough to sustain apex bird predators as well as the songbird community below them. The two profiles together provide the top two trophic levels of the avian food web — both of which are declining in agricultural landscapes and both of which recover under improved management.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 — Small carnivores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Raptors and owls predate on weasels, stoats, and young rabbits (buzzard, barn owl respectively), and are in turn in food web competition with mustelids for vole and small mammal prey. Camera trap data on mustelid activity (Profile 25) and raptor territory mapping (Profile 26) together characterise the upper two trophic levels of the agricultural vertebrate community — the most ecologically comprehensive combined vertebrate monitoring package available from the framework.</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raptor ecologists.</w:t>
            </w:r>
          </w:p>
          <w:p>
            <w:pPr>
              <w:spacing w:after="80" w:before="0"/>
              <w:jc w:val="left"/>
            </w:pPr>
            <w:r>
              <w:rPr>
                <w:rFonts w:ascii="Arial" w:cs="Arial" w:eastAsia="Arial" w:hAnsi="Arial"/>
                <w:b w:val="false"/>
                <w:bCs w:val="false"/>
                <w:color w:val="000000"/>
                <w:sz w:val="16"/>
                <w:szCs w:val="16"/>
              </w:rPr>
              <w:t xml:space="preserve">The combined farmland vertebrate monitoring package — Profiles 20 (Farmland birds), 22 (Small mammal insectivores), 25 (Small carnivores), and 26 (Birds of prey and owls) — covers four trophic levels of the agricultural vertebrate food web simultaneously. Where all four profiles are in the monitoring programme, the Step 4 master document should present them as a combined vertebrate food web monitoring package with explicit cross-profile ecological narrative.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Point count detection of diurnal raptors (shared methodology with Profile 20 bird transects) plus barn owl nest box occupancy check and dusk flight observation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Diurnal raptor point count, barn owl nest box check, and dusk observation — community observer raptor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Raptor species detected per point count (from Profile 20 shared transect); barn owl nest box occupancy and breeding status; barn owl dusk departure count as activity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(A) Raptor point count: during the Profile 20 bird monitoring visit, specifically record all raptor species seen or heard — add to the Profile 20 point count datasheet. Key farmland raptor detection: kestrel (hovering flight, reddish back, pointed wings), buzzard (broad round wings, soaring, mewing call), sparrowhawk (short rounded wings, long tail, low fast flight through hedgerow), barn owl (pale, rounded, silent low quartering flight at dusk over rough grass). Record all species within 500m of the monitoring point.</w:t>
            </w:r>
          </w:p>
          <w:p>
            <w:pPr>
              <w:spacing w:after="40" w:before="0"/>
              <w:jc w:val="left"/>
            </w:pPr>
            <w:r>
              <w:rPr>
                <w:rFonts w:ascii="Arial" w:cs="Arial" w:eastAsia="Arial" w:hAnsi="Arial"/>
                <w:b w:val="false"/>
                <w:bCs w:val="false"/>
                <w:color w:val="000000"/>
                <w:sz w:val="17"/>
                <w:szCs w:val="17"/>
              </w:rPr>
              <w:t xml:space="preserve">(B) Barn owl nest box check: in April (after egg-laying has begun but before hatching) and in June–July (when chicks are large enough to count), gently open the nest box inspection hatch and observe for 5 seconds before closing. Record: empty / adult present (do not disturb — close immediately) / eggs present / chicks present (count if visible without removing from box). Do not hold the box open for more than 10 seconds. Check in the morning (before 09:00) when barn owls are most likely to be resting in the box after night hunting.</w:t>
            </w:r>
          </w:p>
          <w:p>
            <w:pPr>
              <w:spacing w:after="80" w:before="0"/>
              <w:jc w:val="left"/>
            </w:pPr>
            <w:r>
              <w:rPr>
                <w:rFonts w:ascii="Arial" w:cs="Arial" w:eastAsia="Arial" w:hAnsi="Arial"/>
                <w:b w:val="false"/>
                <w:bCs w:val="false"/>
                <w:color w:val="000000"/>
                <w:sz w:val="17"/>
                <w:szCs w:val="17"/>
              </w:rPr>
              <w:t xml:space="preserve">(C) Dusk departure count: on a warm, calm evening, position 100m from the nest box and count all barn owl individuals emerging from the box or flying over the adjacent rough grassland foraging area during the 30-minute period after sunset. Record the number of departures per 30-minute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Binoculars (10× minimum for raptor identification); field datasheet; nest box key (if padlocked) — from nest box installation records; torch for nest box interior check.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familiar with Profile 20 bird monitoring methodology, with an additional 1-hour raptor identification briefing covering the key farmland species by flight silhouette and behaviour. Barn owl nest box inspection requires a specific 30-minute briefing on timing, technique, and the strict 10-second observation limit.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Diurnal raptor point count: same as Profile 20 (April–June). Barn owl nest box: April (occupancy check) and June–July (brood size check). Dusk count: June–July when chicks are large and adults are making maximum foraging trips.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Winter: check nest boxes for barn owl winter roosting (November–February) — roosting without breeding is a positive population monitoring outcome indicating that a bird is using the farm as part of its home range.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Raptor point count: combined with Profile 20 — no additional time. Nest box check: 5 minutes. Dusk count: 30 minutes post-sunset.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nest box checks (April and June–July); 1 dusk count (June–July); raptor point counts on all Profile 20 visits.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 raptor territory density and breeding success trends require at minimum 5 years due to annual weather-driven variation in small mammal prey cycles.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Raptor species detected per point count (list); barn owl nest box occupancy per visit (empty/adult/eggs/chicks/count); barn owl brood size (chick count in June–July visit); dusk departure count per 30-minute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Raptor in flight: photograph any raptor seen during point count, especially hovering kestrel — wing shape, body colour, and tail pattern are key identification features from below. (2) Nest box exterior photograph at each visit showing structural condition. (3) Nest box interior through hatch — very brief, indirect photograph with minimum disturbance. (4) Dusk observation: silhouette photograph of barn owl departure from nest box entrance — pale, rounded body shape distinctive against sky.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large gulls or pigeons with raptors at distance. Raptors have distinctively shaped wings — buzzard: broad, rounded, fingered wing tips; kestrel: narrow, pointed, swept wings; sparrowhawk: short rounded wings. Gulls: elongated narrow wings with black wingtips. Woodpigeons: plump body, small head, rapid wingbeats. Observe flight behaviour: raptors soar, hover, or glide; gulls ride thermals; pigeons fly with rapid direct wingbeats.</w:t>
            </w:r>
          </w:p>
          <w:p>
            <w:pPr>
              <w:spacing w:after="60" w:before="0"/>
              <w:jc w:val="left"/>
            </w:pPr>
            <w:r>
              <w:rPr>
                <w:rFonts w:ascii="Arial" w:cs="Arial" w:eastAsia="Arial" w:hAnsi="Arial"/>
                <w:b w:val="false"/>
                <w:bCs w:val="false"/>
                <w:color w:val="000000"/>
                <w:sz w:val="16"/>
                <w:szCs w:val="16"/>
              </w:rPr>
              <w:t xml:space="preserve">Second error: opening the barn owl nest box too long and disturbing the incubating female. The inspection limit is 10 seconds maximum — if an adult bird is present, close immediately without recording anything further. Repeated disturbance during incubation causes nest abandonment. When in doubt, close without observing.</w:t>
            </w:r>
          </w:p>
          <w:p>
            <w:pPr>
              <w:spacing w:after="80" w:before="0"/>
              <w:jc w:val="left"/>
            </w:pPr>
            <w:r>
              <w:rPr>
                <w:rFonts w:ascii="Arial" w:cs="Arial" w:eastAsia="Arial" w:hAnsi="Arial"/>
                <w:b w:val="false"/>
                <w:bCs w:val="false"/>
                <w:color w:val="000000"/>
                <w:sz w:val="16"/>
                <w:szCs w:val="16"/>
              </w:rPr>
              <w:t xml:space="preserve">Third error: conducting the dusk count too early — before barn owls emerge. Barn owls rarely emerge before 20 minutes after sunset in summer in temperate regions — count only in the 20–50 minutes post-sunset window. Counts beginning at sunset miss the primary emergence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Barn owl chicks confirmed in nest box in June–July: successful breeding attempt confirmed — the farm is supporting breeding barn owls. This is one of the most significant and communicable positive monitoring outcomes in the entire LAHMP framework. Connect to Service #28 (Pest control) and verify P14 (rough grassland management) and P19 (nest box provision) practice.</w:t>
            </w:r>
          </w:p>
          <w:p>
            <w:pPr>
              <w:spacing w:after="50" w:before="0"/>
              <w:jc w:val="left"/>
            </w:pPr>
            <w:r>
              <w:rPr>
                <w:rFonts w:ascii="Arial" w:cs="Arial" w:eastAsia="Arial" w:hAnsi="Arial"/>
                <w:b w:val="false"/>
                <w:bCs w:val="false"/>
                <w:color w:val="000000"/>
                <w:sz w:val="17"/>
                <w:szCs w:val="17"/>
              </w:rPr>
              <w:t xml:space="preserve">Kestrel hovering observed over field margin during spring point count: kestrel territory present — rough grassland or tussock margin with vole prey detected. Cross-reference with Profile 22 (Small mammals) footprint tunnel detection rate.</w:t>
            </w:r>
          </w:p>
          <w:p>
            <w:pPr>
              <w:spacing w:after="80" w:before="0"/>
              <w:jc w:val="left"/>
            </w:pPr>
            <w:r>
              <w:rPr>
                <w:rFonts w:ascii="Arial" w:cs="Arial" w:eastAsia="Arial" w:hAnsi="Arial"/>
                <w:b w:val="false"/>
                <w:bCs w:val="false"/>
                <w:color w:val="000000"/>
                <w:sz w:val="16"/>
                <w:szCs w:val="16"/>
              </w:rPr>
              <w:t xml:space="preserve">Nest box empty across all seasonal checks: nest site not occupied — investigate whether rough grassland foraging habitat within 2km is adequate. If rough grassland is present, check for rodenticide use history. If rough grassland is absent, habitat is the limiting factor.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Extent and management of rough grassland within sight of the nest box and monitoring transect; (2) Rodenticide bait station presence and use history; (3) Any recent building renovation or nest site disturbance near nest box positions; (4) Wind and weather — raptor observation quality is greatly reduced in wind above Beaufort force 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Barn owl nest boxes at height — use a stable ladder; never access boxes on unstable scaffolding or without a second person present. All raptors and owls are legally protected — nest box inspection is legally permissible under Schedule 1 licence exemption for registered boxes in the UK [geo — confirm regional equivalent]. Do not attempt to photograph or handle any bird at the nest — the 10-second observation protocol is the maximum legal and welfare-compatible access duration.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Taylor IR (1994) Barn Owls; Village A (1990) The Kestrel; shared point count methodology with Profile 20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https://doi.org/10.1017/CBO9780511565786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Standardised nest box programme with prey monitoring from pellet analysis — barn owl pellets collected from nest box floor provide a prey species inventory directly linking raptor diet to small mammal community composition.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Barn owl nest box programme with pellet analysis and kestrel territory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Barn owl breeding productivity (clutch size, brood size, chicks fledged per pair per year) from standardised nest box visits; prey species composition from pellet dissection and small mammal bone identification; kestrel territory density from walked transect territory mapping (shared with Profile 20).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Nest box programme: as Level 1 with additional post-breeding visit in August–September. At each visit record: clutch size (egg count), brood size (chick count), age of oldest chick from age-class chart. At August post-breeding visit: collect all pellets from nest box floor into labelled bags — these are regurgitated prey remains (no fecal contamination risk); label with date, box ID, and pellet count.</w:t>
            </w:r>
          </w:p>
          <w:p>
            <w:pPr>
              <w:spacing w:after="40" w:before="0"/>
              <w:jc w:val="left"/>
            </w:pPr>
            <w:r>
              <w:rPr>
                <w:rFonts w:ascii="Arial" w:cs="Arial" w:eastAsia="Arial" w:hAnsi="Arial"/>
                <w:b w:val="false"/>
                <w:bCs w:val="false"/>
                <w:color w:val="000000"/>
                <w:sz w:val="17"/>
                <w:szCs w:val="17"/>
              </w:rPr>
              <w:t xml:space="preserve">Pellet dissection: in laboratory or field conditions, soak pellets in water for 5 minutes; tease apart with forceps; identify bones and hair to species level using a small mammal skull identification key. Record minimum number of individuals per prey species per pellet batch.</w:t>
            </w:r>
          </w:p>
          <w:p>
            <w:pPr>
              <w:spacing w:after="80" w:before="0"/>
              <w:jc w:val="left"/>
            </w:pPr>
            <w:r>
              <w:rPr>
                <w:rFonts w:ascii="Arial" w:cs="Arial" w:eastAsia="Arial" w:hAnsi="Arial"/>
                <w:b w:val="false"/>
                <w:bCs w:val="false"/>
                <w:color w:val="000000"/>
                <w:sz w:val="17"/>
                <w:szCs w:val="17"/>
              </w:rPr>
              <w:t xml:space="preserve">Kestrel territory mapping: from Profile 20 transect data, map kestrel sighting positions and behaviours (hovering, perched and vocalising, prey carrying) across 3+ visits between April and June. Territories are defined by repeated sightings at the same location with appropriate behaviour.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Nest box programme as Level 1 plus: sealed sample bags for pellet collection; forceps; sorting tray; dissecting microscope (10–20×) or hand lens; small mammal skull and bone identification key (Yalden 1977 or equivalent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barn owl nest box monitoring training (ARG UK / Barn Owl Trust equivalent 1-day training course [geo]) and pellet dissection training (minimum 4-hour practical session with a trained mammalogist for small mammal skull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Nest box: April, June, and August–September (3 visits per breeding season). Pellets: collected at August visit for post-season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November–February: winter nest box roosting check.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10–15 minutes per nest box visit; 2–4 hours per pellet batch for dissection and identification (30–50 prey items per adult barn owl month).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nest box visits per breeding season; 1 pellet collection.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breeding productivity trends; 3 years for prey community trends from pellet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Clutch size; brood size; chicks fledged per pair per year; prey species list from pellet analysis; minimum number of individuals per prey species; kestrel territory count per 2km transect.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pellet dissection — photograph sorted bone elements showing the range of prey species identified. Small mammal skulls from pellets: photograph field vole, wood mouse, and common shrew skulls side by side for scale comparison. These photographs are excellent public communication materials.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Pellet analysis showing 70%+ field vole (Microtus agrestis) by minimum number of individuals [~]: barn owl is exploiting abundant vole prey — rough grassland foraging habitat is productive. Cross-reference with Profile 22 (Small mammals) footprint tunnel data.</w:t>
            </w:r>
          </w:p>
          <w:p>
            <w:pPr>
              <w:spacing w:after="80" w:before="0"/>
              <w:jc w:val="left"/>
            </w:pPr>
            <w:r>
              <w:rPr>
                <w:rFonts w:ascii="Arial" w:cs="Arial" w:eastAsia="Arial" w:hAnsi="Arial"/>
                <w:b w:val="false"/>
                <w:bCs w:val="false"/>
                <w:color w:val="000000"/>
                <w:sz w:val="16"/>
                <w:szCs w:val="16"/>
              </w:rPr>
              <w:t xml:space="preserve">Pellet analysis shifting toward higher proportion of wood mouse (Apodemus sylvaticus) over consecutive years: field vole habitat declining (voles require continuous dense tussock grass; mice are more habitat-flexible). This dietary shift is an early biological warning of rough grassland deterioration before kestrel or barn owl breeding decline is detectable.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Pellet collection: barn owl pellets do not contain fecal material and have low zoonosis risk, but wear gloves and wash hands after handling. Store pellets in sealed bags in freezer before dissection to eliminate any ectoparasites.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Taylor IR (1994) Barn Owls; Village A (1990) The Kestrel; Yalden DW (1977) small mammal skull key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https://doi.org/10.1017/CBO9780511565786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Schedule 1/equivalent licence</w:t>
            </w:r>
          </w:p>
          <w:p>
            <w:pPr>
              <w:spacing w:after="80" w:before="0"/>
              <w:jc w:val="left"/>
            </w:pPr>
            <w:r>
              <w:rPr>
                <w:rFonts w:ascii="Arial" w:cs="Arial" w:eastAsia="Arial" w:hAnsi="Arial"/>
                <w:b w:val="false"/>
                <w:bCs w:val="false"/>
                <w:color w:val="FFFFFF"/>
                <w:sz w:val="16"/>
                <w:szCs w:val="16"/>
              </w:rPr>
              <w:t xml:space="preserve">BTO-standard nest recording, chick ringing, and blood sampling for anticoagulant rodenticide body burden assessment — connects breeding productivity monitoring to pesticide exposure measurement.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nest recording with chick ringing and rodenticide body burden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nest record to BTO NRS standard (clutch, brood, fledging confirmed); chick ringing for individual identification and future resighting; blood sampling for anticoagulant rodenticide body burden (liver biopsy from casualties or blood sample from live chicks under licence).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Nest recording: follow BTO Nest Record Scheme standard (NRS) — visits from laying through fledging with standardised recording forms. Chick ringing: BTO-licensed ringer rings chicks at 23–28 days old (barn owl) or equivalent age class for regional species. Blood sampling for rodenticide: collect 0.2ml blood from brachial vein under Schedule 1 licence; submit to licensed laboratory for anticoagulant compound panel analysis (brodifacoum, difenacoum, bromadiolone, etc.).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BTO ringing licence; BTO Schedule 1 nest recording endorsement; standard ringing equipment; blood sampling lancet and collection tubes; rodenticide assay laboratory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BTO-licensed ringer with Schedule 1 endorsement for the relevant species. BTO NRS trained nest recorder. Licensed laboratory for rodenticide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Breeding season — April–August for most farmland raptors and owls in temperate Europe.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Weekly nest monitoring from laying to fledging (approximately 12–16 visits per breeding attempt).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breeding productivity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Nest record grade (A–E confidence level); ringing recovery rate from resightings; anticoagulant compound body burden per individual (ng/g fresh liver weight); proportion of sampled individuals with detectable residues.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Proportion of individuals with detectable anticoagulant residues declining over 5+ seasons: direct biological confirmation that rodenticide exposure is reducing — the most rigorous available verification of rodenticide management change. Chick ringing resightings showing farm-site fidelity: population is recruiting from local breeding pairs rather than from immigration — local management is self-sustaining the population.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Schedule 1 or equivalent licence is a LEGAL REQUIREMENT for all nest visits beyond the Level 1 5-second observation. Chick ringing requires BTO or national ringing authority licence. Blood sampling requires additional veterinary endorsement in some jurisdictions. All nest monitoring must prioritise breeding success over data collection — if any sign of disturbance response (chick alarm, female flushing from nest), immediately withdraw and do not return for minimum 5 days.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Taylor IR (1994); Newton I (1979); Village A (1990)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https://doi.org/10.1017/CBO9780511565786</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Newton I (1979) Population Ecology of Raptors. T &amp; AD Poyser, Berkhamsted.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9780856610097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Ecological rationale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Taylor IR (1994) Barn Owls: Predator-prey Relationships and Conservation. Cambridge University Press, Cambridge.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https://doi.org/10.1017/CBO9780511565786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A6; A7; B2; Response timescale; Protocol Levels 1,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Village A (1990) The Kestrel. T &amp; AD Poyser, London.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9780856610837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A6; B2; Response timescale; Protocol Levels 1 and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Yalden DW (1977) The identification of remains in owl pellets. Occasional Publication No 1. Mammal Society, London.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(Occasional Publication series)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(pellet analysis key) [geo — UK]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26 — Birds of prey and owls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4"/>
              <w:szCs w:val="14"/>
            </w:rPr>
            <w:t xml:space="preserve">LAHMP — Profile 26 — Birds of prey and owls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42E375-66B0-4053-9F19-EA2BE2BF5C12}"/>
</file>

<file path=customXml/itemProps2.xml><?xml version="1.0" encoding="utf-8"?>
<ds:datastoreItem xmlns:ds="http://schemas.openxmlformats.org/officeDocument/2006/customXml" ds:itemID="{F8FF94FA-914B-45B3-A4D0-382EFF518C2B}"/>
</file>

<file path=customXml/itemProps3.xml><?xml version="1.0" encoding="utf-8"?>
<ds:datastoreItem xmlns:ds="http://schemas.openxmlformats.org/officeDocument/2006/customXml" ds:itemID="{703DB1CD-CF8C-4E76-8319-A1198883DDC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2026-04-12T17:33:46Z</dcterms:created>
  <dcterms:modified xsi:type="dcterms:W3CDTF">2026-04-12T17:33:46Z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