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8"/>
                <w:szCs w:val="28"/>
              </w:rPr>
              <w:t xml:space="preserve">Profile 27 — Arable field vegetation</w:t>
            </w:r>
          </w:p>
          <w:p>
            <w:pPr>
              <w:spacing w:after="80" w:before="0"/>
              <w:jc w:val="center"/>
            </w:pPr>
            <w:r>
              <w:rPr>
                <w:rFonts w:ascii="Arial" w:cs="Arial" w:eastAsia="Arial" w:hAnsi="Arial"/>
                <w:b w:val="false"/>
                <w:bCs w:val="false"/>
                <w:color w:val="FFFFFF"/>
                <w:sz w:val="16"/>
                <w:szCs w:val="16"/>
              </w:rPr>
              <w:t xml:space="preserve">Category: Vegetation communities  |  Tier: Universal  |  Flora profile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2E7D32"/>
                <w:sz w:val="16"/>
                <w:szCs w:val="16"/>
              </w:rPr>
              <w:t xml:space="preserve">FLORA PROFILE — Structured walkthrough variant (Flora Variant Appendix, modification 3, Variant 2).</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arable weed ecologists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Monitoring position — arable weed surveys are typically conducted at the crop edge (1–6m from field boundary) where light penetration and reduced herbicide application create the highest diversity. Reviewer should confirm whether in-crop monitoring (tramline access) is recommended as an additional component or whether crop-edge monitoring alone is specified as the standard.</w:t>
            </w:r>
          </w:p>
          <w:p>
            <w:pPr>
              <w:spacing w:after="60" w:before="0"/>
              <w:jc w:val="left"/>
            </w:pPr>
            <w:r>
              <w:rPr>
                <w:rFonts w:ascii="Arial" w:cs="Arial" w:eastAsia="Arial" w:hAnsi="Arial"/>
                <w:b w:val="false"/>
                <w:bCs w:val="false"/>
                <w:color w:val="000000"/>
                <w:sz w:val="16"/>
                <w:szCs w:val="16"/>
              </w:rPr>
              <w:t xml:space="preserve">2. Archaeophyte indicator species — the profile references archaeophyte species (pre-1500 introductions with high conservation value) as high-value positive indicators. The specific species listed are temperate European [geo]. Reviewer must provide regional equivalent archaeophyte or native arable weed species lists for other deployment contexts.</w:t>
            </w:r>
          </w:p>
          <w:p>
            <w:pPr>
              <w:spacing w:after="60" w:before="0"/>
              <w:jc w:val="left"/>
            </w:pPr>
            <w:r>
              <w:rPr>
                <w:rFonts w:ascii="Arial" w:cs="Arial" w:eastAsia="Arial" w:hAnsi="Arial"/>
                <w:b w:val="false"/>
                <w:bCs w:val="false"/>
                <w:color w:val="000000"/>
                <w:sz w:val="16"/>
                <w:szCs w:val="16"/>
              </w:rPr>
              <w:t xml:space="preserve">3. Seasonal timing — winter crops (wheat, barley, oilseed rape) and spring crops (oats, beans, linseed) support fundamentally different arable weed communities. Reviewer should confirm whether separate monitoring windows are needed for winter vs spring crop systems within the same programme.</w:t>
            </w:r>
          </w:p>
          <w:p>
            <w:pPr>
              <w:spacing w:after="80" w:before="0"/>
              <w:jc w:val="left"/>
            </w:pPr>
            <w:r>
              <w:rPr>
                <w:rFonts w:ascii="Arial" w:cs="Arial" w:eastAsia="Arial" w:hAnsi="Arial"/>
                <w:b w:val="false"/>
                <w:bCs w:val="false"/>
                <w:color w:val="000000"/>
                <w:sz w:val="16"/>
                <w:szCs w:val="16"/>
              </w:rPr>
              <w:t xml:space="preserve">4. Response timescale for archaeophyte recovery [~] — archaeophyte species require very specific soil disturbance and management conditions that may not be achievable in all systems. The timescales given assume conditions are appropriate for establishment; reviewer should note where this assumption may not hold.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 — FLORA VARIANT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Flora variant applied. Monitoring task type: Biological community composition — structured walkthrough variant (Variant 2). Observer walks the crop-edge monitoring zone recording species presence and cover. Agricultural management context (crop type, sowing date, last herbicide application) is mandatory contextual information at every survey visit.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27</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Arable field vegetation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Vegetation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relevant wherever arable cropping is part of the monitored land use system.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Arable cropping (annual or biennial crop cultivation) present within the monitored landscape. Not applicable in exclusively pastoral or permanent crop landscapes.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Community type description (flora variant)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Annual and ephemeral plant communities establishing in cultivated soil within and at the margins of arable crop fields. Encompasses the full diversity gradient from: (1) species-poor weed communities dominated by highly competitive ruderal species (Galium aparine, Fallopia convolvulus, Stellaria media, Poa annua) under intensive management; through (2) moderately diverse communities with common arable species (Papaver rhoeas, Veronica persica, Lamium purpureum, Matricaria spp.); to (3) species-rich traditional arable communities including rare archaeophyte species of high conservation value (Agrostemma githago, Legousia speculum-veneris, Scandix pecten-veneris, Ranunculus arvensis) in low-input and organic systems. [geo] Archaeophyte species listed are temperate European — equivalent conservation-priority arable species vary by region.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 (flora — three roles)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bCs/>
                <w:color w:val="000000"/>
                <w:sz w:val="17"/>
                <w:szCs w:val="17"/>
              </w:rPr>
              <w:t xml:space="preserve">1.  Ecological indicator</w:t>
            </w:r>
            <w:r>
              <w:rPr>
                <w:rFonts w:ascii="Arial" w:cs="Arial" w:eastAsia="Arial" w:hAnsi="Arial"/>
                <w:b w:val="false"/>
                <w:bCs w:val="false"/>
                <w:color w:val="000000"/>
                <w:sz w:val="17"/>
                <w:szCs w:val="17"/>
              </w:rPr>
              <w:t xml:space="preserve"> — arable weed species richness and community composition reflect the intensity of herbicide use, nitrogen fertilisation, and soil disturbance regime. The presence of conservation-priority archaeophyte species indicates management conditions rare in modern arable landscapes.</w:t>
            </w:r>
          </w:p>
          <w:p>
            <w:pPr>
              <w:spacing w:after="60" w:before="0"/>
              <w:jc w:val="left"/>
            </w:pPr>
            <w:r>
              <w:rPr>
                <w:rFonts w:ascii="Arial" w:cs="Arial" w:eastAsia="Arial" w:hAnsi="Arial"/>
                <w:b/>
                <w:bCs/>
                <w:color w:val="000000"/>
                <w:sz w:val="17"/>
                <w:szCs w:val="17"/>
              </w:rPr>
              <w:t xml:space="preserve">2.  Practice verification</w:t>
            </w:r>
            <w:r>
              <w:rPr>
                <w:rFonts w:ascii="Arial" w:cs="Arial" w:eastAsia="Arial" w:hAnsi="Arial"/>
                <w:b w:val="false"/>
                <w:bCs w:val="false"/>
                <w:color w:val="000000"/>
                <w:sz w:val="17"/>
                <w:szCs w:val="17"/>
              </w:rPr>
              <w:t xml:space="preserve"> — species richness increase and the appearance of previously absent forb species in the crop-edge zone are the primary biological verification signals for reduced herbicide use and lower nitrogen inputs in arable systems.</w:t>
            </w:r>
          </w:p>
          <w:p>
            <w:pPr>
              <w:spacing w:after="80" w:before="0"/>
              <w:jc w:val="left"/>
            </w:pPr>
            <w:r>
              <w:rPr>
                <w:rFonts w:ascii="Arial" w:cs="Arial" w:eastAsia="Arial" w:hAnsi="Arial"/>
                <w:b/>
                <w:bCs/>
                <w:color w:val="000000"/>
                <w:sz w:val="17"/>
                <w:szCs w:val="17"/>
              </w:rPr>
              <w:t xml:space="preserve">3.  Soil-habitat proxy (partial)</w:t>
            </w:r>
            <w:r>
              <w:rPr>
                <w:rFonts w:ascii="Arial" w:cs="Arial" w:eastAsia="Arial" w:hAnsi="Arial"/>
                <w:b w:val="false"/>
                <w:bCs w:val="false"/>
                <w:color w:val="000000"/>
                <w:sz w:val="17"/>
                <w:szCs w:val="17"/>
              </w:rPr>
              <w:t xml:space="preserve"> — weed community composition can indicate soil nitrogen status and pH through indicator species and Ellenberg values. [geo] Apply Ellenberg values only where validated for the deployment geographic context.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community composition — structured walkthrough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Arable weeds are among the most rapidly declining plant groups in temperate agricultural landscapes — species that were commonplace in cornfields 70 years ago are now nationally rare across much of Europe. Their decline has driven the collapse of farmland bird seed-food resources and the loss of pollinator habitat within the crop zone itself. But unlike most conservation problems, this one is directly reversible: a single change — reducing or delaying herbicide application in the crop headland zone — can produce measurable species richness improvement within a single growing season. This makes arable field vegetation one of the most responsive and most practically actionable ecological monitoring targets in the framework.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The arable flora monitoring story is one of dramatic loss and demonstrable recovery. Meyer et al. (2013) documented losses of specialist arable plants exceeding 70% in central Germany since the 1950s — driven almost entirely by herbicide use and nitrogen fertilisation. But Storkey &amp; Westbury (2007) and Marshall et al. (2003) demonstrated equally clearly that species can return within a single season under appropriate headland management. A monitoring programme that tracks arable weed species richness in the crop-edge zone provides both a direct measure of the community's current state and a sensitive, fast-responding verification signal for the practices intended to restore it.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Fast (Stage 2 from Year 1). Species richness changes in the crop-edge zone detectable within 1–2 growing seasons of management change. Annual community — complete turnover each season means the biological response to management change is faster than for any perennial plant community.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 season): First appearance of previously suppressed forb species in the crop-edge zone following herbicide reduction or elimination. Many common arable species have persistent seed banks and emerge rapidly when herbicide pressure is removed (Storkey &amp; Westbury 2007; Marshall et al. 2003).</w:t>
            </w:r>
          </w:p>
          <w:p>
            <w:pPr>
              <w:spacing w:after="60" w:before="0"/>
              <w:jc w:val="left"/>
            </w:pPr>
            <w:r>
              <w:rPr>
                <w:rFonts w:ascii="Arial" w:cs="Arial" w:eastAsia="Arial" w:hAnsi="Arial"/>
                <w:b w:val="false"/>
                <w:bCs w:val="false"/>
                <w:color w:val="000000"/>
                <w:sz w:val="17"/>
                <w:szCs w:val="17"/>
              </w:rPr>
              <w:t xml:space="preserve">Medium (2–5 years): Species richness increasing progressively as the seed bank diversity is expressed under consistently reduced management intensity. Common archaeophyte species may recover from local seed banks within 2–5 years where viable seed is present (Meyer et al. 2013).</w:t>
            </w:r>
          </w:p>
          <w:p>
            <w:pPr>
              <w:spacing w:after="60" w:before="0"/>
              <w:jc w:val="left"/>
            </w:pPr>
            <w:r>
              <w:rPr>
                <w:rFonts w:ascii="Arial" w:cs="Arial" w:eastAsia="Arial" w:hAnsi="Arial"/>
                <w:b w:val="false"/>
                <w:bCs w:val="false"/>
                <w:color w:val="000000"/>
                <w:sz w:val="17"/>
                <w:szCs w:val="17"/>
              </w:rPr>
              <w:t xml:space="preserve">Slow (5–20 years): Recovery of rare archaeophyte species that have been eliminated from local seed banks — requires either reintroduction from ex-situ seed sources or dispersal from surviving populations in the wider landscape. Cannot be achieved by management change alone where local extinction has occurred (Albrecht et al. 2016).</w:t>
            </w:r>
          </w:p>
          <w:p>
            <w:pPr>
              <w:spacing w:after="80" w:before="0"/>
              <w:jc w:val="left"/>
            </w:pPr>
            <w:r>
              <w:rPr>
                <w:rFonts w:ascii="Arial" w:cs="Arial" w:eastAsia="Arial" w:hAnsi="Arial"/>
                <w:b w:val="false"/>
                <w:bCs w:val="false"/>
                <w:color w:val="000000"/>
                <w:sz w:val="16"/>
                <w:szCs w:val="16"/>
              </w:rPr>
              <w:t xml:space="preserve">[geo] Timescales based on temperate European arable weed ecology. Tropical and subtropical arable weed communities have different species compositions and may respond at different rates.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arable weed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herbicide application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primary driver of arable weed community collapse globally. Selective and broad-spectrum herbicides eliminate forb species while retaining competitive grasses. Repeated herbicide use progressively depletes the soil seed bank of sensitive species — a process that continues for years after management improves because viable seed is exhausted (Marshall et al. 2003; Storkey &amp; Westbury 2007).</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synthetic fertiliser application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nitrogen fertilisation increases crop density and competitive dominance of nitrophilous weed species (Galium aparine, Fallopia convolvulus) while suppressing the diverse community of lower-competitive annual species that characterise species-rich arable communities. High-nitrogen conditions favour 6–8 dominant nitrophilous species over the 20–40 species community typical of traditional low-input systems (Robinson &amp; Sutherland 2002).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Monoculture and loss of crop diversity — particularly loss of spring crops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Spring-sown crops support a fundamentally different and typically more species-rich arable weed community than winter-sown crops. The shift from spring to winter cereal dominance in temperate European agriculture since the 1970s eliminated the spring germination window for many specialist species. Loss of spring crops from rotations is a primary driver of archaeophyte decline (Robinson &amp; Sutherland 2002). [geo]</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 — deep ploughing eliminating seed bank stratification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Although some degree of tillage is beneficial for many annual arable species (creating bare soil germination niches), deep annual ploughing can bury seeds below their germination depth and progressively impoverish the seed bank of shallow-germinating species. The transition to shallow non-inversion tillage can benefit some species while disadvantaging others — management context is critical (Storkey &amp; Westbury 2007).</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 residue management — straw burning (historical) and incorporation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Historical straw burning eliminated surface seed inputs from the previous crop's weed flora. Modern straw incorporation is neutral to beneficial for most species. However, over-rapid decomposition under warm, wet incorporation conditions can impair seed bank viability for some sensitive species.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Vegetation diversity loss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Arable weed species richness in the crop-edge zone is a direct measure of this challenge within arable systems. Declining species richness across consecutive same-crop same-season surveys is an unambiguous biological signal of intensifying herbicide pressure or nitrogen enrichment (Meyer et al. 2013).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Loss of agrobiodiversity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Archaeophyte arable weed species (species introduced with early agriculture and dependent on traditional tillage and low-input management conditions) are one of the primary indicators of agrobiodiversity loss in arable systems. Their presence signals that the management conditions of traditional farming systems are being maintained or restored; their absence signals irreversible loss of an agrobiodiversity component from the landscape (Albrecht et al. 2016). [geo]</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Pollinator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Many arable weed species provide critical early-season (Papaver, Viola arvensis) and mid-season (Centaurea cyanus, Anthemis arvensis) floral resources for wild bees and other pollinators within the crop zone. Declining arable weed diversity signals declining within-crop pollinator forage resource (Marshall et al. 2003).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Overall biodiversity decline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Arable weed seed heads are the primary seed food resource for farmland birds — particularly sparrows, finches, and buntings. The dramatic decline of farmland bird populations across temperate Europe since the 1970s is directly linked to the collapse of arable weed seed food availability through herbicide use. Declining arable weed diversity and cover is a primary biological signal of farmland bird food resource depletion (Robinson &amp; Sutherland 2002). [geo]</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Wild animals, plants and other biomass provisioning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Arable weed seed heads are the primary food source for several farmland bird species — their seed production sustains overwintering bird populations on arable land. High arable weed diversity and cover is positively correlated with farmland bird seed food availability at landscape scale (Robinson &amp; Sutherland 2002).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Pollination services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Diverse arable weed communities provide sequential flowering within the crop zone from early spring to late summer, sustaining wild pollinator colony populations in landscapes where field margins and hedgerows are insufficient alone. Arable weed floral diversity directly contributes to the pollination service for both the crop itself and adjacent non-crop areas (Marshall et al. 2003).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Education, scientific and research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Traditional arable weed communities — including archaeophyte species — represent living genetic libraries of pre-industrial arable agriculture. Their conservation has significant scientific, cultural, and heritage value beyond their direct ecological function (Albrecht et al. 2016). [geo]</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Only deployment context — arable field vegetation is by definition a feature of cultivated annual crop systems.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Only relevant land use category — arable field vegetation monitoring is exclusively applicable in cropland.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type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Soil Type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Sandy, free-draining soils (Arenosols, Podzols)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Historically supported the most species-rich arable weed communities in temperate Europe — light, warm soils with good drainage favour many rare archaeophyte species. Priority monitoring context for recovery of rare species where seed banks may still persist (Albrecht et al. 2016). [geo]</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Calcareous soils (Rendzinas, calcareous Cambisols)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Calcareous arable soils support distinctive calcicole arable weed communities — including several of the rarest archaeophyte species. High monitoring value in regions where calcareous arable farming is traditional (Meyer et al. 2013). [geo]</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Heavy clay soils (Vertisols)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Lower arable weed diversity — wet, heavy soils favour nitrophilous competitive species; fewer specialist arable annuals. Community is typically dominated by a small number of competitive species regardless of management intensity.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Winter cereals (wheat, barley, rye, oilseed rape)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most intensively managed arable crop type — highest herbicide use, densest crop canopy, lowest arable weed diversity. But also the largest area type. The crop headland zone under winter cereals is the primary monitoring context for detecting any recovery signals under reduced input management.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Spring cereals and pulses (oats, spring barley, field beans, linseed)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Higher arable weed diversity potential — spring-sown crops allow the spring germination window for many rare species. Including spring crops in the rotation is the most impactful single rotation management change for arable weed recovery (Robinson &amp; Sutherland 2002). [geo]</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Organic arable systems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arable weed diversity of any modern cropping system — absence of herbicides allows the seed bank community to express fully. A well-established organic arable system is the reference community for recovery trajectory assessment in monitoring programmes (Albrecht et al. 2016).</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Available nitrogen (nitrate-N)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available nitrogen in the crop-edge zone under reduced synthetic fertiliser inputs is the primary abiotic precursor for forb species recovery — as competitive nitrogen-demanding species lose their advantage, less competitive specialist forbs can establish. Nitrogen decline in the crop-edge soil precedes measurable forb species appearance by 1–2 growing seasons (Storkey &amp; Westbury 2007).</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pH</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Arable weed community composition is strongly influenced by soil pH — calcicolous species require pH above 6.5; acid-tolerant species dominate below pH 5.5. pH monitoring in the crop-edge zone confirms whether soil conditions are appropriate for the target recovery community. pH change precedes community composition change by 1–2 seasons when management changes affect soil acidification rate.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Percentage ground cover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Ground cover in the crop-edge zone — including both crop and non-crop vegetation — is the most accessible abiotic signal of bare soil availability for annual weed germination. High bare soil % in the early growing season signals conditions favourable for annual species germination. Ground cover monitoring at drilling and early crop establishment records the germination window conditions.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Diversified crop rotation — inclusion of spring crops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Inclusion of spring-sown crops in the rotation restores the spring germination window for many specialist annual species and breaks the continuous dominance of autumn-germinating weed species adapted to winter crop conditions.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Maintain permanent soil cover — but with bare soil creation at drilling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Arable annuals require bare, disturbed soil for germination — unlike most of the other profiles, a degree of soil disturbance (drilling, shallow cultivation) is ecologically beneficial. The management target is creating germination niches without applying herbicide to the emerging community.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synthetic pesticides (herbicide reduction)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Forb species richness increase in the crop-edge zone is the most direct and fastest biological verification signal for reduced herbicide use in arable systems. Annual arable communities turn over completely each season — the first season of herbicide reduction produces the clearest measurable community response of any vegetation profile in the framework (Storkey &amp; Westbury 2007; Marshall et al. 2003).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Species richness increase detectable within the first growing season of herbicide reduction in the crop headland; new species appearing from surviving seed bank within 1–2 seasons; archaeophyte species appear within 3–7 years where local seed bank populations survive, or not at all where seed bank is depleted.</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P21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synthetic nitrogen fertiliser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Forb species cover increase and declining cover of dominant nitrophilous competitive species (Galium aparine, Fallopia convolvulus) are the primary biological verification signals for reduced nitrogen inputs in arable systems. The community shift from nitrophilous-dominated toward diverse forb-grass community is detectable within 2–4 growing seasons of consistent N reduction (Robinson &amp; Sutherland 2002).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Cover of dominant nitrophilous weed species (Galium aparine particularly) declines progressively over 2–4 growing seasons of N reduction; species richness increases concurrently as competitive release allows suppressed species to establish from the seed bank.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 — Farmland birds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Arable weed seed heads are the primary overwintering seed food resource for skylarks, corn buntings, yellow wagtails, and house sparrows in arable landscapes. Arable weed species richness and cover are the primary food resource indicators for these farmland bird species — tracking both groups jointly provides the most complete picture of arable biodiversity trajectory.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 — Wild bees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Arable weed flowers — particularly Papaver rhoeas, Viola arvensis, Centaurea cyanus, and Anthemis arvensis — are important early-season and mid-season pollen resources for wild bees in arable landscapes. Arable weed floral diversity contributes to the within-crop pollinator foraging resource, especially in landscapes with limited field margin habitat.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29 — Field margin and uncropped boundary vegetation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Field margin vegetation provides the seed source for arable weed community recovery in the crop-edge zone — species present in the margin can recolonise the crop-edge zone when management conditions allow. Profile 29 (field margins) and Profile 27 (arable field vegetation) are complementary components of the arable biodiversity monitoring package; the margin functions as a refuge and seed source for the in-crop community.</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arable weed ecologists.</w:t>
            </w:r>
          </w:p>
          <w:p>
            <w:pPr>
              <w:spacing w:after="80" w:before="0"/>
              <w:jc w:val="left"/>
            </w:pPr>
            <w:r>
              <w:rPr>
                <w:rFonts w:ascii="Arial" w:cs="Arial" w:eastAsia="Arial" w:hAnsi="Arial"/>
                <w:b w:val="false"/>
                <w:bCs w:val="false"/>
                <w:color w:val="000000"/>
                <w:sz w:val="16"/>
                <w:szCs w:val="16"/>
              </w:rPr>
              <w:t xml:space="preserve">Monitoring position: all protocols focus on the crop-edge zone — the 1–6m strip at the field headland or alongside tramlines where light penetration is higher and herbicide application may be reduced. In-crop monitoring (further into the field) is the appropriate Level 3 extension. Record crop type, sowing date, and last herbicide/nitrogen application at every survey visit — these are essential contextual data for interpreting species richness values.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Structured walkthrough of the crop-edge zone recording flowering plant presence, species count, and management evidence. Most useful at the crop-flowering stage when species are most identifiable.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Arable headland flora walkthrough — functional group presence and species count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Number of non-crop plant species visible in the crop-edge zone; presence of flowering forbs; presence of any rare or conservation-priority species; management evidence (herbicide damage, spray lines); bare soil availability in the zone.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Walk 50m along the crop headland (the area along the field edge — typically a tramline or the first 3–6m from the field boundary). Walk slowly, noting all non-crop plant species visible above the crop canopy or at the soil surface in any gaps.</w:t>
            </w:r>
          </w:p>
          <w:p>
            <w:pPr>
              <w:spacing w:after="40" w:before="0"/>
              <w:jc w:val="left"/>
            </w:pPr>
            <w:r>
              <w:rPr>
                <w:rFonts w:ascii="Arial" w:cs="Arial" w:eastAsia="Arial" w:hAnsi="Arial"/>
                <w:b w:val="false"/>
                <w:bCs w:val="false"/>
                <w:color w:val="000000"/>
                <w:sz w:val="17"/>
                <w:szCs w:val="17"/>
              </w:rPr>
              <w:t xml:space="preserve">2. Record all non-crop plant species visible — by common name or description if species name unknown ('small red poppy', 'blue flowers in groups', 'white daisy-like flowers'). Photograph all unrecognised species.</w:t>
            </w:r>
          </w:p>
          <w:p>
            <w:pPr>
              <w:spacing w:after="40" w:before="0"/>
              <w:jc w:val="left"/>
            </w:pPr>
            <w:r>
              <w:rPr>
                <w:rFonts w:ascii="Arial" w:cs="Arial" w:eastAsia="Arial" w:hAnsi="Arial"/>
                <w:b w:val="false"/>
                <w:bCs w:val="false"/>
                <w:color w:val="000000"/>
                <w:sz w:val="17"/>
                <w:szCs w:val="17"/>
              </w:rPr>
              <w:t xml:space="preserve">3. Assign a rough cover class for the whole 50m zone: bare soil / sparse (&lt;25% non-crop plant cover) / moderate (25–75%) / dense (&gt;75%).</w:t>
            </w:r>
          </w:p>
          <w:p>
            <w:pPr>
              <w:spacing w:after="80" w:before="0"/>
              <w:jc w:val="left"/>
            </w:pPr>
            <w:r>
              <w:rPr>
                <w:rFonts w:ascii="Arial" w:cs="Arial" w:eastAsia="Arial" w:hAnsi="Arial"/>
                <w:b w:val="false"/>
                <w:bCs w:val="false"/>
                <w:color w:val="000000"/>
                <w:sz w:val="17"/>
                <w:szCs w:val="17"/>
              </w:rPr>
              <w:t xml:space="preserve">4. Record management evidence: herbicide damage visible (yellowing, dead patches, spray line); evidence of reduced or no spray in the headland; bare sprayed strip adjacent to boundary.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Field datasheet; camera; regional wildflower photographic guide (optional but helpful).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Species count requires only recognising distinct plant types — not botanical identification to species level. A 30-minute briefing covering 10–15 common arable weed species with photographs is sufficient for an observer to begin contributing useful monitoring data.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(May–June in temperate Europe) — when annual arable weeds are in flower and most identifiable. For winter crops: survey before crop harvest (May–July depending on region). For spring crops: survey at peak crop growth (July–August typically). Agricultural management context: record whether herbicide has been applied in the current growing season and when.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Early autumn — for autumn-germinating species in winter crop contexts (September–October survey captures the early autumn community before winter management).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20–30 minutes per 50m headland section.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 primary spring/early summer window. Autumn visit optional for winter crop systems.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 annual species richness trends interpretable from Year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Non-crop plant species count per 50m headland section (primary metric); presence of flowering forbs (Y/N); approximate non-crop cover class; management evidence record.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Overview of crop-edge zone showing vegetation cover and management context. (2) Individual species shots: photograph every recognisable or unrecognised species present — use a white card placed behind the plant for clarity. (3) Management evidence: photograph any herbicide damage, spray lines, or unsprayed headland zones.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counting the crop itself as a species. Record only non-crop plant species — everything other than the intended agricultural crop. If a crop volunteer (a seed from a previous crop) is present, record it as a species but note it as a 'crop volunteer'.</w:t>
            </w:r>
          </w:p>
          <w:p>
            <w:pPr>
              <w:spacing w:after="60" w:before="0"/>
              <w:jc w:val="left"/>
            </w:pPr>
            <w:r>
              <w:rPr>
                <w:rFonts w:ascii="Arial" w:cs="Arial" w:eastAsia="Arial" w:hAnsi="Arial"/>
                <w:b w:val="false"/>
                <w:bCs w:val="false"/>
                <w:color w:val="000000"/>
                <w:sz w:val="16"/>
                <w:szCs w:val="16"/>
              </w:rPr>
              <w:t xml:space="preserve">Second error: missing small or inconspicuous species. Walk slowly and look at ground level — many small arable annuals (Veronica spp., Lamium amplexicaule, Stellaria media) are very small and easily missed without attention. Get down to ground level at 3–4 points along the 50m section.</w:t>
            </w:r>
          </w:p>
          <w:p>
            <w:pPr>
              <w:spacing w:after="80" w:before="0"/>
              <w:jc w:val="left"/>
            </w:pPr>
            <w:r>
              <w:rPr>
                <w:rFonts w:ascii="Arial" w:cs="Arial" w:eastAsia="Arial" w:hAnsi="Arial"/>
                <w:b w:val="false"/>
                <w:bCs w:val="false"/>
                <w:color w:val="000000"/>
                <w:sz w:val="16"/>
                <w:szCs w:val="16"/>
              </w:rPr>
              <w:t xml:space="preserve">Third error: surveying too early in the season when annual species have not yet germinated. For winter crops, survey no earlier than late April in temperate Europe — earlier surveys dramatically undercount species richness.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Species count increasing across consecutive same-crop same-season surveys: management intensification has reversed and the seed bank is expressing — direct verification of P11 (herbicide reduction). Connect to Challenges #22 (Vegetation diversity loss) and #23 (Loss of agrobiodiversity).</w:t>
            </w:r>
          </w:p>
          <w:p>
            <w:pPr>
              <w:spacing w:after="50" w:before="0"/>
              <w:jc w:val="left"/>
            </w:pPr>
            <w:r>
              <w:rPr>
                <w:rFonts w:ascii="Arial" w:cs="Arial" w:eastAsia="Arial" w:hAnsi="Arial"/>
                <w:b w:val="false"/>
                <w:bCs w:val="false"/>
                <w:color w:val="000000"/>
                <w:sz w:val="17"/>
                <w:szCs w:val="17"/>
              </w:rPr>
              <w:t xml:space="preserve">High species count but dominated by 2–3 nitrophilous species (Galium aparine, Stellaria media, Poa annua): intermediate management — herbicide pressure reduced but nitrogen still suppressing community balance. Connect to P21 (reduced nitrogen) practice recommendation.</w:t>
            </w:r>
          </w:p>
          <w:p>
            <w:pPr>
              <w:spacing w:after="80" w:before="0"/>
              <w:jc w:val="left"/>
            </w:pPr>
            <w:r>
              <w:rPr>
                <w:rFonts w:ascii="Arial" w:cs="Arial" w:eastAsia="Arial" w:hAnsi="Arial"/>
                <w:b w:val="false"/>
                <w:bCs w:val="false"/>
                <w:color w:val="000000"/>
                <w:sz w:val="16"/>
                <w:szCs w:val="16"/>
              </w:rPr>
              <w:t xml:space="preserve">Zero or near-zero non-crop species: full herbicide spray programme confirmed — community suppressed to zero. Connect to Challenge #22 and B2 practice P11 recommendation. Note in monitoring record for escalation to Level 2 targeted survey in subsequent season.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crop type; winter/spring sowing; date of last herbicide application and product class (selective / broad-spectrum / none); whether the monitored headland is included in or excluded from herbicide applications; approximate nitrogen fertiliser rate applied to the field this season.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Be aware of machinery operations during crop monitoring — coordinate access with the farm operator. Do not enter fields during or immediately after pesticide application operations (observe re-entry intervals). Wear appropriate footwear for crop field access.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Storkey J, Westbury DB (2007) Managing arable weeds for biodiversity — see References; Ecdysis 1000 Farms arable vegetation protocol.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https://doi.org/10.1002/ps.1375</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Quadrat-based community composition survey in crop headland zone with species-level botanical recording and cover assessment. Enables species richness tracking, archaeophyte species detection, and Ellenberg-based soil nitrogen inference.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Arable headland community composition survey — species-level quadrat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Species-level plant community composition in the crop headland zone with Braun-Blanquet cover class per species; total species richness; forb richness; archaeophyte or regional conservation-priority species presence; Ellenberg N values for soil nitrogen inference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Establish 5 fixed 0.5m × 0.5m quadrats at equal intervals along the 50m crop-edge zone — position quadrats at 2m from the field boundary to ensure consistent within-headland position. At each quadrat: record all vascular plant species with Braun-Blanquet cover class. Record bare soil % and crop cover %. Scan the surrounding 2m radius beyond each quadrat for any species present outside the quadrat but within the headland zone — add these to a supplementary species list without cover data. Calculate Ellenberg N mean for the quadrat community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0.5m × 0.5m quadrat frame; regional arable weed flora field guide; Braun-Blanquet cover class reference card; GPS; field datasheet; camera.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vascular plant identification skill for common arable weed species. Arable weed identification at seedling and rosette stage — when many species are most commonly encountered — is significantly more challenging than identification at flowering. Training with an arable weed specialist botanist is strongly recommended before independent surveying.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 peak crop growth; most arable species identifiable. For winter cereals: late May to late June in temperate Europe [geo]. For spring crops: July–August.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Early autumn — for autumn-germinating species in winter crop headlands (September–October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30–45 minutes per 50m section for 5 quadrats.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(primary window; same crop type and same season each year for comparability).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species composition trends. Note: results are only comparable within the same crop type — do not compare winter crop and spring crop surveys.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species richness per quadrat; forb species richness; Braun-Blanquet cover per species; presence of archaeophyte or conservation-priority species (list); Ellenberg N mean per quadrat [geo]; Shannon diversity index.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Level 1 photographs plus: species identification photographs of all recorded species at the quadrat — particularly any species at seedling or rosette stage. Retain a permanent photograph archive of all species by crop-edge survey year.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Archaeophyte or regional conservation-priority species detected: highest positive monitoring outcome — indicates that seed bank populations of rare species survive and management conditions have allowed emergence. Flag immediately as conservation priority. Connect to Challenge #23 (Loss of agrobiodiversity) and Service #34 (Education/research).</w:t>
            </w:r>
          </w:p>
          <w:p>
            <w:pPr>
              <w:spacing w:after="50" w:before="0"/>
              <w:jc w:val="left"/>
            </w:pPr>
            <w:r>
              <w:rPr>
                <w:rFonts w:ascii="Arial" w:cs="Arial" w:eastAsia="Arial" w:hAnsi="Arial"/>
                <w:b w:val="false"/>
                <w:bCs w:val="false"/>
                <w:color w:val="000000"/>
                <w:sz w:val="17"/>
                <w:szCs w:val="17"/>
              </w:rPr>
              <w:t xml:space="preserve">Ellenberg N declining (toward N value 3–4) [geo]: soil nitrogen availability declining — directly confirming the abiotic precursor trajectory for forb diversity recovery. Cross-reference with A09 (available nitrogen) abiotic measurement.</w:t>
            </w:r>
          </w:p>
          <w:p>
            <w:pPr>
              <w:spacing w:after="80" w:before="0"/>
              <w:jc w:val="left"/>
            </w:pPr>
            <w:r>
              <w:rPr>
                <w:rFonts w:ascii="Arial" w:cs="Arial" w:eastAsia="Arial" w:hAnsi="Arial"/>
                <w:b w:val="false"/>
                <w:bCs w:val="false"/>
                <w:color w:val="000000"/>
                <w:sz w:val="16"/>
                <w:szCs w:val="16"/>
              </w:rPr>
              <w:t xml:space="preserve">Species richness &gt;10 per 0.25m2 quadrat [~]: species-rich arable headland community — approach quality of organic arable reference. Maintain management and consider active archaeophyte seed introduction if target species absent.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 same management records. Additionally note: tramline presence/absence within the monitored headland; approximate distance of quadrats from field boundary; whether headland is part of an agri-environment scheme with specific management prescriptions.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Marshall et al. (2003); Storkey &amp; Westbury (2007); Meyer et al. (2013); Ellenberg et al. (1992) [geo]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https://doi.org/10.1046/j.1365-2664.2003.00781.x</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Full arable weed survey including in-crop zone, seed bank sampling, and archaeophyte population monitoring with conservation status 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arable weed community assessment with seed bank sampling and in-crop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Complete species inventory from headland zone and in-crop tramline zone; soil seed bank composition from core samples; archaeophyte population size estimates; community classification to Weed Research or equivalent standard.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botanical survey of headland zone as per Level 2 plus: (a) In-crop tramline survey — walk 4 tramlines at 100m intervals across the field, recording all non-crop plant species within 0.5m of the tramline at 5 fixed points per tramline. (b) Seed bank sampling — collect 5 soil cores (0–10cm depth) from the headland zone; sort through and identify seeds; calculate viable seed bank composition per species per core. (c) Archaeophyte population monitoring — for any conservation-priority species detected, count all individuals present in the field and map GPS locations.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plus: soil corer (0–10cm); seed germination trays and growth chamber for seed bank germination assay; GPS with sub-metre accuracy; photographic voucher collection.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Arable weed botanist with seed identification expertise for seed bank assay; GPS mapping skills for population monitoring.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(flowering peak). Seed bank sampling: early autumn after seed set.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 spring survey + autumn seed bank sampling.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seed bank composition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species list (headland + in-crop); seed bank density per species (seeds/m2); archaeophyte population size and GPS distribution; community classification; seed bank diversity index.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Seed bank diversity increasing over 5+ years: long-term soil biological memory of the arable weed community recovering — the most comprehensive evidence of management-driven arable biodiversity improvement. Archaeophyte seed bank populations detected: highest conservation outcome — confirms self-sustaining populations of rare species within the monitored field.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plus: seed bank work involves soil handling — standard hygiene precautions.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Albrecht et al. (2016); Meyer et al. (2013); Marshall et al. (2003)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https://doi.org/10.1080/23818107.2016.1228990</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URL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Albrecht H, Cambecedes J, Lang M, Otte A (2016) Management options for the conservation of rare arable plants in Europe. Botany Letters 163:389–415.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https://doi.org/10.1080/23818107.2016.1228990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A7; Protocol Level 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Ellenberg H, Weber HE, Düll R, Wirth V, Werner W, Paulißen D (1992) Zeigerwerte der Pflanzen in Mitteleuropa. Scripta Geobotanica 18. Goltze, Göttingen. [geo]</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No DOI — Scripta Geobotanica 18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A8; Protocol Level 2 [geo]</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Marshall EJP, Brown VK, Boatman ND, Lutman PJW, Squire GR, Ward LK (2003) The role of weeds in supporting biological diversity within crop fields. Weed Research 43:77–89.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https://doi.org/10.1046/j.1365-2664.2003.00781.x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A8; B2; Response timescale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Meyer S, Wesche K, Krause B, Leuschner C (2013) Dramatic losses of specialist arable plants in central Germany since the 1950s/60s — a cross-regional analysis. Diversity and Distributions 19:1175–1187.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https://doi.org/10.1111/ddi.12102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 Ecological rationale; Response timescale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Robinson RA, Sutherland WJ (2002) Post-war changes in arable farming and biodiversity in Great Britain. Journal of Applied Ecology 39:157–176.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https://doi.org/10.1046/j.1365-2664.2002.00695.x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A7; B2; Response timescale [geo]</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Storkey J, Westbury DB (2007) Managing arable weeds for biodiversity. Pest Management Science 63:517–523.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https://doi.org/10.1002/ps.1375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A8; B2; Response timescale; Protocol Levels 1 and 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27 — Arable field vegetation</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2E7D32" w:sz="3"/>
          </w:tcBorders>
          <w:tcMar>
            <w:bottom w:type="dxa" w:w="60"/>
          </w:tcMar>
        </w:tcPr>
        <w:p>
          <w:pPr>
            <w:spacing w:after="80" w:before="0"/>
            <w:jc w:val="left"/>
          </w:pPr>
          <w:r>
            <w:rPr>
              <w:rFonts w:ascii="Arial" w:cs="Arial" w:eastAsia="Arial" w:hAnsi="Arial"/>
              <w:b w:val="false"/>
              <w:bCs w:val="false"/>
              <w:color w:val="2E7D32"/>
              <w:sz w:val="15"/>
              <w:szCs w:val="15"/>
            </w:rPr>
            <w:t xml:space="preserve">LAHMP — Profile 27 — Arable field vegetation</w:t>
          </w:r>
        </w:p>
      </w:tc>
      <w:tc>
        <w:tcPr>
          <w:tcBorders>
            <w:bottom w:val="single" w:color="2E7D32"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46B52C8-20E1-4B84-A077-5BEC2D974DA8}"/>
</file>

<file path=customXml/itemProps2.xml><?xml version="1.0" encoding="utf-8"?>
<ds:datastoreItem xmlns:ds="http://schemas.openxmlformats.org/officeDocument/2006/customXml" ds:itemID="{24A37F9F-5A3D-45B4-89B0-3A7FD119A51C}"/>
</file>

<file path=customXml/itemProps3.xml><?xml version="1.0" encoding="utf-8"?>
<ds:datastoreItem xmlns:ds="http://schemas.openxmlformats.org/officeDocument/2006/customXml" ds:itemID="{D768E414-3560-44AF-839B-B431573134B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2026-04-12T10:11:24Z</dcterms:created>
  <dcterms:modified xsi:type="dcterms:W3CDTF">2026-04-12T10:11:24Z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