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4"/>
                <w:szCs w:val="24"/>
              </w:rPr>
              <w:t xml:space="preserve">Profile 28 — Grassland and meadow plant communities</w:t>
            </w:r>
          </w:p>
          <w:p>
            <w:pPr>
              <w:spacing w:after="80" w:before="0"/>
              <w:jc w:val="center"/>
            </w:pPr>
            <w:r>
              <w:rPr>
                <w:rFonts w:ascii="Arial" w:cs="Arial" w:eastAsia="Arial" w:hAnsi="Arial"/>
                <w:b w:val="false"/>
                <w:bCs w:val="false"/>
                <w:color w:val="FFFFFF"/>
                <w:sz w:val="16"/>
                <w:szCs w:val="16"/>
              </w:rPr>
              <w:t xml:space="preserve">Category: Vegetation communities  |  Tier: Universal  |  Flora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40" w:before="0"/>
              <w:jc w:val="left"/>
            </w:pPr>
            <w:r>
              <w:rPr>
                <w:rFonts w:ascii="Arial" w:cs="Arial" w:eastAsia="Arial" w:hAnsi="Arial"/>
                <w:b/>
                <w:bCs/>
                <w:color w:val="2E7D32"/>
                <w:sz w:val="16"/>
                <w:szCs w:val="16"/>
              </w:rPr>
              <w:t xml:space="preserve">FLORA PROFILE — apply Flora Variant Appendix modifications throughout.</w:t>
            </w:r>
          </w:p>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grassland ecologists before platform deployment. Ellenberg indicator values [geo] are validated for temperate Central European systems only.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Ellenberg indicator values — all uses are marked [geo]. Reviewer must confirm appropriate regional equivalent systems for non-European deployment contexts (e.g. Landolt system for Switzerland, Czerepanov/Tsyganov for Eastern Europe/Russia, Hill et al. for UK, equivalent systems for North America and other regions).</w:t>
            </w:r>
          </w:p>
          <w:p>
            <w:pPr>
              <w:spacing w:after="60" w:before="0"/>
              <w:jc w:val="left"/>
            </w:pPr>
            <w:r>
              <w:rPr>
                <w:rFonts w:ascii="Arial" w:cs="Arial" w:eastAsia="Arial" w:hAnsi="Arial"/>
                <w:b w:val="false"/>
                <w:bCs w:val="false"/>
                <w:color w:val="000000"/>
                <w:sz w:val="16"/>
                <w:szCs w:val="16"/>
              </w:rPr>
              <w:t xml:space="preserve">2. Response timescales for grassland diversity recovery — largely temperate European evidence. Tropical and subtropical grassland diversity recovery timescales require separate literature review.</w:t>
            </w:r>
          </w:p>
          <w:p>
            <w:pPr>
              <w:spacing w:after="60" w:before="0"/>
              <w:jc w:val="left"/>
            </w:pPr>
            <w:r>
              <w:rPr>
                <w:rFonts w:ascii="Arial" w:cs="Arial" w:eastAsia="Arial" w:hAnsi="Arial"/>
                <w:b w:val="false"/>
                <w:bCs w:val="false"/>
                <w:color w:val="000000"/>
                <w:sz w:val="16"/>
                <w:szCs w:val="16"/>
              </w:rPr>
              <w:t xml:space="preserve">3. Nitrogen depletion thresholds marked [~] — verify current consensus on soil nitrate-N thresholds for forb community recovery against most recent lowland grassland restoration literature.</w:t>
            </w:r>
          </w:p>
          <w:p>
            <w:pPr>
              <w:spacing w:after="80" w:before="0"/>
              <w:jc w:val="left"/>
            </w:pPr>
            <w:r>
              <w:rPr>
                <w:rFonts w:ascii="Arial" w:cs="Arial" w:eastAsia="Arial" w:hAnsi="Arial"/>
                <w:b w:val="false"/>
                <w:bCs w:val="false"/>
                <w:color w:val="000000"/>
                <w:sz w:val="16"/>
                <w:szCs w:val="16"/>
              </w:rPr>
              <w:t xml:space="preserve">4. Level 1 protocol — reviewer should assess whether a structured walkthrough is achievable for community observers with no botanical training, or whether functional group identification is a more appropriate Level 1 target.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 — FLORA VARIANT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Flora variant applied throughout this profile. 'Taxonomic position' replaced by 'Community type description'. Three monitoring roles listed. Seasonal window framed relative to agricultural management events. See Flora Variant Appendix in the template for full guidance.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Grassland and meadow plant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Vegetation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universally relevant wherever grassland, pasture, or meadow is present within or adjacent to the monitored landscape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Grassland, pasture, meadow, or semi-natural sward present. This profile is not applicable in landscapes comprising exclusively arable cropland with no permanent grass component.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Community type description (flora variant — replaces 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Graminoid and forb communities in managed or semi-natural grasslands, pastures, and meadows. Encompasses all permanent and semi-permanent grass-dominated agricultural vegetation, from intensively managed monoculture ryegrass swards to species-rich traditional hay meadows and calcareous grasslands. Dominant plant functional groups: grasses (Poaceae, Cyperaceae, Juncaceae), forbs (multiple families), legumes (Fabaceae), and bryophytes (in low-input and semi-natural systems). Community composition at the structural level reflects management intensity, soil fertility, pH, and disturbance regime.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 (flora — three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000000"/>
                <w:sz w:val="17"/>
                <w:szCs w:val="17"/>
              </w:rPr>
              <w:t xml:space="preserve">1.  Ecological indicator</w:t>
            </w:r>
            <w:r>
              <w:rPr>
                <w:rFonts w:ascii="Arial" w:cs="Arial" w:eastAsia="Arial" w:hAnsi="Arial"/>
                <w:b w:val="false"/>
                <w:bCs w:val="false"/>
                <w:color w:val="000000"/>
                <w:sz w:val="17"/>
                <w:szCs w:val="17"/>
              </w:rPr>
              <w:t xml:space="preserve"> — species composition, functional group diversity, and community trajectory reflect long-term management intensity, soil fertility status, and disturbance history. Appropriate for all landscape contexts.</w:t>
            </w:r>
          </w:p>
          <w:p>
            <w:pPr>
              <w:spacing w:after="60" w:before="0"/>
              <w:jc w:val="left"/>
            </w:pPr>
            <w:r>
              <w:rPr>
                <w:rFonts w:ascii="Arial" w:cs="Arial" w:eastAsia="Arial" w:hAnsi="Arial"/>
                <w:b/>
                <w:bCs/>
                <w:color w:val="000000"/>
                <w:sz w:val="17"/>
                <w:szCs w:val="17"/>
              </w:rPr>
              <w:t xml:space="preserve">2.  Practice verification</w:t>
            </w:r>
            <w:r>
              <w:rPr>
                <w:rFonts w:ascii="Arial" w:cs="Arial" w:eastAsia="Arial" w:hAnsi="Arial"/>
                <w:b w:val="false"/>
                <w:bCs w:val="false"/>
                <w:color w:val="000000"/>
                <w:sz w:val="17"/>
                <w:szCs w:val="17"/>
              </w:rPr>
              <w:t xml:space="preserve"> — species richness trajectory and functional group shifts (forb cover increase, legume establishment, dominant grass decline) are the primary biological signals that grassland management practices are producing expected ecological change.</w:t>
            </w:r>
          </w:p>
          <w:p>
            <w:pPr>
              <w:spacing w:after="80" w:before="0"/>
              <w:jc w:val="left"/>
            </w:pPr>
            <w:r>
              <w:rPr>
                <w:rFonts w:ascii="Arial" w:cs="Arial" w:eastAsia="Arial" w:hAnsi="Arial"/>
                <w:b/>
                <w:bCs/>
                <w:color w:val="000000"/>
                <w:sz w:val="17"/>
                <w:szCs w:val="17"/>
              </w:rPr>
              <w:t xml:space="preserve">3.  Soil-habitat proxy</w:t>
            </w:r>
            <w:r>
              <w:rPr>
                <w:rFonts w:ascii="Arial" w:cs="Arial" w:eastAsia="Arial" w:hAnsi="Arial"/>
                <w:b w:val="false"/>
                <w:bCs w:val="false"/>
                <w:color w:val="000000"/>
                <w:sz w:val="17"/>
                <w:szCs w:val="17"/>
              </w:rPr>
              <w:t xml:space="preserve"> — community composition interpreted through Ellenberg indicator values to infer soil conditions (pH, nitrogen, moisture, light). [geo] Validated for temperate Central European systems. Apply only where a validated regional indicator species system exists for the deployment context.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community composition — primary task type: community composition survey (quadrat-based). See Flora Variant Appendix for additional applicable task type variants.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Grassland plant communities are the most visible expression of long-term land management at the field level. A species-rich hay meadow carries the ecological history of decades of low-input management in its vegetation; a species-poor ryegrass monoculture reflects equally clearly the legacy of fertiliser and herbicide use. The plant community is not just a monitoring target — it is a living archive of management decisions, and its trajectory over time is the most integrative biological signal available for assessing whether grassland management is genuinely improving.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Grassland plant communities bridge the gap between soil health monitoring and landscape-scale biodiversity monitoring in a way that no other indicator group does. A simple species count in a 1m² quadrat by an observer with a basic wildflower guide provides an immediately meaningful result — the number of forb species in a meadow is among the most interpretable ecological metrics available to any monitoring programme, requiring no laboratory analysis and no specialist training beyond plant recognition. And through the Ellenberg indicator system, the species composition can be used to infer soil nitrogen status, pH, and moisture conditions with reasonable confidence in European temperate systems — making this profile simultaneously a biodiversity indicator and a soil health proxy.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Medium–slow (Stage 2–3). Fast-responding indicators (dominant grass species composition, legume cover) detectable within 1–3 seasons. Species richness recovery in degraded swards requires 5–15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Legume cover (Trifolium, Lotus, Vicia) measurable within 1–2 seasons of nitrogen input reduction. Reduction in competitive dominant grass (e.g. Lolium perenne, Dactylis glomerata) cover density detectable within 2–3 seasons of changed management (Mountford et al. 1993).</w:t>
            </w:r>
          </w:p>
          <w:p>
            <w:pPr>
              <w:spacing w:after="60" w:before="0"/>
              <w:jc w:val="left"/>
            </w:pPr>
            <w:r>
              <w:rPr>
                <w:rFonts w:ascii="Arial" w:cs="Arial" w:eastAsia="Arial" w:hAnsi="Arial"/>
                <w:b w:val="false"/>
                <w:bCs w:val="false"/>
                <w:color w:val="000000"/>
                <w:sz w:val="17"/>
                <w:szCs w:val="17"/>
              </w:rPr>
              <w:t xml:space="preserve">Medium (3–7 years): Forb species richness increases measurably in semi-improved swards following consistent low-input management over 3–5 years (Bakker &amp; Berendse 1999).</w:t>
            </w:r>
          </w:p>
          <w:p>
            <w:pPr>
              <w:spacing w:after="60" w:before="0"/>
              <w:jc w:val="left"/>
            </w:pPr>
            <w:r>
              <w:rPr>
                <w:rFonts w:ascii="Arial" w:cs="Arial" w:eastAsia="Arial" w:hAnsi="Arial"/>
                <w:b w:val="false"/>
                <w:bCs w:val="false"/>
                <w:color w:val="000000"/>
                <w:sz w:val="17"/>
                <w:szCs w:val="17"/>
              </w:rPr>
              <w:t xml:space="preserve">Slow (5–15 years): Recovery of species-rich hay meadow communities from intensively managed swards requires 5–15 years of consistent management change, and may require active seed introduction in heavily degraded sites (Poschlod &amp; WallisDeVries 2002).</w:t>
            </w:r>
          </w:p>
          <w:p>
            <w:pPr>
              <w:spacing w:after="80" w:before="0"/>
              <w:jc w:val="left"/>
            </w:pPr>
            <w:r>
              <w:rPr>
                <w:rFonts w:ascii="Arial" w:cs="Arial" w:eastAsia="Arial" w:hAnsi="Arial"/>
                <w:b w:val="false"/>
                <w:bCs w:val="false"/>
                <w:color w:val="000000"/>
                <w:sz w:val="16"/>
                <w:szCs w:val="16"/>
              </w:rPr>
              <w:t xml:space="preserve">[geo] These timescales apply primarily to temperate European lowland grasslands. Recovery trajectories in tropical and subtropical grassland systems differ substantially and require separate calibration.</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grassland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(grassland renovation)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 renovation — ploughing and reseeding to a grass monoculture — destroys the established plant community, eliminating the seed bank, fungal associations, and surface soil structure that support species-rich communities. Community recovery following renovation requires decades under optimal conditions (Poschlod &amp; WallisDeVries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Nitrogen fertilisation is the primary driver of grassland species diversity loss in temperate agricultural landscapes. High nitrogen availability competitively excludes forbs and legumes in favour of fast-growing, nitrogen-responsive grasses (e.g. Lolium perenne, Dactylis glomerata). The relationship between nitrogen deposition and species loss is among the most robust in grassland ecology (Mountford et al. 1993; Tilman et al. 1996).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Selective broadleaf herbicides directly eliminate forb species from grassland communities, reducing diversity to grass monocultures. Residual herbicide effects can persist in the soil seed bank for multiple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crop diversity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Reseeding or herbicide management to grass monoculture — typically Lolium perenne — eliminates the forb and legume component entirely, producing a floristically impoverished community incapable of supporting pollinator populations or providing habitat for invertebrate and vertebrate communities dependent on structural diversity.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stocking density removes forb and legume species preferentially (differential palatability); compacts soil; eliminates taller structural elements of the sward. Overgrazing is one of the primary drivers of grassland species diversity loss globally, particularly in semi-arid pastoral systems (Grime 1979).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Abandonment of traditional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Cessation of cutting or appropriate grazing allows competitive exclusion of forbs by tall grasses or scrub encroachment. Traditional grassland management regimes — hay cutting, rotational grazing — actively maintain diversity by preventing competitive dominance. Their abandonment consistently leads to diversity loss (Poschlod &amp; WallisDeVries 2002).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Forb species richness per unit area is the most direct and interpretable biological signal of this challenge. Declining richness across consecutive same-season surveys is an unambiguous indicator of vegetation diversity loss at the field scale (Tilman et al. 1996).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Pollinator decline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Forb-rich grassland communities are the primary habitat and food resource for many wild bee, butterfly, and hoverfly species in agricultural landscapes. Declining forb cover and species richness directly signal declining pollinator habitat availability (Potts et al.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Through the soil-habitat proxy role (Ellenberg nitrogen indicator values), declining community composition signal increasing soil nitrogen and declining pH diversity — conditions associated with soil biodiversity suppression. Declining indicator species for low-fertility soils (e.g. Rhinanthus minor, Briza media) signal progressive soil biological homogenisation.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Degradation of landscape mosaic and traditional habitats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Species-rich grasslands — hay meadows, calcareous grasslands, wet meadows — are among the most rapidly declining habitat types in temperate agricultural landscapes. Their plant communities are the defining ecological feature of the traditional landscape mosaic. Community composition trends directly signal whether this challenge is worsening or stabilising.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 plant species diversity underpins food web diversity across multiple trophic levels — from soil invertebrates and root-feeding nematodes to pollinators, seed-eating birds, and small mammals. Declining plant diversity is a primary biological signal of overall biodiversity decline at the landscape 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Grazed biomass provisioning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 plant community composition and diversity directly determine forage quality, seasonal availability, and nutritional balance for livestock. Species-rich swards with legume components provide higher nutritional quality and seasonal spread than monoculture ryegrass swards (Grime 1979).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Pollination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Forb-rich grasslands are the primary agricultural habitat supporting wild bee, butterfly, and hoverfly communities — the primary providers of pollination services in mixed farming landscapes. Grassland forb diversity is among the strongest predictors of wild pollinator abundance in agricultural landscapes (Potts et al.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permanent grassland communities with stable root biomass and undisturbed soil biology contribute to soil organic carbon storage. Community diversity is associated with more stable and resilient carbon stocks than monoculture swards (Tilman et al. 1996).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Species-rich grassland swards provide structural habitat for ground-nesting birds, overwintering invertebrate communities, and small mammal populations dependent on structural heterogeneity. Diverse plant communities provide the trophic and structural foundation for this service.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Through the soil-habitat proxy role — plant community composition reflecting Ellenberg nitrogen and pH values — this indicator group provides accessible information about soil conditions underpinning soil quality regulation. Forb-rich communities in low-nitrogen conditions signal soil biological diversity that supports long-term soil quality.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grassland and meadow monitoring is most directly applicable in managed grassland systems.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monitoring value — traditional and semi-natural grasslands support the greatest plant community diversity and the most interpretable vegetation dynamics.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permanent field margins, grass leys, or cover crops provide grassland monitoring substrate within predominantly arable systems.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T4.x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Savannahs and grasslands (natural)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extensive rangelands and pastoral systems — community composition monitoring applicable with adaptation of protocol to local flora.</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category — all permanent pasture, hay meadow, and semi-natural grassland. Highest monitoring value and most direct application.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grass leys, cover crops, field margins, or semi-natural vegetation patches provide grassland monitoring substrate.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(agroforestry)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silvopastoral systems where understorey grassland community is a management target.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 with Ellenberg interpretation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20"/>
              <w:left w:type="dxa" w:w="160"/>
              <w:bottom w:type="dxa" w:w="120"/>
              <w:right w:type="dxa" w:w="160"/>
            </w:tcMar>
          </w:tcPr>
          <w:p>
            <w:pPr>
              <w:spacing w:after="80" w:before="0"/>
              <w:jc w:val="left"/>
            </w:pPr>
            <w:r>
              <w:rPr>
                <w:rFonts w:ascii="Arial" w:cs="Arial" w:eastAsia="Arial" w:hAnsi="Arial"/>
                <w:b w:val="false"/>
                <w:bCs w:val="false"/>
                <w:color w:val="C0392B"/>
                <w:sz w:val="16"/>
                <w:szCs w:val="16"/>
              </w:rPr>
              <w:t xml:space="preserve">[geo] Ellenberg indicator values for soil reaction (R) and nitrogen (N) below are validated for temperate Central European plant communities only. Consult appropriate regional indicator species literature for other geographic contexts.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Plant community association and Ellenberg interpretation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Calcareous soils (Rendzinas, Luvisols on chalk/limestone)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species-richest grassland communities in temperate Europe. Ellenberg R values 7–9 (base-rich) characteristic — indicator species include Salvia pratensis, Briza media, Poterium sanguisorba, Rhinanthus minor. High monitoring value for detecting management-driven diversity loss or recovery.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Neutral to mildly acid soils (Cambisols, Luvisols)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diverse hay meadow and pasture communities. Ellenberg R values 5–7 characteristic. Traditional indicator species: Leucanthemum vulgare, Centaurea jacea, Daucus carota, Trifolium pratense. Most widespread grassland monitoring context in temperate Europe. [geo]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Acid soils (Gleysols, Podzols) pH 4–5.5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heath-grassland communities dominated by grasses (Deschampsia flexuosa, Nardus stricta, Agrostis canina) with few forbs. Very low nitrogen-indicator values characteristic (Ellenberg N 1–3). Require separate botanical expertise for appropriate community assessment.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Waterlogged / seasonally wet soils (Gleysols)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wet meadow and marshy grassland communities (Glyceria, Juncus, Molinia-dominated). Ellenberg F values 7–10 characteristic. High conservation value but require specialist botanical knowledge for community classification.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Hay meadow management (cut 1–3 times per year, no or minimal inputs)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grassland plant diversity in temperate systems. Late cutting (after main forb flowering and seeding) is the single most impactful management factor sustaining diversity. Monitoring should record number of cuts and dates relative to community survey.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grazing (sheep, cattle, mixed)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Appropriate grazing intensity and rotation maintains structural heterogeneity and prevents competitive exclusion. Species composition reflects grazing history — record species and stocking rate in monitoring notes. Cattle and sheep grazing produce different community compositions.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ryegrass swards (Lolium perenne monocultures)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Starting point for many diversity recovery programmes. Species-poor but shows measurable response to management change within 1–3 seasons. Legume cover (Trifolium repens initially) is the first measurable diversity indicator in recovering ryegrass swards.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The following abiotic indicators are the earliest measurable signals that soil conditions are moving in the direction required for grassland plant community diversity recovery.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under reduced fertiliser inputs and appropriate grazing management precedes measurable forb diversity increases by 1–2 seasons. Increasing SOC signals that the soil biological conditions supporting diverse root communities are improving (Bakker &amp; Berendse 1999).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pH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pH recovery toward the optimal range for diverse grassland communities (approximately 5.5–7.0 [~]) under reduced acid fertiliser inputs precedes competitive grass dominance reduction and forb re-establishment. pH stabilisation should precede community composition shifts by 1–3 seasons [~]. [geo] Apply with caution outside temperate European context — optimal pH range for grassland diversity varies by biome (Ellenberg et al. 1992; Mountford et al. 1993).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nutrient panel (available nitrogen — nitrate-N)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available soil nitrate-N under reduced synthetic nitrogen inputs is the most critical abiotic precursor for grassland plant diversity recovery. Nitrogen reduction precedes the competitive release of forbs and legumes from grass dominance by 1–3 growing seasons. Nitrate-N falling below approximately 15mg/kg [~] is the threshold associated with measurable forb richness response in lowland improved grassland (Mountford et al. 1993; Crofts &amp; Jefferson 1999).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sward without bare ground episodes sustains the persistent grassland community that diversity recovery requires; prevents ruderal weed invasion during management transition.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Agroforestry integration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Tree integration into grassland systems provides structural heterogeneity in the sward — shade gradients, root competition variation, litter inputs — that increases microhabitat diversity and supports floristic diversity in the understorey.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Unmanaged or low-input buffer strips adjacent to monitored grassland provide seed source populations for forb species recovering in improved management areas — critical where target species are locally extinct.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Wildflower / herb seeding into existing sward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introduction of target forb and legume species accelerates diversity recovery in sites where seed bank depletion prevents natural recovery. Effectiveness depends on prior nitrogen depletion — seeding into high-nitrogen soils typically fails.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32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Rotational / adaptive grazing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Plant community response to managed grazing is the most ecologically interpretable biological verification signal for this practice — sward structure, forb presence, and functional group cover directly reflect whether grazing intensity and rotation timing are appropriate (Grime 1979).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Forb presence and cover increase progressively over 2–5 years under managed grazing; competitive dominant grass cover density decreases; indicator species for moderate disturbance (Plantago lanceolata, Trifolium repens) appear within 1–2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Delay first cut in hay meadows (late mowing)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Forb species richness and flowering diversity are the primary biological signals that delayed cutting is allowing community composition to shift. The timing of the first cut relative to forb flowering and seed set is the single most critical management variable for hay meadow diversity.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Flowering forb frequency and number of seed-setting forb species increase within 2–3 seasons of delayed cutting; forb cover increases progressively over 5–10 years in degraded swards where seed bank is intact.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nitrogen fertiliser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Species richness per quadrat and declining dominant grass cover are the definitive biological verification signals for nitrogen reduction. The trajectory of forb cover relative to grass cover is the most interpretable combined biological metric for this practice.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Dominant grass cover density declines progressively over 3–7 years as available nitrogen falls below competitive dominance threshold; forb species richness per quadrat increases; legume cover (Trifolium, Lotus) measurable within 1–3 seasons as competitive advantage of grasses reduces (Mountford et al. 1993).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Wildflower and herb seeding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Establishment of seeded forb and legume species (detectable at first monitoring survey post-seeding) and their persistence across subsequent seasons are the verification signals for this practice. Establishment failure despite seeding indicates soil nitrogen is still too high.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Seeded species presence detectable within 1–2 seasons of seeding in suitable soil conditions; persistence over 3+ seasons confirms soil conditions have shifted below the nitrogen threshold for competitive exclusion.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 — Wild bees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Forb-rich grassland communities are the primary pollen and nectar resource for wild bee communities in agricultural landscapes. Grassland plant diversity and wild bee diversity are among the most strongly correlated pairs of biodiversity indicators in temperate agricultural systems (Potts et al. 2010).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 — Butterflies and moths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 forb community composition determines larval host plant availability for specialist grassland Lepidoptera. Many grassland butterfly species are monophagous or oligophagous on specific forb genera detectable in the community composition survey.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06 — Earthworms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Root diversity and biomass input from diverse plant communities supports higher earthworm abundance and guild diversity than monoculture swards. Conversely, earthworm bioturbation and cast production improve soil structure and nutrient availability that supports diverse plant community establishment.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03 — Nematodes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species diversity determines root exudate diversity, which structures the nematode functional group community in the rhizosphere. Diverse forb communities support more diverse nematode communities than grass monocultures.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grassland ecologists and field monitoring specialists.</w:t>
            </w:r>
          </w:p>
          <w:p>
            <w:pPr>
              <w:spacing w:after="80" w:before="0"/>
              <w:jc w:val="left"/>
            </w:pPr>
            <w:r>
              <w:rPr>
                <w:rFonts w:ascii="Arial" w:cs="Arial" w:eastAsia="Arial" w:hAnsi="Arial"/>
                <w:b w:val="false"/>
                <w:bCs w:val="false"/>
                <w:color w:val="000000"/>
                <w:sz w:val="16"/>
                <w:szCs w:val="16"/>
              </w:rPr>
              <w:t xml:space="preserve">Flora-specific note: primary seasonal window is framed relative to agricultural management events throughout. For all levels, note days since last cutting or grazing event on the field datasheet.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Structured walkthrough — observer walks a defined route recording species presence and cover using a photographic wildflower guide. No specialist identification training required at functional group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Grassland structured walkthrough — functional group presence and cover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Presence of key functional groups and indicator species sufficient for trend monitoring without specialist taxonomic training: grass cover class (dominant / co-dominant / minor); forb presence (any forb species — yes/no and approximate cover); legume presence (species list to genus level: Trifolium, Lotus, Vicia, Lathyrus); bare soil percentage; bryophyte presence.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Walk a fixed 50m transect between marked monitoring posts. Record the transect date, time since last cut or grazing event, livestock present (yes/no, species, approximate stocking density).</w:t>
            </w:r>
          </w:p>
          <w:p>
            <w:pPr>
              <w:spacing w:after="40" w:before="0"/>
              <w:jc w:val="left"/>
            </w:pPr>
            <w:r>
              <w:rPr>
                <w:rFonts w:ascii="Arial" w:cs="Arial" w:eastAsia="Arial" w:hAnsi="Arial"/>
                <w:b w:val="false"/>
                <w:bCs w:val="false"/>
                <w:color w:val="000000"/>
                <w:sz w:val="17"/>
                <w:szCs w:val="17"/>
              </w:rPr>
              <w:t xml:space="preserve">2. At each 10m point along the transect (6 observation points), kneel and record within a 50cm radius: dominant grass species or 'grass mix' (single most common grass noted); any forb species visible (list to common name level using photographic guide); legume species if present (to genus level); bare soil present (Y/N); bryophyte cover (none / patchy / widespread).</w:t>
            </w:r>
          </w:p>
          <w:p>
            <w:pPr>
              <w:spacing w:after="40" w:before="0"/>
              <w:jc w:val="left"/>
            </w:pPr>
            <w:r>
              <w:rPr>
                <w:rFonts w:ascii="Arial" w:cs="Arial" w:eastAsia="Arial" w:hAnsi="Arial"/>
                <w:b w:val="false"/>
                <w:bCs w:val="false"/>
                <w:color w:val="000000"/>
                <w:sz w:val="17"/>
                <w:szCs w:val="17"/>
              </w:rPr>
              <w:t xml:space="preserve">3. At end of transect, estimate overall sward structural height (cm) and cover heterogeneity (uniform / patchy). Record any flowering species in bloom — these are the most accessible diversity indicator for community observers.</w:t>
            </w:r>
          </w:p>
          <w:p>
            <w:pPr>
              <w:spacing w:after="80" w:before="0"/>
              <w:jc w:val="left"/>
            </w:pPr>
            <w:r>
              <w:rPr>
                <w:rFonts w:ascii="Arial" w:cs="Arial" w:eastAsia="Arial" w:hAnsi="Arial"/>
                <w:b w:val="false"/>
                <w:bCs w:val="false"/>
                <w:color w:val="000000"/>
                <w:sz w:val="17"/>
                <w:szCs w:val="17"/>
              </w:rPr>
              <w:t xml:space="preserve">4. Photograph each observation point (downward shot showing 50cm radius). Complete field datasheet.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50m tape measure; permanent marker posts (Year 1 setup); field wildflower photographic guide (national or regional); camera; field datasheet.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with a basic wildflower photographic guide. No specialist botanical training required for functional group and genus-level identification. Training visit with a botanist in Year 1 strongly recommended to establish observer confidence with the transect.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when the full forb and grass community is in active growth and flowering species are most identifiable. Agricultural management context: 3–5 weeks before the anticipated first hay cut, or 2–3 weeks after livestock removal from the field. Avoid surveying immediately after cutting or intensive grazing.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 early autumn — after first flush of summer growth following cutting or grazing. Allows detection of autumn-flowering species and assessment of secondary flush diversity.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30–45 minutes per 50m transect including setup, recording, and photography.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primary spring/early summer and secondary late summer windows.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of consistent same-season surveys before between-year trends are interpretable. Forb presence changes (species appearing or disappearing) are meaningful from Year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Forb presence (number of forb species detected along transect — primary diversity metric); legume presence (yes/no, genera present); dominant grass species; bare soil presence; flowering species count on survey date. Comparison of forb species list across years is the primary trend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Context shot before starting: photograph the full transect extent from one end showing sward height, cover, and management context. (2) Point observation shots: downward photograph at each 10m observation point showing the 50cm radius observation area clearly. (3) Flowering species shots: photograph any flowering forb or legume species encountered for identification support and record purposes.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grass seedlings and short-lived grasses with forbs — if in doubt, record as grass. Underestimating forbs is a systematic error that will affect trend comparability; training observers to be inclusion-biased in the first year is preferable to exclusion-biased.</w:t>
            </w:r>
          </w:p>
          <w:p>
            <w:pPr>
              <w:spacing w:after="60" w:before="0"/>
              <w:jc w:val="left"/>
            </w:pPr>
            <w:r>
              <w:rPr>
                <w:rFonts w:ascii="Arial" w:cs="Arial" w:eastAsia="Arial" w:hAnsi="Arial"/>
                <w:b w:val="false"/>
                <w:bCs w:val="false"/>
                <w:color w:val="000000"/>
                <w:sz w:val="16"/>
                <w:szCs w:val="16"/>
              </w:rPr>
              <w:t xml:space="preserve">Second error: recording plant species visible outside the observation radius. Discipline observers to record only what is within the marked 50cm radius at each observation point — consistency of radius is more important than comprehensiveness.</w:t>
            </w:r>
          </w:p>
          <w:p>
            <w:pPr>
              <w:spacing w:after="80" w:before="0"/>
              <w:jc w:val="left"/>
            </w:pPr>
            <w:r>
              <w:rPr>
                <w:rFonts w:ascii="Arial" w:cs="Arial" w:eastAsia="Arial" w:hAnsi="Arial"/>
                <w:b w:val="false"/>
                <w:bCs w:val="false"/>
                <w:color w:val="000000"/>
                <w:sz w:val="16"/>
                <w:szCs w:val="16"/>
              </w:rPr>
              <w:t xml:space="preserve">Third error: surveying in poor light or after heavy rain (flattened vegetation). Always survey in dry conditions with adequate daylight. Forb identification from flattened or rain-wet vegetation significantly underestimates presence.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Increasing forb species count across consecutive same-season surveys: positive recovery signal — relevant to Challenges #22 (Vegetation diversity loss) and #20 (Pollinator decline) and directly verifies P14 (delayed cutting) and P21 (reduced nitrogen) practices.</w:t>
            </w:r>
          </w:p>
          <w:p>
            <w:pPr>
              <w:spacing w:after="50" w:before="0"/>
              <w:jc w:val="left"/>
            </w:pPr>
            <w:r>
              <w:rPr>
                <w:rFonts w:ascii="Arial" w:cs="Arial" w:eastAsia="Arial" w:hAnsi="Arial"/>
                <w:b w:val="false"/>
                <w:bCs w:val="false"/>
                <w:color w:val="000000"/>
                <w:sz w:val="17"/>
                <w:szCs w:val="17"/>
              </w:rPr>
              <w:t xml:space="preserve">Forb species list stable but legume cover increasing: early recovery stage — legumes (Trifolium repens especially) are typically the first forbs to establish in recovering ryegrass swards as nitrogen declines. This is the expected Year 1–2 response to reduced fertiliser inputs.</w:t>
            </w:r>
          </w:p>
          <w:p>
            <w:pPr>
              <w:spacing w:after="80" w:before="0"/>
              <w:jc w:val="left"/>
            </w:pPr>
            <w:r>
              <w:rPr>
                <w:rFonts w:ascii="Arial" w:cs="Arial" w:eastAsia="Arial" w:hAnsi="Arial"/>
                <w:b w:val="false"/>
                <w:bCs w:val="false"/>
                <w:color w:val="000000"/>
                <w:sz w:val="16"/>
                <w:szCs w:val="16"/>
              </w:rPr>
              <w:t xml:space="preserve">No forbs detected after 2+ years of changed management: investigate A8 precursors — soil nitrate-N may still be above the competitive exclusion threshold (A09). Consider active seeding where seed bank is depleted.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 — seasonal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on every visit: (1) Date of last mechanical cut (if applicable) and height at cutting; (2) Date of last grazing event, livestock species, and approximate stocking rate; (3) Date of last fertiliser or herbicide application. These management records are essential for interpreting inter-annual community composition variation.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Low risk. Obtain access permission from landowner. Be aware of livestock behaviour when accessing grazed fields. Avoid surveys immediately after pesticide or herbicide application.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Ecdysis 1000 Farms grassland structured walkthrough protocol; IUCN LAHMP field protocol — Level 1 grassland.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https://ecdysis.bio/1000-farms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Community composition survey — Braun-Blanquet quadrat method at marked monitoring points. Species-level identification of all vascular plant species within standardised quadrats. Produces species richness, diversity indices, and functional group cover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Braun-Blanquet quadrat community composition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Vascular plant species richness, cover (Braun-Blanquet scale), functional group composition, and community structure per monitoring quadrat. Suitable for derivation of Ellenberg indicator values (soil-habitat proxy role) in temperate European contexts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At each marked monitoring point, place a 1m × 1m quadrat frame. Record all vascular plant species rooted within the quadrat — grasses, forbs, legumes, sedges, rushes, ferns. Record bryophyte cover as a functional group (% cover estimate).</w:t>
            </w:r>
          </w:p>
          <w:p>
            <w:pPr>
              <w:spacing w:after="40" w:before="0"/>
              <w:jc w:val="left"/>
            </w:pPr>
            <w:r>
              <w:rPr>
                <w:rFonts w:ascii="Arial" w:cs="Arial" w:eastAsia="Arial" w:hAnsi="Arial"/>
                <w:b w:val="false"/>
                <w:bCs w:val="false"/>
                <w:color w:val="000000"/>
                <w:sz w:val="17"/>
                <w:szCs w:val="17"/>
              </w:rPr>
              <w:t xml:space="preserve">2. Assign Braun-Blanquet cover-abundance class to each species: r = single individual, rare; + = &lt;1% cover; 1 = 1–5%; 2 = 6–25%; 3 = 26–50%; 4 = 51–75%; 5 = 76–100%.</w:t>
            </w:r>
          </w:p>
          <w:p>
            <w:pPr>
              <w:spacing w:after="40" w:before="0"/>
              <w:jc w:val="left"/>
            </w:pPr>
            <w:r>
              <w:rPr>
                <w:rFonts w:ascii="Arial" w:cs="Arial" w:eastAsia="Arial" w:hAnsi="Arial"/>
                <w:b w:val="false"/>
                <w:bCs w:val="false"/>
                <w:color w:val="000000"/>
                <w:sz w:val="17"/>
                <w:szCs w:val="17"/>
              </w:rPr>
              <w:t xml:space="preserve">3. Also record bare soil % and bare rock % within the quadrat. Note vegetation height (median sward height in cm). Record days since last cut or grazing event.</w:t>
            </w:r>
          </w:p>
          <w:p>
            <w:pPr>
              <w:spacing w:after="40" w:before="0"/>
              <w:jc w:val="left"/>
            </w:pPr>
            <w:r>
              <w:rPr>
                <w:rFonts w:ascii="Arial" w:cs="Arial" w:eastAsia="Arial" w:hAnsi="Arial"/>
                <w:b w:val="false"/>
                <w:bCs w:val="false"/>
                <w:color w:val="000000"/>
                <w:sz w:val="17"/>
                <w:szCs w:val="17"/>
              </w:rPr>
              <w:t xml:space="preserve">4. Repeat for minimum 6 quadrats per monitoring site (3 along each of two parallel 30m transects or equivalent). Record GPS coordinates at each quadrat centre.</w:t>
            </w:r>
          </w:p>
          <w:p>
            <w:pPr>
              <w:spacing w:after="80" w:before="0"/>
              <w:jc w:val="left"/>
            </w:pPr>
            <w:r>
              <w:rPr>
                <w:rFonts w:ascii="Arial" w:cs="Arial" w:eastAsia="Arial" w:hAnsi="Arial"/>
                <w:b w:val="false"/>
                <w:bCs w:val="false"/>
                <w:color w:val="000000"/>
                <w:sz w:val="17"/>
                <w:szCs w:val="17"/>
              </w:rPr>
              <w:t xml:space="preserve">5. Calculate per-quadrat: total species richness; forb richness; grass richness; legume richness; Shannon diversity index (H'); cover by functional group. Average across quadrats for site-level metrics.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1m × 1m quadrat frame (folding); species identification field guide (national flora or regional grassland guide); Braun-Blanquet cover class reference card; GPS; field datasheet; camera. Optional: clinometer for sward height; vegetation height stick.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vascular plant identification skill to species level for common grassland plants. Botanical training to NVC survey standard or equivalent recommended. Must be confident with grass genera identification (Poa, Festuca, Agrostis, Lolium, Dactylis) and common forb families (Asteraceae, Fabaceae, Plantaginaceae, Caryophyllaceae).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 in temperate European systems, late May to early July when the full grassland community is in growth and the majority of diagnostic forb species are above ground and identifiable. Agricultural management context: ideally 4 weeks before first hay cut, or after 3+ weeks of grazing exclusion for resting period.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(August–September in temperate Europe) — for detection of late-flowering species and assessment of the secondary growth community.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2–3 hours per monitoring site for 6 quadrats including full species identification, recording, GPS capture, and photography.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(primary spring window for annual comparability). 2 visits strongly recommended for full seasonal species capture.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consecutive same-season surveys. Detectable species richness changes in recovering swards typically require 3–5 years of consistent management change.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Forb species richness per quadrat (primary indicator); total vascular plant species richness; Shannon diversity index (H'); Braun-Blanquet cover class per species and functional group; Ellenberg indicator values — mean L, F, R, N, S per quadrat — for soil-habitat proxy analysis [geo temperate European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Quadrat overview: downward photograph of the full 1m × 1m quadrat from directly above at arm's length — captures sward composition for visual record. (2) Diagnostic species: photograph any species requiring identification confirmation for later review. (3) Site context: wide-angle photograph of the monitoring site from fixed endpoint showing overall sward structure, management context, and landscape position.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Increasing forb species richness and Shannon diversity across consecutive spring surveys: clear positive trajectory — direct verification of P13 (rotational grazing), P14 (delayed cutting), and P21 (reduced nitrogen) practices. Connect to Challenges #22 and #20 and Services #2 and #27 in field card narrative.</w:t>
            </w:r>
          </w:p>
          <w:p>
            <w:pPr>
              <w:spacing w:after="50" w:before="0"/>
              <w:jc w:val="left"/>
            </w:pPr>
            <w:r>
              <w:rPr>
                <w:rFonts w:ascii="Arial" w:cs="Arial" w:eastAsia="Arial" w:hAnsi="Arial"/>
                <w:b w:val="false"/>
                <w:bCs w:val="false"/>
                <w:color w:val="000000"/>
                <w:sz w:val="17"/>
                <w:szCs w:val="17"/>
              </w:rPr>
              <w:t xml:space="preserve">Declining mean Ellenberg N value (increasing proportion of low-N indicator species) [geo]: abiotic confirmation that soil nitrogen is declining — the expected trajectory under P21 (reduced synthetic nitrogen). Directly connects to A8 precursor A09 (available nitrogen).</w:t>
            </w:r>
          </w:p>
          <w:p>
            <w:pPr>
              <w:spacing w:after="80" w:before="0"/>
              <w:jc w:val="left"/>
            </w:pPr>
            <w:r>
              <w:rPr>
                <w:rFonts w:ascii="Arial" w:cs="Arial" w:eastAsia="Arial" w:hAnsi="Arial"/>
                <w:b w:val="false"/>
                <w:bCs w:val="false"/>
                <w:color w:val="000000"/>
                <w:sz w:val="16"/>
                <w:szCs w:val="16"/>
              </w:rPr>
              <w:t xml:space="preserve">Species richness stable despite management change: assess A8 precursors first (soil nitrate-N may still be above competitive exclusion threshold). If N has fallen, consider whether seed bank depletion is limiting — active introduction (P23) may be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on every visit: date and type of last management event (cut, grazed, rested, fertilised, sprayed); livestock species if recently grazed; estimated biomass removed if cut. This information is essential for interpreting quadrat results across seasons and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Low risk. Obtain access permission. Note any herbicide or pesticide application dates on field datasheets — survey should not be conducted within 3 weeks of broad-spectrum herbicide application.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Braun-Blanquet J (1964) Pflanzensoziologie, 3rd edn. Springer, Vienna; Rodwell JS et al. (1992) British Plant Communities Vol. 3 — Grasslands and Montane Communities. Cambridge University Press [for NVC context].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https://doi.org/10.1017/CBO9780511525575</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Full phytosociological survey with Ellenberg indicator value analysis and soil characterisation — complete community classification, NVC or equivalent assignment, and quantitative soil-habitat inference.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phytosociological survey — NVC or equivalent national vegetation classification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vascular plant and bryophyte species list per relevé; full Braun-Blanquet cover-abundance data; Ellenberg indicator values (L, F, R, N, S, T) for soil-habitat proxy analysis; community classification to national vegetation classification system or phytosociological association.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NVC survey (UK) or equivalent: minimum 6 × 4m² relevés per community type on each site, each with full species list and Braun-Blanquet cover class. Classification against national community types using MATCH or TABLEFIT software (UK NVC) or equivalent. Ellenberg indicator values calculated per relevé and averaged per site. Soil characterisation from the same monitoring points at same visit: pH, Kjeldahl N, available P, Loss on Ignition as standard grassland soil package.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4m × 4m relevé frame; full national flora (e.g. Clive Stace, Flora of Great Britain and Ireland for UK context); NVC or equivalent community classification key; laptop with MATCH/TABLEFIT or equivalent; soil sampling equipment; laboratory access for soil chemistry.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Qualified botanist with experience in phytosociological survey and national vegetation classification. Ellenberg value analysis accessible to trained grassland ecologist. Soil characterisation by soil laboratory.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 late May to late June in temperate European systems. Required: 4+ weeks since last grazing or cutting event. Soil sampling at same visit.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single annual survey at primary window recommended for maximum comparability.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day (4–6 hours) for 6 relevés plus soil sampling and GPS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(primary spring window).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minimum for community classification changes to be interpretable.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NVC community type or phytosociological association (primary classification output); mean Ellenberg N, R, F values per site; total species richness; forb:grass ratio; Sørensen similarity coefficient between survey years (beta diversity); soil pH, available N, available 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NVC community type shift over 5+ years (e.g. MG7 → MG5 in UK; fertilised rye-grass to traditional hay meadow): definitive long-term biological verification of management improvement. Shifts in this direction are the ultimate target of most grassland restoration programmes.</w:t>
            </w:r>
          </w:p>
          <w:p>
            <w:pPr>
              <w:spacing w:after="80" w:before="0"/>
              <w:jc w:val="left"/>
            </w:pPr>
            <w:r>
              <w:rPr>
                <w:rFonts w:ascii="Arial" w:cs="Arial" w:eastAsia="Arial" w:hAnsi="Arial"/>
                <w:b w:val="false"/>
                <w:bCs w:val="false"/>
                <w:color w:val="000000"/>
                <w:sz w:val="16"/>
                <w:szCs w:val="16"/>
              </w:rPr>
              <w:t xml:space="preserve">Declining mean Ellenberg N (falling from 5–6 toward 3–4 over 5+ years) [geo]: quantitative soil nitrogen depletion signal from plant community. Most robust abiotic inference available from plant community data. Connect to A8 precursor A09 (available nitrogen) for cross-validation.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Same as Level 2. Full survey day requires appropriate weather conditions — avoid early morning dew or heavy rain.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Rodwell JS et al. (1992) British Plant Communities. Cambridge University Press; Ellenberg H et al. (1992) Zeigerwerte der Pflanzen in Mitteleuropa. Scripta Geobotanica 18.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https://doi.org/10.1017/CBO9780511525575</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Bakker JP, Berendse F (1999) Constraints in the restoration of ecological diversity in grassland and heathland communities. Trends in Ecology and Evolution 14:63–68.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https://doi.org/10.1016/S0169-5347(98)01544-4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A8,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Crofts A, Jefferson RG (eds) (1999) The Lowland Grassland Management Handbook. 2nd edition. English Nature / The Wildlife Trusts, Peterborough.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 DOI — available at publications.naturalengland.org.uk</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A8, B2 P21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Ellenberg H, Weber HE, Düll R, Wirth V, Werner W, Paulißen D (1992) Zeigerwerte der Pflanzen in Mitteleuropa. Scripta Geobotanica 18. Goltze, Göttingen.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 DOI — Scripta Geobotanica 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A6, A8, Protocol Level 3 [geo — temperate Central Europe only]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Grime JP (1979) Plant Strategies and Vegetation Processes. John Wiley &amp; Sons, Chichester.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9780471996743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A7, B2 P13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Mountford JO, Lakhani KH, Kirkham FW (1993) Experimental assessment of the effects of nitrogen addition under hay-cutting and aftermath grazing on the vegetation of meadows on a Somerset peat moor. Journal of Applied Ecology 30:321–332.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https://doi.org/10.2307/2404635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 B2,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Poschlod P, WallisDeVries MF (2002) The historical and socioeconomic perspective of calcareous grasslands — lessons from the distant and recent past. Biological Conservation 104:361–376.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https://doi.org/10.1016/S0006-3207(01)00201-4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Potts SG, Biesmeijer JC, Kremen C, Neumann P, Schweiger O, Kunin WE (2010) Global pollinator declines: trends, impacts and drivers. Trends in Ecology and Evolution 25:345–353.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https://doi.org/10.1016/j.tree.2010.01.007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A3, Linkage C</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Rodwell JS, Pigott CD, Ratcliffe DA, Malloch AJC, Birks HJB, Proctor MCF, et al. (1992) British Plant Communities. Volume 3: Grasslands and Montane Communities. Cambridge University Press, Cambridge.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https://doi.org/10.1017/CBO9780511525575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 and 3 (NVC classification)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Tilman D, Wedin D, Knops J (1996) Productivity and sustainability influenced by biodiversity in grassland ecosystems. Nature 379:718–720.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https://doi.org/10.1038/379718a0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28 — Grassland and meadow plant communities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2E7D32" w:sz="3"/>
          </w:tcBorders>
          <w:tcMar>
            <w:bottom w:type="dxa" w:w="60"/>
          </w:tcMar>
        </w:tcPr>
        <w:p>
          <w:pPr>
            <w:spacing w:after="80" w:before="0"/>
            <w:jc w:val="left"/>
          </w:pPr>
          <w:r>
            <w:rPr>
              <w:rFonts w:ascii="Arial" w:cs="Arial" w:eastAsia="Arial" w:hAnsi="Arial"/>
              <w:b w:val="false"/>
              <w:bCs w:val="false"/>
              <w:color w:val="2E7D32"/>
              <w:sz w:val="15"/>
              <w:szCs w:val="15"/>
            </w:rPr>
            <w:t xml:space="preserve">LAHMP — Profile 28 — Grassland and meadow plant communities</w:t>
          </w:r>
        </w:p>
      </w:tc>
      <w:tc>
        <w:tcPr>
          <w:tcBorders>
            <w:bottom w:val="single" w:color="2E7D32"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36C373-4EB4-44E4-A3D7-401D2A438EAE}"/>
</file>

<file path=customXml/itemProps2.xml><?xml version="1.0" encoding="utf-8"?>
<ds:datastoreItem xmlns:ds="http://schemas.openxmlformats.org/officeDocument/2006/customXml" ds:itemID="{6A1554E4-0ECE-4A71-A604-01284F9D7E1B}"/>
</file>

<file path=customXml/itemProps3.xml><?xml version="1.0" encoding="utf-8"?>
<ds:datastoreItem xmlns:ds="http://schemas.openxmlformats.org/officeDocument/2006/customXml" ds:itemID="{FD834E98-4569-4E4A-B14A-8DED14D2B1A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2026-04-11T23:10:41Z</dcterms:created>
  <dcterms:modified xsi:type="dcterms:W3CDTF">2026-04-11T23:10:41Z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