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2"/>
                <w:szCs w:val="22"/>
              </w:rPr>
              <w:t xml:space="preserve">Profile 29 — Field margin and uncropped boundary vegetation</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2E7D32"/>
                <w:sz w:val="16"/>
                <w:szCs w:val="16"/>
              </w:rPr>
              <w:t xml:space="preserve">FLORA PROFILE — Community composition survey variant (Flora Variant Appendix, modification 3, Variant 1).</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grassland and margin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Distinction from Profile 27 (Arable field vegetation) and Profile 30 (Hedgerow vegetation) — this profile covers the herbaceous grass-forb community of the field margin strip itself, not the arable crop zone (Profile 27) or the woody boundary feature (Profile 30). Reviewer should confirm that the scope boundary is clearly drawn and that overlap with adjacent profiles is handled in a non-duplicative way for monitoring programmes that include both margin and hedgerow profiles.</w:t>
            </w:r>
          </w:p>
          <w:p>
            <w:pPr>
              <w:spacing w:after="60" w:before="0"/>
              <w:jc w:val="left"/>
            </w:pPr>
            <w:r>
              <w:rPr>
                <w:rFonts w:ascii="Arial" w:cs="Arial" w:eastAsia="Arial" w:hAnsi="Arial"/>
                <w:b w:val="false"/>
                <w:bCs w:val="false"/>
                <w:color w:val="000000"/>
                <w:sz w:val="16"/>
                <w:szCs w:val="16"/>
              </w:rPr>
              <w:t xml:space="preserve">2. Margin width variation — field margins range from &lt;1m (effectively no margin) to 6m+ (wider grass buffer strips). The monitoring protocol is designed for a standard 2–6m margin strip but reviewer should confirm whether separate protocol notes are needed for very narrow margins.</w:t>
            </w:r>
          </w:p>
          <w:p>
            <w:pPr>
              <w:spacing w:after="80" w:before="0"/>
              <w:jc w:val="left"/>
            </w:pPr>
            <w:r>
              <w:rPr>
                <w:rFonts w:ascii="Arial" w:cs="Arial" w:eastAsia="Arial" w:hAnsi="Arial"/>
                <w:b w:val="false"/>
                <w:bCs w:val="false"/>
                <w:color w:val="000000"/>
                <w:sz w:val="16"/>
                <w:szCs w:val="16"/>
              </w:rPr>
              <w:t xml:space="preserve">3. Response timescales [~] — primarily temperate European and North American field margin literature. Reviewer to flag if tropical or subtropical evidence base is needed.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community composition survey variant (Variant 1). Quadrat-based species and cover assessment along the field margin strip. Agricultural management context (last cutting date, herbicide or fertiliser history) is mandatory at every visit.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margin and uncropped boundary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field margins and boundary vegetation strips are present in virtually all agricultural landscapes globally where field boundaries exist.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defined uncropped strip (grass margin, wildflower strip, buffer strip, or equivalent) of minimum 0.5m width adjacent to a field boundary. Not applicable where cultivation extends to the field edge with no margin.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Herbaceous grass-dominated and mixed grass-forb communities occupying uncropped strips at field boundaries, alongside hedgerows and fences, and in set-aside or unmanaged strips within agricultural fields. Encompasses the gradient from: (1) species-poor perennial ryegrass (Lolium perenne) or couch grass (Elymus repens) monocultures under frequent cutting or herbicide spray; through (2) mixed grass-forb strips with common boundary species (Arrhenatherum elatius, Dactylis glomerata, Heracleum sphondylium, Achillea millefolium); to (3) species-rich unmanaged or low-management margins with diverse flowering forb and grass communities supporting high pollinator and invertebrate biodiversity.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field margin forb species richness, sward height, and structural heterogeneity reflect the management intensity of the boundary zone and indicate habitat quality for pollinators, natural enemies, and ground-nesting birds.</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forb cover increase, species richness recovery, and sward height improvement are the primary biological verification signals for reduced margin cutting frequency, cessation of spray on margin strips, and wildflower seeding practices.</w:t>
            </w:r>
          </w:p>
          <w:p>
            <w:pPr>
              <w:spacing w:after="80" w:before="0"/>
              <w:jc w:val="left"/>
            </w:pPr>
            <w:r>
              <w:rPr>
                <w:rFonts w:ascii="Arial" w:cs="Arial" w:eastAsia="Arial" w:hAnsi="Arial"/>
                <w:b/>
                <w:bCs/>
                <w:color w:val="000000"/>
                <w:sz w:val="17"/>
                <w:szCs w:val="17"/>
              </w:rPr>
              <w:t xml:space="preserve">3.  Soil-habitat proxy</w:t>
            </w:r>
            <w:r>
              <w:rPr>
                <w:rFonts w:ascii="Arial" w:cs="Arial" w:eastAsia="Arial" w:hAnsi="Arial"/>
                <w:b w:val="false"/>
                <w:bCs w:val="false"/>
                <w:color w:val="000000"/>
                <w:sz w:val="17"/>
                <w:szCs w:val="17"/>
              </w:rPr>
              <w:t xml:space="preserve"> — margin vegetation composition can indicate soil nitrogen status through Ellenberg indicator values [geo] and heavy metal contamination through indicator species sensitivity responses.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community composition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margins are the interface between the crop and everything else — the corridor along which farmland wildlife moves, the strip where natural enemies of crop pests overwinter and breed, the linear habitat that connects fragmented patches of semi-natural vegetation across the agricultural landscape. A 2m grass-forb margin along every field edge represents only a small fraction of the farm area but can provide the majority of its ecological function. Monitoring the margin vegetation community tells you whether that function is present, developing, or absent.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Field margins are among the most cost-effective investments in agricultural biodiversity. Pywell et al. (2005) demonstrated that sown wildflower margins support significantly higher pollinator abundance and diversity than grass-only or conventional margins — and that the benefit extends into the adjacent crop through increased pollination and pest control. The plant community in the margin is both the monitoring target and the service delivery mechanism: species-rich margins do not just indicate good ecological conditions, they actively produce the services the farm needs. Monitoring the margin vegetation community simultaneously tracks ecological condition and service delivery capacity.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Fast–medium (Stage 2 from Year 1). Forb species richness in established margins responds within 1–3 seasons of changed management. Species-rich wildflower strip establishment detectable from Year 1; full community development requires 3–7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Forb species cover increase and first flowering plant appearance following cessation of herbicide spray or change in cutting timing — detectable within 1–2 growing seasons. Resown wildflower margins: establishment confirmation within 1 season (Pywell et al. 2005).</w:t>
            </w:r>
          </w:p>
          <w:p>
            <w:pPr>
              <w:spacing w:after="60" w:before="0"/>
              <w:jc w:val="left"/>
            </w:pPr>
            <w:r>
              <w:rPr>
                <w:rFonts w:ascii="Arial" w:cs="Arial" w:eastAsia="Arial" w:hAnsi="Arial"/>
                <w:b w:val="false"/>
                <w:bCs w:val="false"/>
                <w:color w:val="000000"/>
                <w:sz w:val="17"/>
                <w:szCs w:val="17"/>
              </w:rPr>
              <w:t xml:space="preserve">Medium (2–5 years): Species richness recovery from seed bank under reduced management intensity. Structural heterogeneity — sward height variation and tussock formation — developing within 3–5 years of reduced cutting frequency (Marshall &amp; Moonen 2002).</w:t>
            </w:r>
          </w:p>
          <w:p>
            <w:pPr>
              <w:spacing w:after="60" w:before="0"/>
              <w:jc w:val="left"/>
            </w:pPr>
            <w:r>
              <w:rPr>
                <w:rFonts w:ascii="Arial" w:cs="Arial" w:eastAsia="Arial" w:hAnsi="Arial"/>
                <w:b w:val="false"/>
                <w:bCs w:val="false"/>
                <w:color w:val="000000"/>
                <w:sz w:val="17"/>
                <w:szCs w:val="17"/>
              </w:rPr>
              <w:t xml:space="preserve">Slow (5–10 years): Full species-rich grassland community development in newly established margins — particularly legume and specialist forb diversity. Ancient or semi-natural margin reference communities require decades to develop fully.</w:t>
            </w:r>
          </w:p>
          <w:p>
            <w:pPr>
              <w:spacing w:after="80" w:before="0"/>
              <w:jc w:val="left"/>
            </w:pPr>
            <w:r>
              <w:rPr>
                <w:rFonts w:ascii="Arial" w:cs="Arial" w:eastAsia="Arial" w:hAnsi="Arial"/>
                <w:b w:val="false"/>
                <w:bCs w:val="false"/>
                <w:color w:val="000000"/>
                <w:sz w:val="16"/>
                <w:szCs w:val="16"/>
              </w:rPr>
              <w:t xml:space="preserve">[geo] Temperate European context primarily. Tropical and subtropical margin communities respond at different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grassland and margin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margin and headland spray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spray on field margins — including spray drift from adjacent crop applications — directly eliminates forb species from the margin community. Repeated herbicide application progressively simplifies the margin community to a few tolerant grass species and depletes the seed bank of sensitive forbs (Marshall &amp; Moonen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fertiliser spread into margins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Fertiliser spread or drift onto margin strips increases grass competitive advantage over forbs, driving community simplification toward coarse grass monocultures. High-nitrogen margins consistently support lower forb diversity than unfertilised margins even when cutting management is equivalent (Pywell et al.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frequent mowing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margins more than 2–3 times per year prevents flowering and seed set of most forb species, maintaining a short grass monoculture. The timing of cuts relative to flowering periods is as important as frequency — a single early cut prevents summer flowering even if subsequent cuts are absent (Marshall &amp; Moonen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 margin elimination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Elimination of field margins entirely through cultivation to the field edge removes the ecological resource completely. In heavily cultivated landscapes, margin presence is itself a positive indicator before community quality can be assessed.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livestock access to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grazing of field margins — particularly where livestock have continuous access — prevents forb establishment, compacts the margin soil, and degrades the structural diversity that margins need to support invertebrate communities (Marshall &amp; Moonen 2002).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Forb species richness and flowering cover in field margins are the primary within-farm indicators of pollinator forage habitat quality. Margins with diverse sequential flowering provide the floral continuity sustaining wild bee colony populations through the season. Declining margin forb diversity signals declining within-farm pollinator habitat (Pywell et al. 2005; Potts et al.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Structurally diverse field margins — tall sward with tussock formation, diverse grass-forb communities — provide overwintering, breeding, and foraging habitat for ground beetles, parasitic wasps, predatory bugs, and spiders that regulate crop pest populations. Declining margin structural diversity and forb richness signals declining natural enemy habitat quality (Marshall &amp; Moonen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continuity and vegetation quality determine their effectiveness as wildlife movement corridors. A species-poor, frequently cut margin provides much lower connectivity value for mobile invertebrates, small mammals, and reptiles than a structurally diverse, species-rich margin. Margin vegetation quality monitoring is a direct biological indicator of landscape connectivity function (Marshall &amp; Moonen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forb species richness is one of the most accessible and interpretable landscape-level vegetation diversity indicators in agricultural settings — margins are visible, accessible, and ecologically representative of the botanical quality of the agricultural landscape.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Species-rich field margins with diverse sequential flowering provide pollen and nectar sustaining wild pollinator populations across the landscape between crop flowering events. Pywell et al. (2005) demonstrated significantly higher wild bee abundance and diversity in sown wildflower margins versus conventional margins, with enhanced crop pollination extending 50–100m into adjacent fields.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Natural enemy invertebrate populations overwintering and breeding in structurally diverse field margins provide quantified pest suppression in adjacent crops through season-long movement from margin habitat into the crop canopy. Margins with high structural diversity consistently support higher carabid, parasitic wasp, and spider populations than simple grass margins (Marshall &amp; Moonen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Vegetated field margins intercept surface runoff and filter sediment before it reaches field boundaries and water features. Dense-rooted margin communities reduce soil loss from adjacent cultivated land, particularly on sloped fields.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provide the continuous linear habitat network sustaining populations of small mammals, reptiles, and ground-nesting birds across fragmented agricultural landscapes. Structural diversity — particularly tall sward and tussock components — provides critical nesting habitat for skylarks, partridges, and other declining farmland bird species (Marshall &amp; Moonen 2002).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field margins are most ecologically critical and most monitoring-relevant as biodiversity refugia within intensively managed arable landscapes.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defined margin strips exist at field boundaries within pastoral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inter-row or boundary vegetation strips are maintained in plantation and orchard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managed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strips are present globally in virtually all managed agricultural systems with defined field boundaries.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field margins as biodiversity refugia adjacent to arable fields are most ecologically critical in cropland contexts.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distinct boundary strips are maintained at pastoral field edges.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free-draining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diverse forb communities where management is low-intensity — good drainage and lower nutrient status create conditions for forb-grass balance. Most productive monitoring context for detecting forb diversity in margins adjacent to arable fields on sandy soils.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Heavy clay soils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forb diversity potential — clay soils favour coarse grasses (Arrhenatherum, Dactylis) under any management. Structural diversity (tussock formation, varied height) is a more achievable and monitoring-appropriate target than species richness on heavy clay margins.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diversity potential under low-input management — calcicolous forbs (Centaurea scabiosa, Daucus carota, Medicago sativa, Origanum vulgare) establish readily in unpolluted calcareous margin soils.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landscape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systems with existing margin strips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monitoring context — monitoring the existing margin community condition and trajectory under current management. Species richness and structural diversity are both meaningful metrics.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Pastoral systems with defined margin or buffer strips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Monitoring the boundary strip vegetation distinguishing it from the adjacent grassland (Profile 28). In pastoral contexts, margins may receive no livestock access — providing the only structurally complex vegetation in an otherwise grazed landscape.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arable and mixed farming systems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Margins in organic systems tend to support higher diversity due to absence of herbicide drift and lower fertiliser inputs. These systems provide useful reference communities for target-setting in transitioning conventional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margin soil under reduced fertiliser drift and spray is the primary abiotic precursor for forb diversity recovery in margins. As nitrogen availability falls, coarse competitive grasses lose their dominance advantage and forbs establish from the seed bank. Nitrogen decline in the margin soil precedes measurable forb appearance by 1–2 growing seasons (Pywell et al.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bare soil percentage in the margin zone — as vegetation establishment proceeds — signals improving margin ecological quality. Conversely, increasing bare soil percentage signals disturbance (spray drift, cultivation, heavy use). Ground cover % in the margin zone is a direct indicator of soil protection function delivery.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SOC in the margin zone under undisturbed permanent vegetation development signals improving soil biological conditions — the root diversity and litter inputs from diverse margin communities progressively build the SOC that supports the soil fauna community that in turn supports higher vegetation diversity.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Wildflower and herb seeding into existing sward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seeding of a targeted native wildflower mix into an existing margin strip introduces the forb diversity that natural recovery from a depleted seed bank cannot achieve quickly. Appropriate site preparation (scarification) and species selection for soil type are critical for establishment success (Pywell et al.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Cessation of herbicide application to margin strips — including reducing spray drift from adjacent crop applications — is the most impactful single change for margin forb recovery. Even herbicide reduction (reduced rate or frequency) produces measurable forb recovery within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Wider buffer strips (&gt;3m) at field edges provide greater habitat area for natural enemy populations and support higher species richness than narrow margins. Buffer strip establishment directly increases the ecological value of the boundary zone.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flowering areas (margin cutting timing)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Flowering forb cover and species count in the margin at the time of the primary spring monitoring survey are the primary biological verification signals for delayed cutting management. A delay of even 4–6 weeks in the first cut produces measurably higher forb flowering cover — the single most cost-effective and accessible management change for margin ecological improvement (Marshall &amp; Moonen 2002).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Flowering forb cover detectable and measurably higher within the first season of delayed cutting (first cut deferred to July or later in temperate Europe [~] [geo]); species richness increase over 2–4 seasons as delayed cutting allows seed set and seed bank replenishment.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Buffer strip and riparian zone establishment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Increased margin width and the transition from a no-margin / narrow-margin situation to a defined margin strip are the structural verification signals for buffer strip establishment. Forb species richness increase in the newly established margin strip within 2–4 seasons of establishment confirms biological effectiveness.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Vegetative cover establishment within 1 growing season of buffer strip seeding or natural establishment; forb species richness increasing from baseline (near zero) to monitoring-relevant levels within 2–4 seasons; structural diversity (tussock, varied height) developing within 3–5 years of undisturbed management.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(herbicide cessation in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Non-crop plant species richness increase in the margin zone within 1–2 seasons of herbicide spray cessation is the fastest and most accessible practice verification signal in this profile — margins under zero herbicide consistently support 3–5× higher forb species richness than herbicide-managed equivalents within 2 seasons (Marshall &amp; Moonen 2002).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Species richness increase detectable within 1–2 seasons of herbicide cessation; flowering forb presence confirms management change within one growing season; full community recovery from seed bank requires 3–7 years of consistent no-spray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 — Arable field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provide the seed source for arable weed community recovery in the adjacent crop-edge zone. Margin forb species richness determines the botanical diversity available for recruitment into the crop headland when management allows. Profile 27 and Profile 29 are complementary components of the arable biodiversity package and should ideally be monitored together.</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Species-rich field margins are the primary within-farm pollen and nectar resource sustaining wild bee colonies between crop flowering events. Margin forb diversity and flowering phenology directly determine the wild bee community's ability to maintain colonies across the full growing season — the monitoring link between Profile 29 and Profile 14 is among the most ecologically direct in the framework.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 — Spiders and 10 — Ground beetles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Structurally diverse field margins — tall sward with tussock formation — are the primary overwintering and breeding habitat for epigeal spiders and ground beetles (carabids) that provide natural pest control in adjacent crops. Margin structural quality directly determines natural enemy community abundance and effectiveness. Monitoring margin vegetation quality is a primary predictor of natural enemy service delivery.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margin and grassland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Structured walkthrough of the field margin strip recording forb species presence, sward height, structural features, and management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margin walkthrough — forb presence and structural diversity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Forb species count per 50m margin section; sward height class; structural features present (tussocks Y/N; bare patches Y/N; moss cover Y/N); management evidence (cut recently / uncut / herbicide damage visible).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Walk 50m along the field margin strip (the uncropped zone between the crop edge and the field boundary — hedge, fence, or ditch). Walk at a slow pace, looking at a 1m-wide strip centred on the margin.</w:t>
            </w:r>
          </w:p>
          <w:p>
            <w:pPr>
              <w:spacing w:after="40" w:before="0"/>
              <w:jc w:val="left"/>
            </w:pPr>
            <w:r>
              <w:rPr>
                <w:rFonts w:ascii="Arial" w:cs="Arial" w:eastAsia="Arial" w:hAnsi="Arial"/>
                <w:b w:val="false"/>
                <w:bCs w:val="false"/>
                <w:color w:val="000000"/>
                <w:sz w:val="17"/>
                <w:szCs w:val="17"/>
              </w:rPr>
              <w:t xml:space="preserve">2. Count all non-grass plant species (forbs) visible in the 50m section. Record by common name or photograph if unrecognised. Note whether each is in flower at time of survey.</w:t>
            </w:r>
          </w:p>
          <w:p>
            <w:pPr>
              <w:spacing w:after="40" w:before="0"/>
              <w:jc w:val="left"/>
            </w:pPr>
            <w:r>
              <w:rPr>
                <w:rFonts w:ascii="Arial" w:cs="Arial" w:eastAsia="Arial" w:hAnsi="Arial"/>
                <w:b w:val="false"/>
                <w:bCs w:val="false"/>
                <w:color w:val="000000"/>
                <w:sz w:val="17"/>
                <w:szCs w:val="17"/>
              </w:rPr>
              <w:t xml:space="preserve">3. Estimate median sward height along the section: &lt;10cm / 10–30cm / 30–60cm / &gt;60cm.</w:t>
            </w:r>
          </w:p>
          <w:p>
            <w:pPr>
              <w:spacing w:after="40" w:before="0"/>
              <w:jc w:val="left"/>
            </w:pPr>
            <w:r>
              <w:rPr>
                <w:rFonts w:ascii="Arial" w:cs="Arial" w:eastAsia="Arial" w:hAnsi="Arial"/>
                <w:b w:val="false"/>
                <w:bCs w:val="false"/>
                <w:color w:val="000000"/>
                <w:sz w:val="17"/>
                <w:szCs w:val="17"/>
              </w:rPr>
              <w:t xml:space="preserve">4. Record structural features: tussocks present (Y/N); bare soil patches present (Y/N); moss cover significant (Y/N).</w:t>
            </w:r>
          </w:p>
          <w:p>
            <w:pPr>
              <w:spacing w:after="80" w:before="0"/>
              <w:jc w:val="left"/>
            </w:pPr>
            <w:r>
              <w:rPr>
                <w:rFonts w:ascii="Arial" w:cs="Arial" w:eastAsia="Arial" w:hAnsi="Arial"/>
                <w:b w:val="false"/>
                <w:bCs w:val="false"/>
                <w:color w:val="000000"/>
                <w:sz w:val="17"/>
                <w:szCs w:val="17"/>
              </w:rPr>
              <w:t xml:space="preserve">5. Record management evidence: recently cut (sward still short and cut surface visible); uncut (rank growth, seed heads visible); herbicide damage (yellowing, dead patches).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camera; regional wildflower guide (optional).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Forb counting requires distinguishing grasses from non-grass plants — a 20-minute briefing with photographic examples is sufficient. Common name recording is adequate at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(May–July in temperate Europe) — when forbs are in flower and most identifiable and sward height is at its management-determined maximum before the main cutting season. Agricultural management context: record date of last cut and whether herbicide has been applied.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structural features (tussock, bare soil) most visible after summer vegetation senescence.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15–25 minutes per 50m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 and secondary autumn 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forb count and structural diversity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Non-grass plant species count per 50m section; sward height class; structural features present; management evidence record.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Overview of 50m section from one end showing sward height and cover. (2) Individual forb species shots for any unrecognised species. (3) Structural features: tussock photograph showing height and structure; bare soil patch if present. (4) Management evidence: any cut surface, herbicide damage, or spray line visible.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grass seedheads with forb flowers. Grasses have inconspicuous wind-pollinated flowers — not the showy coloured flowers typical of forbs. Any plant with a visible coloured petal structure is a forb. Grass seedheads are greenish, brownish, or feathery but not obviously coloured.</w:t>
            </w:r>
          </w:p>
          <w:p>
            <w:pPr>
              <w:spacing w:after="60" w:before="0"/>
              <w:jc w:val="left"/>
            </w:pPr>
            <w:r>
              <w:rPr>
                <w:rFonts w:ascii="Arial" w:cs="Arial" w:eastAsia="Arial" w:hAnsi="Arial"/>
                <w:b w:val="false"/>
                <w:bCs w:val="false"/>
                <w:color w:val="000000"/>
                <w:sz w:val="16"/>
                <w:szCs w:val="16"/>
              </w:rPr>
              <w:t xml:space="preserve">Second error: counting the same species multiple times along the 50m section. Count the number of different species present, not the number of individual plants. Walk the full 50m first, then compile the species count.</w:t>
            </w:r>
          </w:p>
          <w:p>
            <w:pPr>
              <w:spacing w:after="80" w:before="0"/>
              <w:jc w:val="left"/>
            </w:pPr>
            <w:r>
              <w:rPr>
                <w:rFonts w:ascii="Arial" w:cs="Arial" w:eastAsia="Arial" w:hAnsi="Arial"/>
                <w:b w:val="false"/>
                <w:bCs w:val="false"/>
                <w:color w:val="000000"/>
                <w:sz w:val="16"/>
                <w:szCs w:val="16"/>
              </w:rPr>
              <w:t xml:space="preserve">Third error: surveying immediately after cutting. Wait minimum 3 weeks after cutting before conducting the primary spring assessment — fresh cuts dramatically undercount forb richness.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Forb count &gt;10 species in 50m with sward height &gt;30cm: high-quality field margin — good pollinator and natural enemy habitat. Connect to Services #27 and #28 in field card narrative.</w:t>
            </w:r>
          </w:p>
          <w:p>
            <w:pPr>
              <w:spacing w:after="50" w:before="0"/>
              <w:jc w:val="left"/>
            </w:pPr>
            <w:r>
              <w:rPr>
                <w:rFonts w:ascii="Arial" w:cs="Arial" w:eastAsia="Arial" w:hAnsi="Arial"/>
                <w:b w:val="false"/>
                <w:bCs w:val="false"/>
                <w:color w:val="000000"/>
                <w:sz w:val="17"/>
                <w:szCs w:val="17"/>
              </w:rPr>
              <w:t xml:space="preserve">Forb count 3–10 species with moderate sward height: intermediate-quality margin — developing habitat value. Track trajectory across years. Key management target: delay cutting timing and eliminate herbicide spray.</w:t>
            </w:r>
          </w:p>
          <w:p>
            <w:pPr>
              <w:spacing w:after="80" w:before="0"/>
              <w:jc w:val="left"/>
            </w:pPr>
            <w:r>
              <w:rPr>
                <w:rFonts w:ascii="Arial" w:cs="Arial" w:eastAsia="Arial" w:hAnsi="Arial"/>
                <w:b w:val="false"/>
                <w:bCs w:val="false"/>
                <w:color w:val="000000"/>
                <w:sz w:val="16"/>
                <w:szCs w:val="16"/>
              </w:rPr>
              <w:t xml:space="preserve">Forb count &lt;3 species with short cut sward and no tussock structure: impoverished margin — limited ecological function. Connect to Challenge #20 (Pollinator decline) and recommend P14 (delayed cutting) and P11 (herbicide cessation).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Date of last mowing and cutting height; (2) Whether herbicide has been applied to the margin in the current season; (3) Whether fertiliser drift onto the margin is likely from adjacent crop applications; (4) Margin width estimate (m).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 aware of machinery during margin survey. Giant hogweed (Heracleum mantegazzianum) is occasionally found in field margins — maintain distance and record from afar.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Marshall EJP, Moonen AC (2002) — see References; Ecdysis 1000 Farms margin vegetation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https://doi.org/10.1016/S0167-8809(02)00011-2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Quadrat-based community composition survey with species-level botanical recording, Braun-Blanquet cover classes, and sward structure assessment. Enables Ellenberg-based soil nitrogen inference and species diversity indices.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margin community composition survey — species-level quadrat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plant community composition with Braun-Blanquet cover class per species; total species richness; forb:grass cover ratio; legume cover; sward height and structural diversity score; Ellenberg N mean for soil nitrogen inference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5 fixed 0.5m × 1m quadrats equally spaced along the 50m margin section, record all vascular plant species with Braun-Blanquet cover class. Note bare soil %, moss cover %, and litter cover %. Record sward height at quadrat centre. Assign a structural diversity score: 0 = uniform short grass; 1 = variable height; 2 = tussocks present; 3 = tussocks + bare patches; 4 = tussocks + bare + woody regeneration.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0.5m × 1m quadrat frame; regional margin and grassland flora field guide; Braun-Blanquet cover reference; measuring stick (30cm and 60cm marks); GPS;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for common margin and grassland species. Margin floras include ruderal and grassland species — identify skill for both community types is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same as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50m section for 5 quadrats.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spring). Autumn visit recommended additionally.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richness per quadrat; forb:grass cover ratio; legume cover (%); sward structural diversity score (0–4); Ellenberg N mean [geo]; Shannon diversity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downward quadrat photographs at each monitoring point; species identification shots for all recorded forbs.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Ellenberg N mean declining from &gt;5 toward &lt;4 [geo]: soil nitrogen declining — abiotic confirmation of management-driven nitrogen reduction. Directly confirms A09 abiotic precursor trajectory. Connect to B2 practice verification for P11 and P14.</w:t>
            </w:r>
          </w:p>
          <w:p>
            <w:pPr>
              <w:spacing w:after="80" w:before="0"/>
              <w:jc w:val="left"/>
            </w:pPr>
            <w:r>
              <w:rPr>
                <w:rFonts w:ascii="Arial" w:cs="Arial" w:eastAsia="Arial" w:hAnsi="Arial"/>
                <w:b w:val="false"/>
                <w:bCs w:val="false"/>
                <w:color w:val="000000"/>
                <w:sz w:val="16"/>
                <w:szCs w:val="16"/>
              </w:rPr>
              <w:t xml:space="preserve">Structural diversity score 3–4: tussocks and bare patches providing the full habitat mosaic needed for natural enemy overwintering, ground-nesting birds, and invertebrate diversity. Most ecologically valuable margin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Pywell RF et al. (2005); Marshall &amp; Moonen (2002); Ellenberg et al. (1992) [geo]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https://doi.org/10.1016/S0167-8809(02)00011-2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phytosociological survey with NVC or equivalent classification, combined simultaneous pollinator transect count, and natural enemy pitfall trapping to integrate vegetation and service delivery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margin phytosociological survey with simultaneous pollinator and natural enemy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margin plant community composition with NVC or equivalent classification; simultaneous pollinator transect count recording wild bee and hoverfly visits to margin flowers; pitfall trap data for ground beetle community as natural enemy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NVC or equivalent relevé survey of the margin strip (6 × 1m2 relevés at fixed points). Simultaneous 50m pollinator transect walk (5 minutes per 50m) recording all pollinator visits to margin flowers. Install 3 pitfall traps at 10m intervals along the margin for 7-day sampling period during the primary monitoring window — collect and identify ground beetles to species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pitfall traps (5cm diameter, propylene glycol preservative); ground beetle identification key; pollinator species guide.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Botanist for phytosociological survey; pollinator ecologist; entomologist for ground beetle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simultaneous vegetation, pollinator, and pitfall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for vegetation and pollinator; pitfall traps ideally 2 deployments (spring and early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all three community components.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NVC community type; full species richness; pollinator visit rate (visits per m of margin per minute); wild bee functional group diversity; ground beetle species richness and carabid functional group composition.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Pollinator visit rate and ground beetle diversity both increasing over consecutive surveys: margin management improvement is simultaneously delivering enhanced pollination service and natural enemy habitat — integrated service delivery confirmation across two taxa.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Pitfall trap installation requires access agreement with landowner; traps must be labelled and secured against livestock interference.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Pywell et al. (2005); Marshall &amp; Moonen (2002)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https://doi.org/10.1111/j.1365-2664.2005.01066.x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URL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Ellenberg H, Weber HE, Düll R, Wirth V, Werner W, Paulißen D (1992) Zeigerwerte der Pflanzen in Mitteleuropa. Scripta Geobotanica 18. Goltze, Göttingen.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Scripta Geobotanica 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A8; Protocol Level 2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Marshall EJP, Moonen AC (2002) Field margins in northern Europe: their functions and interactions with agriculture. Agriculture, Ecosystems and Environment 89:5–21.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https://doi.org/10.1016/S0167-8809(02)00011-2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B2; Response timescale; Protocol Levels 1 and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SG, Biesmeijer JC, Kremen C, Neumann P, Schweiger O, Kunin WE (2010) Global pollinator declines: trends, impacts and drivers. Trends in Ecology and Evolution 25:345–353.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https://doi.org/10.1016/j.tree.2010.01.007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Pywell RF, Warman EA, Carvell C, Sparks TH, Dicks LV, Bennett D, Wright A, Critchley CNR, Sherwood A (2005) Providing foraging resources for bumblebees across an intensively farmed landscape. Biological Conservation 121:479–494.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https://doi.org/10.1016/j.biocon.2004.05.020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A3; A8; B2; Response timescale; Protocol Level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29 — Field margin and uncropped boundary vegetation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3"/>
              <w:szCs w:val="13"/>
            </w:rPr>
            <w:t xml:space="preserve">LAHMP — Profile 29 — Field margin and uncropped boundary vegetation</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86B64F-F631-4161-9FFC-C9FF0D02082B}"/>
</file>

<file path=customXml/itemProps2.xml><?xml version="1.0" encoding="utf-8"?>
<ds:datastoreItem xmlns:ds="http://schemas.openxmlformats.org/officeDocument/2006/customXml" ds:itemID="{13D78E75-7077-4E7B-BE41-52486E63859B}"/>
</file>

<file path=customXml/itemProps3.xml><?xml version="1.0" encoding="utf-8"?>
<ds:datastoreItem xmlns:ds="http://schemas.openxmlformats.org/officeDocument/2006/customXml" ds:itemID="{C1FC0007-B97C-4319-845F-CA19E5A37DB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2026-04-12T10:15:34Z</dcterms:created>
  <dcterms:modified xsi:type="dcterms:W3CDTF">2026-04-12T10:15:34Z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