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34 — Woody plant regeneration</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2E7D32"/>
                <w:sz w:val="16"/>
                <w:szCs w:val="16"/>
              </w:rPr>
              <w:t xml:space="preserve">FLORA PROFILE — Presence and spread mapping variant (Flora Variant Appendix, modification 3, Variant 4).</w:t>
            </w:r>
          </w:p>
          <w:p>
            <w:pPr>
              <w:spacing w:after="60" w:before="0"/>
              <w:jc w:val="left"/>
            </w:pPr>
            <w:r>
              <w:rPr>
                <w:rFonts w:ascii="Arial" w:cs="Arial" w:eastAsia="Arial" w:hAnsi="Arial"/>
                <w:b/>
                <w:bCs/>
                <w:color w:val="C0392B"/>
                <w:sz w:val="16"/>
                <w:szCs w:val="16"/>
              </w:rPr>
              <w:t xml:space="preserve">CANOPY COVER MANDATORY — woody cover % by height class (&lt;50cm / 50cm–2m / &gt;2m) is the primary output metric at all protocol levels.</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vegetation ecologists and woodland restoration specialists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Context-dependence of 'positive' vs 'negative' regeneration — woody regeneration in a species-rich grassland (Profile 28 context) may indicate scrub encroachment and be ecologically negative, while the same regeneration in a degraded field margin is ecologically positive. The profile attempts to address this through the 'monitoring context' field in Layer 2, but reviewer should confirm whether this is adequately specified to prevent misinterpretation.</w:t>
            </w:r>
          </w:p>
          <w:p>
            <w:pPr>
              <w:spacing w:after="60" w:before="0"/>
              <w:jc w:val="left"/>
            </w:pPr>
            <w:r>
              <w:rPr>
                <w:rFonts w:ascii="Arial" w:cs="Arial" w:eastAsia="Arial" w:hAnsi="Arial"/>
                <w:b w:val="false"/>
                <w:bCs w:val="false"/>
                <w:color w:val="000000"/>
                <w:sz w:val="16"/>
                <w:szCs w:val="16"/>
              </w:rPr>
              <w:t xml:space="preserve">2. Height class boundaries — the three height classes (&lt;50cm / 50cm–2m / &gt;2m) are practical field standards but do not map directly onto ecological categories in all vegetation types. Reviewer should confirm whether these boundaries are appropriate or should be adapted for scrub-dominated or tropical contexts.</w:t>
            </w:r>
          </w:p>
          <w:p>
            <w:pPr>
              <w:spacing w:after="60" w:before="0"/>
              <w:jc w:val="left"/>
            </w:pPr>
            <w:r>
              <w:rPr>
                <w:rFonts w:ascii="Arial" w:cs="Arial" w:eastAsia="Arial" w:hAnsi="Arial"/>
                <w:b w:val="false"/>
                <w:bCs w:val="false"/>
                <w:color w:val="000000"/>
                <w:sz w:val="16"/>
                <w:szCs w:val="16"/>
              </w:rPr>
              <w:t xml:space="preserve">3. Seed source identification — the guidance on identifying regeneration source (local native provenance vs planted material vs invasive species) requires basic botanical skill at Level 2. Reviewer should confirm whether this distinction is achievable for trained field technicians without specialist knowledge.</w:t>
            </w:r>
          </w:p>
          <w:p>
            <w:pPr>
              <w:spacing w:after="80" w:before="0"/>
              <w:jc w:val="left"/>
            </w:pPr>
            <w:r>
              <w:rPr>
                <w:rFonts w:ascii="Arial" w:cs="Arial" w:eastAsia="Arial" w:hAnsi="Arial"/>
                <w:b w:val="false"/>
                <w:bCs w:val="false"/>
                <w:color w:val="000000"/>
                <w:sz w:val="16"/>
                <w:szCs w:val="16"/>
              </w:rPr>
              <w:t xml:space="preserve">4. Response timescale [~] — the timescales given for height class progression are based on temperate European woodland regeneration rates. Tropical woody regeneration may progress through height classes significantly faster.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Flora variant applied. Monitoring task type: Biological community composition — presence and spread mapping variant (Variant 4). Area-based recording of woody regeneration cover by height class across the monitored area. Woody cover % by height class is the primary mandatory output.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Woody plant regeneration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woody plant regeneration processes are ecologically relevant in all agricultural landscapes where trees or shrubs are present or have been present. Even landscapes with no current woody vegetation can be monitored for the absence of regeneration (negative indicator of management conditions for woody recovery).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the profile is applicable both where regeneration is present (to track trajectory) and where it is absent (to confirm suppression by management or grazing pressure). In landscapes with no seed source within dispersal distance and no planting programme, the expected outcome is confirmed absence.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Seedling, sapling, and young shrub communities of native and naturalised woody plant species establishing across managed agricultural land. Three height classes tracked as independent communities reflecting successional stage: (1) Seedling and early sapling layer (&lt;50cm): newly established individuals vulnerable to grazing, cutting, and frost; provides the leading indicator of regeneration potential; (2) Established sapling and shrub layer (50cm–2m): individuals that have survived initial establishment phase and are progressing toward structural contribution; (3) Young tree and tall shrub layer (&gt;2m): individuals approaching or providing structural habitat value. Species composition reflects local native seed sources, management history, and soil conditions. This profile tracks natural regeneration and new planting establishment — it does not cover mature established trees (Profile 33) or established hedgerow structure (Profile 30).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three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the rate of woody cover accumulation across height classes, the species diversity of regenerating individuals, and the presence or absence of all three height classes indicate whether the landscape's woody vegetation recovery capacity is functional, suppressed, or degraded.</w:t>
            </w:r>
          </w:p>
          <w:p>
            <w:pPr>
              <w:spacing w:after="6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height class progression of regenerating individuals is the primary biological verification signal for tree planting, hedgerow management, and livestock exclusion practices. Progression from &lt;50cm to 50cm–2m is the most accessible short-term practice verification metric.</w:t>
            </w:r>
          </w:p>
          <w:p>
            <w:pPr>
              <w:spacing w:after="80" w:before="0"/>
              <w:jc w:val="left"/>
            </w:pPr>
            <w:r>
              <w:rPr>
                <w:rFonts w:ascii="Arial" w:cs="Arial" w:eastAsia="Arial" w:hAnsi="Arial"/>
                <w:b/>
                <w:bCs/>
                <w:color w:val="000000"/>
                <w:sz w:val="17"/>
                <w:szCs w:val="17"/>
              </w:rPr>
              <w:t xml:space="preserve">3.  Soil-habitat proxy (indirect)</w:t>
            </w:r>
            <w:r>
              <w:rPr>
                <w:rFonts w:ascii="Arial" w:cs="Arial" w:eastAsia="Arial" w:hAnsi="Arial"/>
                <w:b w:val="false"/>
                <w:bCs w:val="false"/>
                <w:color w:val="000000"/>
                <w:sz w:val="17"/>
                <w:szCs w:val="17"/>
              </w:rPr>
              <w:t xml:space="preserve"> — the presence and density of woody regeneration in unprotected areas (accessible to grazing) versus protected areas indicates grazing pressure and soil compaction status — a qualitative proxy for soil physical conditions affecting regeneration success.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presence and spread mapping (area-based cover by height class)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Woody regeneration is the landscape's ecological recovery mechanism — the process by which trees and shrubs naturally re-establish where management allows. Its presence in the right places at sufficient density signals that the ecological conditions for landscape-scale vegetation recovery are functioning: there is seed available, there is safe establishment space, and there is enough management tolerance for seedlings to survive their vulnerable early stages. Its absence — where seed sources exist and soil conditions are adequate — tells you that something is actively suppressing recovery, almost always overgrazing or repeated cutting. This profile monitors that process directly.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The height class structure of woody regeneration is ecologically informative in a way that total cover alone is not. A monitoring area with 20% cover entirely in the &lt;50cm class is in a very different ecological state from one with 20% cover distributed evenly across all three classes — the former has no individuals progressing toward structural contribution, suggesting recurring suppression at the seedling stage; the latter shows a functioning successional escalator moving material from initial establishment through to ecological contribution. Reading this structure requires only a measuring stick and the ability to recognise woody plants, making it one of the most accessible structural vegetation monitoring tasks in the LAHMP framework.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2–3, Year 2–10). &lt;50cm height class change detectable within 1–2 seasons of management change. Progression into 50cm–2m class requires 2–5 years. &gt;2m class requires 5–15 years depending on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Change in &lt;50cm height class density detectable within 1–2 seasons of livestock exclusion or cessation of cutting — new seedlings establishing rapidly where conditions allow (Bullock et al. 2011).</w:t>
            </w:r>
          </w:p>
          <w:p>
            <w:pPr>
              <w:spacing w:after="60" w:before="0"/>
              <w:jc w:val="left"/>
            </w:pPr>
            <w:r>
              <w:rPr>
                <w:rFonts w:ascii="Arial" w:cs="Arial" w:eastAsia="Arial" w:hAnsi="Arial"/>
                <w:b w:val="false"/>
                <w:bCs w:val="false"/>
                <w:color w:val="000000"/>
                <w:sz w:val="17"/>
                <w:szCs w:val="17"/>
              </w:rPr>
              <w:t xml:space="preserve">Medium (2–5 years): Progression from &lt;50cm to 50cm–2m class in surviving individuals. In temperate European conditions, hawthorn, blackthorn, and elder reach 50cm–2m class within 2–4 years under favourable conditions [~].</w:t>
            </w:r>
          </w:p>
          <w:p>
            <w:pPr>
              <w:spacing w:after="60" w:before="0"/>
              <w:jc w:val="left"/>
            </w:pPr>
            <w:r>
              <w:rPr>
                <w:rFonts w:ascii="Arial" w:cs="Arial" w:eastAsia="Arial" w:hAnsi="Arial"/>
                <w:b w:val="false"/>
                <w:bCs w:val="false"/>
                <w:color w:val="000000"/>
                <w:sz w:val="17"/>
                <w:szCs w:val="17"/>
              </w:rPr>
              <w:t xml:space="preserve">Slow (5–15 years): Progression into &gt;2m class and the beginnings of canopy cover contribution from regenerating material. Oak, ash, and field maple reach &gt;2m within 7–15 years from seed [~] depending on soil quality and competition.</w:t>
            </w:r>
          </w:p>
          <w:p>
            <w:pPr>
              <w:spacing w:after="80" w:before="0"/>
              <w:jc w:val="left"/>
            </w:pPr>
            <w:r>
              <w:rPr>
                <w:rFonts w:ascii="Arial" w:cs="Arial" w:eastAsia="Arial" w:hAnsi="Arial"/>
                <w:b w:val="false"/>
                <w:bCs w:val="false"/>
                <w:color w:val="000000"/>
                <w:sz w:val="16"/>
                <w:szCs w:val="16"/>
              </w:rPr>
              <w:t xml:space="preserve">[geo] These timescales apply to temperate European woodland edge and hedgerow species. Tropical and subtropical woody species may progress through height classes in half the time given higher growth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vegetation ecologists and woodland restoration specialists.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primary driver of woody regeneration suppression globally. Livestock selectively browse seedlings and saplings — particularly at the &lt;50cm class where plants are most palatable and least structurally protected. Even moderate grazing pressure prevents height class progression where seedling density is low. In most pastoral landscapes, overgrazing maintains woody regeneration at zero or near-zero across the accessible area (Pakeman &amp; Nolan 2009; Bullock et al. 2011).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wood / biomass — repeated cutting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cutting at frequencies that match or exceed the growth rate of regenerating individuals prevents height class progression. Annual or biennial cutting of field margins, roadside verges, and set-aside areas prevents any individual from progressing from &lt;50cm to 50cm–2m class. The cutting height relative to seedling height determines whether individuals survive repeated cutting (Pakeman &amp; Nolan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Broad-spectrum herbicide application to field margins and non-crop areas directly kills woody seedlings and saplings. Glyphosate-based and selective broadleaf herbicides are particularly damaging — they may selectively target exactly the broad-leaved woody species with the highest ecological value (hawthorn, hazel, field maple).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 cropping systems that eliminate field margins, headlands, and semi-natural areas remove the refugia from which woody regeneration can establish. Seed sources require proximity — most heavy-seeded species (oak, hazel, hawthorn) disperse only short distances without animal vectors.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field margin cultivation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Cultivation of field margins and headlands destroys seedlings and prevents establishment. Margin cultivation eliminates the primary establishment zone for woody regeneration adjacent to existing hedgerows and woodland edges.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absence of all three height classes of woody regeneration across the monitoring area signals that the landscape's capacity to naturally rebuild habitat connectivity through vegetation succession is suppressed. Woody regeneration in field margins, hedgerow gaps, and ungrazed patches is the biological mechanism through which connectivity is restored — its suppression signals active connectivity decline (Bullock et al. 2011).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Species diversity of regenerating woody individuals reflects the landscape seed source diversity and soil conditions for establishment. A monitoring area where only one or two species are regenerating suggests seed source limitation (landscape-scale woody diversity loss) or selective grazing removing palatable species preferentially.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Degradation of landscape mosaic and traditional habitats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complete absence of woody regeneration — confirmed across multiple consecutive surveys — signals that the traditional successional processes maintaining the landscape mosaic are fully suppressed. Where once hedgerow gaps filled naturally, scrub established in ungrazed corners, and woodland edges crept into adjacent grassland at low stocking densities, the absence of this process indicates landscape ecological impoverishment (Pakeman &amp; Nolan 2009).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Regenerating woody cover represents the accumulation of future carbon storage capacity. The &gt;2m height class indicates individuals beginning to contribute meaningful above-ground carbon stock. The &gt;2m cover % is a leading biological indicator of carbon sequestration trajectory under agroforestry and landscape restoration programmes (Nair 1993).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control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Root networks from establishing woody plants in the &lt;50cm–2m classes progressively bind the surface soil, reducing rill and sheet erosion risk on slopes and degraded margins. The &lt;50cm class provides immediate fine root soil binding within 1–2 seasons of establishment (Bullock et al. 2011).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Sapling-stage woody vegetation (50cm–2m class) provides immediate structural habitat for invertebrates and small mammals — even before reaching the structural complexity of mature shrubs. Dense patches of 50cm–2m regeneration provide cover and foraging habitat that is absent from bare or grazed landscapes.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Local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As &gt;2m class cover % increases, developing canopy begins to moderate local temperature and humidity. In agroforestry contexts, monitoring woody cover % in the &gt;2m class provides an early indicator of the developing microclimate regulation service (Brandle et al. 2004).</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field margins, headlands, and set-aside areas provide establishment zones for woody regeneration adjacent to established woody vegetation.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context — pasture establishment zones along fence lines, riparian margins, and woodland edges. Most monitoring need where livestock exclusion for regeneration is a management action.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Context-dependent — regeneration in species-rich grassland may indicate scrub encroachment (negative for Profile 28 but tracked here for completeness). Clear interpretation guidance required for this context.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seed sources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Wherever woody vegetation seed sources are present and management allows, regeneration monitoring is applicable.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monitoring context — monitoring regeneration in pastoral landscapes where livestock exclusion for woody recovery is the management action.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Monitoring regeneration in field margins and headlands adjacent to established hedgerows or woodland.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(agroforestry)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Monitoring young tree establishment and height class progression in silvo-pastoral and silvo-arable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and landscape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 on regeneration dynamics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Fertile, moist soils adjacent to seed sources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Fastest regeneration rates — seedlings establish readily and progress through height classes quickly under favourable moisture and nutrient conditions. Elder (Sambucus nigra) and ash (Fraxinus excelsior) are typically the fastest early colonisers in temperate European contexts [geo]. Monitor carefully for invasive species establishment in these productive conditions.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Dry or sandy soils with limited seed sources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Slower and less predictable regeneration. &lt;50cm class may be sparse even after livestock exclusion. Planting may be required to achieve height class progression at a monitoring-relevant timescale. Record all natural regeneration but note whether conditions are likely to support natural recovery without planting.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Compacted soils (bulk density A02 elevated)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Seedling root penetration limited by compaction — established height classes tend to be shallow-rooted and vulnerable. Compaction relief (aeration, mole ploughing) may be needed before regeneration rates are meaningful.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Adjacent to established hedgerows (primary seed source)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Most productive monitoring context — regeneration establishing in gaps and margins adjacent to existing hedgerows. Species composition reflects the hedgerow seed source. Monitor within 10m of hedgerow base for natural regeneration density.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Cattle grazing (selective browsing)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Cattle preferentially browse palatable species (ash, hazel, field maple) while avoiding less palatable species (elder, bramble, hawthorn in some conditions). This selectivity shapes species composition of regenerating communities. Monitor species composition changes when stocking changes.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Sheep grazing (intensive browsing)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Sheep browse more intensively than cattle and at lower heights — more effective at suppressing &lt;50cm regeneration entirely. Sheep exclusion from regeneration areas is typically more critical than cattle exclusion for establishment success.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Abiotic indicators that are the earliest measurable signals that soil conditions are improving for woody regeneration establishment.</w:t>
            </w:r>
          </w:p>
          <w:p>
            <w:pPr>
              <w:spacing w:after="80" w:before="0"/>
              <w:jc w:val="left"/>
            </w:pPr>
            <w:r>
              <w:rPr>
                <w:rFonts w:ascii="Arial" w:cs="Arial" w:eastAsia="Arial" w:hAnsi="Arial"/>
                <w:b w:val="false"/>
                <w:bCs w:val="false"/>
                <w:color w:val="C0392B"/>
                <w:sz w:val="16"/>
                <w:szCs w:val="16"/>
              </w:rPr>
              <w:t xml:space="preserve">Note: Woody cover % by height class (previously abiotic indicator A19) is now embedded as the primary mandatory output metric in this profile's Layer 2 protocols — it is no longer a separate abiotic monitoring task.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SOC under managed livestock exclusion and litter accumulation signals improving seedling establishment conditions — the nutrient supply and moisture retention that support seedling root development. SOC improvement typically precedes measurable seedling density increases by 1–2 seasons as soil biology improves the establishment microenvironment (Bullock et al. 2011).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reduction below approximately 1.4 g/cm3 [~] following livestock exclusion is a prerequisite for effective seedling root penetration into the mineral soil. Compaction relief precedes measurable &lt;50cm height class density increases by 1–2 seasons as root penetration becomes possible. This is particularly important on heavily poached or trafficked soils.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features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Reduction in visible soil erosion features (rills, bare eroding patches) in the monitoring area signals improving surface soil stability that supports seedling establishment. Erosion feature reduction typically follows initial &lt;50cm regeneration establishment by 1–2 seasons as root networks stabilise the soil surface.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establishment adjacent to existing woody vegetation provides the unfenced, uncut zone where natural regeneration from adjacent seed sources can establish without management interference.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grazing with adequate rest periods allows &lt;50cm height class individuals to establish and grow during the ungrazed period before being browsed back in the next grazing cycle — gradual height class progression under rotational management is possible at lower stocking densities than continuous grazing.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herbaceous cover provides the litter and moisture conditions that favour many woody seedlings' germination and early establishment — particularly shade-tolerant species that germinate better under grass than in bare soil.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 trees and restore woody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Height class progression of planted individuals is the primary biological verification signal for tree and shrub planting practice. Progression from &lt;50cm (Year 1 planting) through 50cm–2m (Year 2–5) toward &gt;2m class (Year 5–10) confirms establishment success and species performance. Natural regeneration density adjacent to planted individuals also serves as a secondary verification signal — planted trees as seed sources generating natural regeneration around them (Bullock et al. 2011).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Planted individuals surviving in &lt;50cm class within 1 season; 50cm–2m class within 2–4 years for fast-growing species; &gt;2m class within 5–10 years. Natural regeneration from planted seed sources appearing within 3–7 years as planted individuals reach reproductive maturity.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Manage hedgerows and shelter belts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Natural regeneration density adjacent to managed hedgerows — seedlings and saplings appearing in the margin zone within 5m of the hedgerow face — is the biological verification signal that hedgerow management (reduced cutting, gap protection) is enabling natural seed dispersal and seedling establishment from the hedgerow seed source. Regeneration diversity mirrors hedgerow woody species richness.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Natural regeneration in margin zones adjacent to managed hedgerows appears within 1–3 seasons of reduced cutting and livestock exclusion from the margin zone; species diversity of regeneration increases over 3–7 years as different hedgerow species reach reproductive maturity and disperse seed.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Rotational / adaptive grazing — exclusion of sensitive areas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&lt;50cm height class density increase in areas with modified or reduced grazing pressure is the fastest biological verification signal for grazing management change. Even partial grazing reduction sufficient to allow some individuals to progress through the &lt;50cm class is detectable within 1–2 seasons.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&lt;50cm height class density detectable within 1–2 seasons of grazing exclusion or significant pressure reduction; 50cm–2m class appears within 2–5 years where palatable species predominate; height class diversity (all three classes present) requires 5–10 years of sustained management change.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 — Hedgerow and woody boundary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Woody regeneration is the biological mechanism by which hedgerow gaps fill naturally and by which hedgerow connectivity is restored over time. Profile 30 tracks established hedgerow structure; Profile 34 tracks the regenerating material that will become future hedgerow structure. Together they provide a complete picture of the woody boundary vegetation lifecycle — current structure plus future succession.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33 — Scattered trees and parkland tree cover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Woody regeneration in the 50cm–2m and &gt;2m classes provides the successor population for the scattered tree profile. Profile 33 monitors the current mature tree cohort; Profile 34 monitors whether a next generation is establishing. The joint monitoring of both profiles answers the most critical landscape management question: is the current tree cover being replaced, or is it declining without succession?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Emerging sapling-stage flowering woody plants — hawthorn, blackthorn, cherry, willow — provide early pollen and nectar resources within 2–5 years of establishment, ahead of their structural maturity. Monitoring flowering individuals in the &lt;50cm and 50cm–2m classes provides an early indicator of developing pollinator habitat resources.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vegetation ecologists.</w:t>
            </w:r>
          </w:p>
          <w:p>
            <w:pPr>
              <w:spacing w:after="60" w:before="0"/>
              <w:jc w:val="left"/>
            </w:pPr>
            <w:r>
              <w:rPr>
                <w:rFonts w:ascii="Arial" w:cs="Arial" w:eastAsia="Arial" w:hAnsi="Arial"/>
                <w:b/>
                <w:bCs/>
                <w:color w:val="C0392B"/>
                <w:sz w:val="16"/>
                <w:szCs w:val="16"/>
              </w:rPr>
              <w:t xml:space="preserve">CANOPY COVER — MANDATORY OUTPUT AT ALL LEVELS</w:t>
            </w:r>
          </w:p>
          <w:p>
            <w:pPr>
              <w:spacing w:after="60" w:before="0"/>
              <w:jc w:val="left"/>
            </w:pPr>
            <w:r>
              <w:rPr>
                <w:rFonts w:ascii="Arial" w:cs="Arial" w:eastAsia="Arial" w:hAnsi="Arial"/>
                <w:b w:val="false"/>
                <w:bCs w:val="false"/>
                <w:color w:val="000000"/>
                <w:sz w:val="16"/>
                <w:szCs w:val="16"/>
              </w:rPr>
              <w:t xml:space="preserve">Woody cover % by height class (&lt;50cm / 50cm–2m / &gt;2m) is the primary mandatory output metric for this profile at all protocol levels. This measurement was formerly carried as abiotic indicator A19. It is now embedded within the presence and spread mapping protocols below. The three height class cover estimates are jointly the core output of this profile.</w:t>
            </w:r>
          </w:p>
          <w:p>
            <w:pPr>
              <w:spacing w:after="80" w:before="0"/>
              <w:jc w:val="left"/>
            </w:pPr>
            <w:r>
              <w:rPr>
                <w:rFonts w:ascii="Arial" w:cs="Arial" w:eastAsia="Arial" w:hAnsi="Arial"/>
                <w:b w:val="false"/>
                <w:bCs w:val="false"/>
                <w:color w:val="C0392B"/>
                <w:sz w:val="16"/>
                <w:szCs w:val="16"/>
              </w:rPr>
              <w:t xml:space="preserve">IMPORTANT — interpretation context: Before interpreting woody regeneration cover trends, record the management context at each visit. Regeneration increasing in a degraded field margin or hedgerow gap is ecologically positive. The same regeneration increasing in a species-rich grassland (Profile 28 monitoring area) may indicate scrub encroachment and should be interpreted with reference to the adjacent grassland community trajectory.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Transect-based presence and cover estimation by height class. Observer walks the monitoring area recording woody cover in each height class and distinguishing planted from naturally regenerating individuals.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Woody regeneration presence and spread mapping — height class cover estimation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Woody cover % in each of three height classes (&lt;50cm / 50cm–2m / &gt;2m) across the monitoring area or transect; planted vs naturally regenerating distinction; approximate species composition (common names or descriptions acceptable at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Define the monitoring area: either (a) a fixed 50m × 5m belt transect through the area of interest (field margin, ungrazed zone, agroforestry establishment area); or (b) the full monitoring zone if smaller than 250m2. Mark start and end points with GPS.</w:t>
            </w:r>
          </w:p>
          <w:p>
            <w:pPr>
              <w:spacing w:after="40" w:before="0"/>
              <w:jc w:val="left"/>
            </w:pPr>
            <w:r>
              <w:rPr>
                <w:rFonts w:ascii="Arial" w:cs="Arial" w:eastAsia="Arial" w:hAnsi="Arial"/>
                <w:b w:val="false"/>
                <w:bCs w:val="false"/>
                <w:color w:val="000000"/>
                <w:sz w:val="17"/>
                <w:szCs w:val="17"/>
              </w:rPr>
              <w:t xml:space="preserve">2. Walk the monitoring area systematically. For each height class, estimate the percentage of the monitoring area covered by woody plants of that class. Use the following cover classes: 0% / trace (&lt;1%) / 1–5% / 5–25% / 25–50% / 50–75% / &gt;75%.</w:t>
            </w:r>
          </w:p>
          <w:p>
            <w:pPr>
              <w:spacing w:after="40" w:before="0"/>
              <w:jc w:val="left"/>
            </w:pPr>
            <w:r>
              <w:rPr>
                <w:rFonts w:ascii="Arial" w:cs="Arial" w:eastAsia="Arial" w:hAnsi="Arial"/>
                <w:b w:val="false"/>
                <w:bCs w:val="false"/>
                <w:color w:val="000000"/>
                <w:sz w:val="17"/>
                <w:szCs w:val="17"/>
              </w:rPr>
              <w:t xml:space="preserve">3. For each height class, note: (a) whether individuals are predominantly planted (planted stock — stake or tube visible) or naturally regenerating (no stake or tube; random distribution pattern consistent with seed dispersal); (b) whether individuals are predominantly one species or mixed — note the most common species or describe it if unknown.</w:t>
            </w:r>
          </w:p>
          <w:p>
            <w:pPr>
              <w:spacing w:after="40" w:before="0"/>
              <w:jc w:val="left"/>
            </w:pPr>
            <w:r>
              <w:rPr>
                <w:rFonts w:ascii="Arial" w:cs="Arial" w:eastAsia="Arial" w:hAnsi="Arial"/>
                <w:b w:val="false"/>
                <w:bCs w:val="false"/>
                <w:color w:val="000000"/>
                <w:sz w:val="17"/>
                <w:szCs w:val="17"/>
              </w:rPr>
              <w:t xml:space="preserve">4. Note browsing pressure: what percentage of &lt;50cm individuals show evidence of browse damage (bitten-off tips, multiple stems from browse response)?</w:t>
            </w:r>
          </w:p>
          <w:p>
            <w:pPr>
              <w:spacing w:after="80" w:before="0"/>
              <w:jc w:val="left"/>
            </w:pPr>
            <w:r>
              <w:rPr>
                <w:rFonts w:ascii="Arial" w:cs="Arial" w:eastAsia="Arial" w:hAnsi="Arial"/>
                <w:b w:val="false"/>
                <w:bCs w:val="false"/>
                <w:color w:val="000000"/>
                <w:sz w:val="17"/>
                <w:szCs w:val="17"/>
              </w:rPr>
              <w:t xml:space="preserve">5. Note any invasive species in the regeneration layer — record separately from native regeneration.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50m tape measure; GPS; ranging pole (1m and 2m marked) for height class assignment;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Height class assignment (&lt;50cm / 50cm–2m / &gt;2m) requires only a 1m and 2m ranging pole for comparison — no botanical identification skill needed at Level 1 for cover estimation. Species recording at Level 1 is to common name or description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when woody regeneration is in active growth and all height classes are maximally expressed. Agricultural management context: assess 4–6 weeks after last cutting or grazing event to allow recovery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before leaf drop; browse damage on &lt;50cm class visible; planted stock survival assessable.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50m × 5m transect.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spring and autumn windows. Spring provides growth status; autumn provides survival and browse pressure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height class progression trends; annual comparisons provide the clearest picture of successional trajectory.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Cover metrics (MANDATORY — formerly abiotic indicator A19):</w:t>
            </w:r>
          </w:p>
          <w:p>
            <w:pPr>
              <w:spacing w:after="60" w:before="0"/>
              <w:jc w:val="left"/>
            </w:pPr>
            <w:r>
              <w:rPr>
                <w:rFonts w:ascii="Arial" w:cs="Arial" w:eastAsia="Arial" w:hAnsi="Arial"/>
                <w:b w:val="false"/>
                <w:bCs w:val="false"/>
                <w:color w:val="000000"/>
                <w:sz w:val="16"/>
                <w:szCs w:val="16"/>
              </w:rPr>
              <w:t xml:space="preserve">• Woody cover % in &lt;50cm height class; woody cover % in 50cm–2m height class; woody cover % in &gt;2m height class. All three recorded at each survey visit.</w:t>
            </w:r>
          </w:p>
          <w:p>
            <w:pPr>
              <w:spacing w:after="40" w:before="0"/>
              <w:jc w:val="left"/>
            </w:pPr>
            <w:r>
              <w:rPr>
                <w:rFonts w:ascii="Arial" w:cs="Arial" w:eastAsia="Arial" w:hAnsi="Arial"/>
                <w:b/>
                <w:bCs/>
                <w:color w:val="000000"/>
                <w:sz w:val="17"/>
                <w:szCs w:val="17"/>
              </w:rPr>
              <w:t xml:space="preserve">Condition metrics:</w:t>
            </w:r>
          </w:p>
          <w:p>
            <w:pPr>
              <w:spacing w:after="80" w:before="0"/>
              <w:jc w:val="left"/>
            </w:pPr>
            <w:r>
              <w:rPr>
                <w:rFonts w:ascii="Arial" w:cs="Arial" w:eastAsia="Arial" w:hAnsi="Arial"/>
                <w:b w:val="false"/>
                <w:bCs w:val="false"/>
                <w:color w:val="000000"/>
                <w:sz w:val="16"/>
                <w:szCs w:val="16"/>
              </w:rPr>
              <w:t xml:space="preserve">• Browse damage % in &lt;50cm class; planted vs naturally regenerating proportion (%); dominant species or species list (common names at Level 1); invasive species presence Y/N.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Overview of monitoring area from a fixed photograph point established in Year 1 — re-photograph from the exact same position at each visit. This provides the most interpretable visual record of cover change over time. (2) Height class representatives: photograph a typical individual from each height class with a ranging pole visible for scale. (3) Browse damage: photograph browse-damaged individuals in the &lt;50cm class showing the damage pattern.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height class assignment where individuals are growing on mounds or in depressions — always measure height from ground level at the base of the plant to the tip of the highest stem, not from the observer's eye level. Use the ranging pole placed beside the individual at ground level.</w:t>
            </w:r>
          </w:p>
          <w:p>
            <w:pPr>
              <w:spacing w:after="60" w:before="0"/>
              <w:jc w:val="left"/>
            </w:pPr>
            <w:r>
              <w:rPr>
                <w:rFonts w:ascii="Arial" w:cs="Arial" w:eastAsia="Arial" w:hAnsi="Arial"/>
                <w:b w:val="false"/>
                <w:bCs w:val="false"/>
                <w:color w:val="000000"/>
                <w:sz w:val="16"/>
                <w:szCs w:val="16"/>
              </w:rPr>
              <w:t xml:space="preserve">Second error: recording cut stumps of woody plants as absence. In managed or previously managed areas, cut stumps may show coppice regrowth — measure the height of the regrowth, not the stump height. Record coppice regrowth as separate from seedling regeneration in the notes.</w:t>
            </w:r>
          </w:p>
          <w:p>
            <w:pPr>
              <w:spacing w:after="80" w:before="0"/>
              <w:jc w:val="left"/>
            </w:pPr>
            <w:r>
              <w:rPr>
                <w:rFonts w:ascii="Arial" w:cs="Arial" w:eastAsia="Arial" w:hAnsi="Arial"/>
                <w:b w:val="false"/>
                <w:bCs w:val="false"/>
                <w:color w:val="000000"/>
                <w:sz w:val="16"/>
                <w:szCs w:val="16"/>
              </w:rPr>
              <w:t xml:space="preserve">Third error: including bramble and climbing plants in the woody cover estimate. Bramble (Rubus) and climbing species (Clematis, Ivy, Honeysuckle) should be recorded separately from true woody plants (trees and shrubs with persistent stems). They can be ecologically important but are a different measurement category.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All three height classes present with increasing cover over consecutive surveys: functioning successional escalator — woody recovery trajectory confirmed. Connect to Services #11 (Climate regulation) and #30 (Nursery habitat) in field card narrative. Connect to Practice P19 and P20 verification.</w:t>
            </w:r>
          </w:p>
          <w:p>
            <w:pPr>
              <w:spacing w:after="50" w:before="0"/>
              <w:jc w:val="left"/>
            </w:pPr>
            <w:r>
              <w:rPr>
                <w:rFonts w:ascii="Arial" w:cs="Arial" w:eastAsia="Arial" w:hAnsi="Arial"/>
                <w:b w:val="false"/>
                <w:bCs w:val="false"/>
                <w:color w:val="000000"/>
                <w:sz w:val="17"/>
                <w:szCs w:val="17"/>
              </w:rPr>
              <w:t xml:space="preserve">&lt;50cm class present but 50cm–2m class absent after 3+ years: individuals are establishing but not progressing — most likely cause is repeated browsing returning individuals to &lt;50cm before they can escape the browse zone. Review livestock access and management.</w:t>
            </w:r>
          </w:p>
          <w:p>
            <w:pPr>
              <w:spacing w:after="50" w:before="0"/>
              <w:jc w:val="left"/>
            </w:pPr>
            <w:r>
              <w:rPr>
                <w:rFonts w:ascii="Arial" w:cs="Arial" w:eastAsia="Arial" w:hAnsi="Arial"/>
                <w:b w:val="false"/>
                <w:bCs w:val="false"/>
                <w:color w:val="000000"/>
                <w:sz w:val="17"/>
                <w:szCs w:val="17"/>
              </w:rPr>
              <w:t xml:space="preserve">All height classes absent in areas with known seed sources nearby: active suppression confirmed — most likely grazing or cutting. Confirm management history at the visit. Connect to Challenge #19 (Habitat connectivity loss) and B2 Practice P13 recommendation.</w:t>
            </w:r>
          </w:p>
          <w:p>
            <w:pPr>
              <w:spacing w:after="80" w:before="0"/>
              <w:jc w:val="left"/>
            </w:pPr>
            <w:r>
              <w:rPr>
                <w:rFonts w:ascii="Arial" w:cs="Arial" w:eastAsia="Arial" w:hAnsi="Arial"/>
                <w:b w:val="false"/>
                <w:bCs w:val="false"/>
                <w:color w:val="000000"/>
                <w:sz w:val="16"/>
                <w:szCs w:val="16"/>
              </w:rPr>
              <w:t xml:space="preserve">Invasive species dominating the regeneration layer: negative trajectory — native regeneration suppressed by competitive invasive individuals. Cross-reference with Profile 35 (Invasive plant species) for management response.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Last date and type of management event (grazing removal, cutting, mowing) affecting the monitoring area; (2) Livestock species present and approximate stocking density if grazed; (3) Whether protective fencing or tree guards are present and their condition.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 aware of browse-damaged thorny species (blackthorn, hawthorn) at &lt;50cm height — at eye level when crouching to measure. Giant hogweed in regeneration communities: do not approach — record from distance.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Ecdysis 1000 Farms woody regeneration monitoring protocol; Bullock JM et al. (2011)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https://doi.org/10.1016/j.tree.2011.06.011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Point-intercept transect with species-level identification, individual density count by height class, and GPS-mapped distribution of regenerating individuals.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Point-intercept transect with species-level regeneration census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Quantitative woody cover % by height class using point-intercept method; individual density (number of individuals per height class per 100m2); species richness of regenerating woody plants; browse damage index; planted vs naturally regenerating separation.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Establish a 50m transect (or full monitoring area width if shorter). At every 1m point along the transect (51 points), note the presence or absence of woody regeneration in each height class at the intercept point — hold a vertical pole at each point and record any woody stem intercepted at &lt;50cm / 50cm–2m / &gt;2m. Point frequency of interception converts directly to % cover per height class.</w:t>
            </w:r>
          </w:p>
          <w:p>
            <w:pPr>
              <w:spacing w:after="40" w:before="0"/>
              <w:jc w:val="left"/>
            </w:pPr>
            <w:r>
              <w:rPr>
                <w:rFonts w:ascii="Arial" w:cs="Arial" w:eastAsia="Arial" w:hAnsi="Arial"/>
                <w:b w:val="false"/>
                <w:bCs w:val="false"/>
                <w:color w:val="000000"/>
                <w:sz w:val="17"/>
                <w:szCs w:val="17"/>
              </w:rPr>
              <w:t xml:space="preserve">Within the transect belt (50m × 5m), additionally census all individual woody plants by height class and species. Count and record species for each individual. For planted individuals, record species and year of planting if known from records.</w:t>
            </w:r>
          </w:p>
          <w:p>
            <w:pPr>
              <w:spacing w:after="80" w:before="0"/>
              <w:jc w:val="left"/>
            </w:pPr>
            <w:r>
              <w:rPr>
                <w:rFonts w:ascii="Arial" w:cs="Arial" w:eastAsia="Arial" w:hAnsi="Arial"/>
                <w:b w:val="false"/>
                <w:bCs w:val="false"/>
                <w:color w:val="000000"/>
                <w:sz w:val="17"/>
                <w:szCs w:val="17"/>
              </w:rPr>
              <w:t xml:space="preserve">GPS map the distribution of all &gt;2m individuals and any dense patches of &lt;50cm or 50cm–2m cover within the monitoring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50m tape measure; point-intercept pole (1m or 2m rigid pole); GPS; regional field guide for woody plants (seedling and sapling identification);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vascular plant identification skill for common woody plants at seedling and sapling stage. Seedling identification is significantly more challenging than mature plant identification — minimum 1 day supervised training with a local botanist before independent surveying.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 when leaves are fully expanded and seedlings most identifiable. Record date relative to last management event.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before leaf drop; survival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45–60 minutes per 50m transect for full point-intercept and census.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+ 1 autumn recommended for full trajectory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species richness and height class density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Cover metrics (MANDATORY — formerly abiotic indicator A19):</w:t>
            </w:r>
          </w:p>
          <w:p>
            <w:pPr>
              <w:spacing w:after="60" w:before="0"/>
              <w:jc w:val="left"/>
            </w:pPr>
            <w:r>
              <w:rPr>
                <w:rFonts w:ascii="Arial" w:cs="Arial" w:eastAsia="Arial" w:hAnsi="Arial"/>
                <w:b w:val="false"/>
                <w:bCs w:val="false"/>
                <w:color w:val="000000"/>
                <w:sz w:val="16"/>
                <w:szCs w:val="16"/>
              </w:rPr>
              <w:t xml:space="preserve">• Woody cover % per height class (point-intercept derived, 51 points); individual density per height class (individuals per 100m2 of monitoring belt)</w:t>
            </w:r>
          </w:p>
          <w:p>
            <w:pPr>
              <w:spacing w:after="40" w:before="0"/>
              <w:jc w:val="left"/>
            </w:pPr>
            <w:r>
              <w:rPr>
                <w:rFonts w:ascii="Arial" w:cs="Arial" w:eastAsia="Arial" w:hAnsi="Arial"/>
                <w:b/>
                <w:bCs/>
                <w:color w:val="000000"/>
                <w:sz w:val="17"/>
                <w:szCs w:val="17"/>
              </w:rPr>
              <w:t xml:space="preserve">Species metrics:</w:t>
            </w:r>
          </w:p>
          <w:p>
            <w:pPr>
              <w:spacing w:after="80" w:before="0"/>
              <w:jc w:val="left"/>
            </w:pPr>
            <w:r>
              <w:rPr>
                <w:rFonts w:ascii="Arial" w:cs="Arial" w:eastAsia="Arial" w:hAnsi="Arial"/>
                <w:b w:val="false"/>
                <w:bCs w:val="false"/>
                <w:color w:val="000000"/>
                <w:sz w:val="16"/>
                <w:szCs w:val="16"/>
              </w:rPr>
              <w:t xml:space="preserve">• Regenerating woody species richness; species list per height class; browse damage % per species; density of planted vs naturally regenerating individuals.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species identification photographs of seedlings and saplings for each recorded species — these are essential for reviewer verification and year-on-year comparison of species identity.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Species richness increasing in regenerating layer over consecutive surveys: improving landscape seed source availability and reduced suppression — the most comprehensive verification of P19 (planting) and P20 (hedgerow management) practices.</w:t>
            </w:r>
          </w:p>
          <w:p>
            <w:pPr>
              <w:spacing w:after="80" w:before="0"/>
              <w:jc w:val="left"/>
            </w:pPr>
            <w:r>
              <w:rPr>
                <w:rFonts w:ascii="Arial" w:cs="Arial" w:eastAsia="Arial" w:hAnsi="Arial"/>
                <w:b w:val="false"/>
                <w:bCs w:val="false"/>
                <w:color w:val="000000"/>
                <w:sz w:val="16"/>
                <w:szCs w:val="16"/>
              </w:rPr>
              <w:t xml:space="preserve">High density in &lt;50cm but zero density in 50cm–2m despite 3+ years of management: browse pressure exceeds the escape rate for the dominant species present. Assess whether higher browse escape rates of alternative species (less palatable species such as elder, hawthorn) are available as gap fillers.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Crouching for &lt;50cm class point-intercept — be aware of thorny individuals at face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Bullock et al. (2011); Pakeman &amp; Nolan (2009)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https://doi.org/10.1016/j.tree.2011.06.011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GPS-mapped full individual census with connectivity analysis, seedling genetic provenance assessment, and remote sensing-derived cover change mapping across the monitoring landscape.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GPS-mapped full regeneration census with connectivity and provenance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GPS-mapped inventory of all regenerating woody individuals by height class and species; landscape-scale regeneration extent mapping from aerial imagery; genetic provenance analysis (local vs non-local genotypes) from leaf tissue samples; connectivity analysis linking regeneration patches to source populations.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individual census of all regenerating woody plants in the monitoring area — GPS location, height class, species, origin (planted/natural), browse damage. GIS analysis of regeneration patch extent and connectivity to nearest seed source populations. Leaf tissue sampling from 5 individuals per species per height class for microsatellite genotyping to assess local provenance.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GPS (sub-metre); GIS and remote sensing access; leaf press and silica gel for tissue sampling; laboratory access for microsatellite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ecologist for census; GIS analyst for connectivity mapping; molecular ecologist for provenance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for census and leaf tissue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Remote sensing analysis conducted from office.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landscape-scale cover change to be statistically interpretable.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Cover metrics (MANDATORY — formerly abiotic indicator A19):</w:t>
            </w:r>
          </w:p>
          <w:p>
            <w:pPr>
              <w:spacing w:after="60" w:before="0"/>
              <w:jc w:val="left"/>
            </w:pPr>
            <w:r>
              <w:rPr>
                <w:rFonts w:ascii="Arial" w:cs="Arial" w:eastAsia="Arial" w:hAnsi="Arial"/>
                <w:b w:val="false"/>
                <w:bCs w:val="false"/>
                <w:color w:val="000000"/>
                <w:sz w:val="16"/>
                <w:szCs w:val="16"/>
              </w:rPr>
              <w:t xml:space="preserve">• Remote sensing-derived woody cover % per height class at landscape scale; change in total regeneration patch extent between survey years</w:t>
            </w:r>
          </w:p>
          <w:p>
            <w:pPr>
              <w:spacing w:after="40" w:before="0"/>
              <w:jc w:val="left"/>
            </w:pPr>
            <w:r>
              <w:rPr>
                <w:rFonts w:ascii="Arial" w:cs="Arial" w:eastAsia="Arial" w:hAnsi="Arial"/>
                <w:b/>
                <w:bCs/>
                <w:color w:val="000000"/>
                <w:sz w:val="17"/>
                <w:szCs w:val="17"/>
              </w:rPr>
              <w:t xml:space="preserve">Ecological metrics:</w:t>
            </w:r>
          </w:p>
          <w:p>
            <w:pPr>
              <w:spacing w:after="80" w:before="0"/>
              <w:jc w:val="left"/>
            </w:pPr>
            <w:r>
              <w:rPr>
                <w:rFonts w:ascii="Arial" w:cs="Arial" w:eastAsia="Arial" w:hAnsi="Arial"/>
                <w:b w:val="false"/>
                <w:bCs w:val="false"/>
                <w:color w:val="000000"/>
                <w:sz w:val="16"/>
                <w:szCs w:val="16"/>
              </w:rPr>
              <w:t xml:space="preserve">• Regeneration connectivity index to nearest seed source; provenance diversity index (proportion of local genotypes); patch size frequency distribution.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Connectivity increasing between regeneration patches over consecutive surveys: landscape-scale ecological recovery trajectory confirmed. High provenance diversity with predominantly local genotypes: natural regeneration functioning effectively with diverse seed source input.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DNA extraction laboratory safety.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Bullock JM et al. (2011); Pakeman RJ, Nolan AM (2009)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https://doi.org/10.1111/j.1365-2664.2009.01692.x</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Brandle JR, Hodges L, Zhou XH (2004) Windbreaks in North American agricultural systems. Agroforestry Systems 61:65–78.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https://doi.org/10.1023/B:AGFO.0000028990.31801.9c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(climate regulation)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Bullock JM, Aronson J, Newton AC, Pywell RF, Rey-Benayas JM (2011) Restoration of ecosystem services and biodiversity: conflicts and opportunities. Trends in Ecology and Evolution 26:541–549.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https://doi.org/10.1016/j.tree.2011.06.011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 Response timescale; Protocol Levels 1 and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Manning AD, Fischer J, Lindenmayer DB (2006) Scattered trees are keystone structures — implications for conservation. Biological Conservation 132:311–321.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https://doi.org/10.1016/j.biocon.2006.04.023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Linkage C (scattered trees)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Nair PKR (1993) An Introduction to Agroforestry. Kluwer Academic Publishers, Dordrecht.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9780792321248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B2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Pakeman RJ, Nolan AM (2009) Setting prescriptions for vegetation management: a test of the predictive power of plant functional types and traits. Journal of Applied Ecology 46:1050–1059.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https://doi.org/10.1111/j.1365-2664.2009.01692.x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Response timescale;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Poschlod P, WallisDeVries MF (2002) The historical and socioeconomic perspective of calcareous grasslands — lessons from the distant and recent past. Biological Conservation 104:361–376.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https://doi.org/10.1016/S0006-3207(01)00201-4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(landscape mosaic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34 — Woody plant regeneration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5"/>
              <w:szCs w:val="15"/>
            </w:rPr>
            <w:t xml:space="preserve">LAHMP — Profile 34 — Woody plant regeneration</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50BFCB-2C7B-4CA5-BA31-E997CA1246A7}"/>
</file>

<file path=customXml/itemProps2.xml><?xml version="1.0" encoding="utf-8"?>
<ds:datastoreItem xmlns:ds="http://schemas.openxmlformats.org/officeDocument/2006/customXml" ds:itemID="{ED88CB8F-A8E3-4EA8-8294-750A95BCFDA5}"/>
</file>

<file path=customXml/itemProps3.xml><?xml version="1.0" encoding="utf-8"?>
<ds:datastoreItem xmlns:ds="http://schemas.openxmlformats.org/officeDocument/2006/customXml" ds:itemID="{CF2CC144-F9C2-4F00-AAD5-D62F3A7DBC3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2026-04-12T09:53:55Z</dcterms:created>
  <dcterms:modified xsi:type="dcterms:W3CDTF">2026-04-12T09:53:55Z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