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35 — Invasive plant species</w:t>
            </w:r>
          </w:p>
          <w:p>
            <w:pPr>
              <w:spacing w:after="80" w:before="0"/>
              <w:jc w:val="center"/>
            </w:pPr>
            <w:r>
              <w:rPr>
                <w:rFonts w:ascii="Arial" w:cs="Arial" w:eastAsia="Arial" w:hAnsi="Arial"/>
                <w:b w:val="false"/>
                <w:bCs w:val="false"/>
                <w:color w:val="FFFFFF"/>
                <w:sz w:val="16"/>
                <w:szCs w:val="16"/>
              </w:rPr>
              <w:t xml:space="preserve">Category: Vegetation communities  |  Tier: Universal  |  Flora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40" w:before="0"/>
              <w:jc w:val="left"/>
            </w:pPr>
            <w:r>
              <w:rPr>
                <w:rFonts w:ascii="Arial" w:cs="Arial" w:eastAsia="Arial" w:hAnsi="Arial"/>
                <w:b/>
                <w:bCs/>
                <w:color w:val="2E7D32"/>
                <w:sz w:val="16"/>
                <w:szCs w:val="16"/>
              </w:rPr>
              <w:t xml:space="preserve">FLORA PROFILE — Presence and spread mapping variant (Flora Variant Appendix, modification 3, Variant 4).</w:t>
            </w:r>
          </w:p>
          <w:p>
            <w:pPr>
              <w:spacing w:after="60" w:before="0"/>
              <w:jc w:val="left"/>
            </w:pPr>
            <w:r>
              <w:rPr>
                <w:rFonts w:ascii="Arial" w:cs="Arial" w:eastAsia="Arial" w:hAnsi="Arial"/>
                <w:b/>
                <w:bCs/>
                <w:color w:val="C0392B"/>
                <w:sz w:val="16"/>
                <w:szCs w:val="16"/>
              </w:rPr>
              <w:t xml:space="preserve">NOTE: Unlike all other vegetation profiles, a DECLINING trend is the positive ecological outcome for this profile. Increasing invasive cover is a negative indicator.</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invasion ecologists before platform deployment. Note: specific invasive species lists differ by geographic region — this profile provides the framework; regional species lists must be added by the deployment team.</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Regional species lists — the profile references specific invasive species common in temperate Europe and North America (Impatiens glandulifera, Reynoutria japonica, Heracleum mantegazzianum, Fallopia baldschuanica, Conyza canadensis, Ailanthus altissima). These are illustrative examples [geo]. The deployment team must generate region-specific invasive species lists for each deployment context before the monitoring programme generates field cards.</w:t>
            </w:r>
          </w:p>
          <w:p>
            <w:pPr>
              <w:spacing w:after="60" w:before="0"/>
              <w:jc w:val="left"/>
            </w:pPr>
            <w:r>
              <w:rPr>
                <w:rFonts w:ascii="Arial" w:cs="Arial" w:eastAsia="Arial" w:hAnsi="Arial"/>
                <w:b w:val="false"/>
                <w:bCs w:val="false"/>
                <w:color w:val="000000"/>
                <w:sz w:val="16"/>
                <w:szCs w:val="16"/>
              </w:rPr>
              <w:t xml:space="preserve">2. Safety protocols for hazardous invasive species — Giant hogweed (Heracleum mantegazzianum) causes severe phototoxic burns from sap contact. The profile includes safety guidance but reviewer should confirm this is adequately prominent and that equivalent guidance is provided for hazardous invasive species in other regional contexts.</w:t>
            </w:r>
          </w:p>
          <w:p>
            <w:pPr>
              <w:spacing w:after="60" w:before="0"/>
              <w:jc w:val="left"/>
            </w:pPr>
            <w:r>
              <w:rPr>
                <w:rFonts w:ascii="Arial" w:cs="Arial" w:eastAsia="Arial" w:hAnsi="Arial"/>
                <w:b w:val="false"/>
                <w:bCs w:val="false"/>
                <w:color w:val="000000"/>
                <w:sz w:val="16"/>
                <w:szCs w:val="16"/>
              </w:rPr>
              <w:t xml:space="preserve">3. Distinction from arable weed monitoring — some invasive species may also occur as arable weeds (e.g. Fallopia species in crop margins). Reviewer should confirm the boundary between this profile and Profile 27 (Arable field vegetation) for species that are invasive but also common weed species.</w:t>
            </w:r>
          </w:p>
          <w:p>
            <w:pPr>
              <w:spacing w:after="80" w:before="0"/>
              <w:jc w:val="left"/>
            </w:pPr>
            <w:r>
              <w:rPr>
                <w:rFonts w:ascii="Arial" w:cs="Arial" w:eastAsia="Arial" w:hAnsi="Arial"/>
                <w:b w:val="false"/>
                <w:bCs w:val="false"/>
                <w:color w:val="000000"/>
                <w:sz w:val="16"/>
                <w:szCs w:val="16"/>
              </w:rPr>
              <w:t xml:space="preserve">4. Response timescale for management-driven decline [~] — invasive species control outcomes depend heavily on the specific method used and the species biology. Response timescales are approximate ranges. Reviewer should add species-specific notes where evidence is available.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 — FLORA VARIANT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Flora variant applied. Monitoring task type: Biological community composition — presence and spread mapping variant (Variant 4). Area-based mapping of invasive species occurrence and extent. Unlike all other vegetation profiles, a declining trend in cover and occurrence is the positive ecological outcome.</w:t>
            </w:r>
          </w:p>
          <w:p>
            <w:pPr>
              <w:spacing w:after="80" w:before="0"/>
              <w:jc w:val="left"/>
            </w:pPr>
            <w:r>
              <w:rPr>
                <w:rFonts w:ascii="Arial" w:cs="Arial" w:eastAsia="Arial" w:hAnsi="Arial"/>
                <w:b/>
                <w:bCs/>
                <w:color w:val="C0392B"/>
                <w:sz w:val="16"/>
                <w:szCs w:val="16"/>
              </w:rPr>
              <w:t xml:space="preserve">INTERPRETATION REVERSAL:</w:t>
            </w:r>
            <w:r>
              <w:rPr>
                <w:rFonts w:ascii="Arial" w:cs="Arial" w:eastAsia="Arial" w:hAnsi="Arial"/>
                <w:b w:val="false"/>
                <w:bCs w:val="false"/>
                <w:color w:val="000000"/>
                <w:sz w:val="16"/>
                <w:szCs w:val="16"/>
              </w:rPr>
              <w:t xml:space="preserve"> For this profile only — increasing cover = negative outcome; decreasing cover = positive outcome (verification of management effectiveness). Field cards and master document narrative must reflect this reversal explicitly.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Invasive plant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Vegetation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invasive plant species are present in agricultural landscapes globally across all biomes. The specific invasive species differ by geographic region but the monitoring framework is universally applicable. Monitoring is relevant both where invasive species are present (tracking spread or control effectiveness) and where they are absent (confirming management success or detecting early establishment).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the profile is applicable both in the presence of invasive species (area-based spread mapping) and in their confirmed absence (monitoring for early detection). Absence confirmed by structured survey is itself a meaningful monitoring outcome.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Community type description (flora variant)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Non-native plant species with demonstrated capacity to spread aggressively in agricultural landscapes, competitively excluding native vegetation and reducing biodiversity, ecosystem function, and in some cases agricultural productivity. Monitored as individual populations or patches rather than as a plant community — the monitoring target is species-level occurrence, cover, and spread rate. Examples by region (ILLUSTRATIVE ONLY — [geo] for each): Temperate Europe and North America: Impatiens glandulifera (Himalayan balsam), Reynoutria japonica (Japanese knotweed), Heracleum mantegazzianum (Giant hogweed), Fallopia baldschuanica (Russian vine), Conyza canadensis (Canadian fleabane), Ailanthus altissima (Tree of heaven). Tropical and subtropical: Lantana camara, Chromolaena odorata, Leucaena leucocephala, Mikania micrantha. Mediterranean: Carpobrotus spp. (Hottentot fig), Acacia spp., Eucalyptus spp. (in sensitive contexts). All deployments: regional invasive species list must be confirmed by local invasion ecologist before field cards are generated.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 (flora — two roles)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000000"/>
                <w:sz w:val="17"/>
                <w:szCs w:val="17"/>
              </w:rPr>
              <w:t xml:space="preserve">1.  Ecological indicator</w:t>
            </w:r>
            <w:r>
              <w:rPr>
                <w:rFonts w:ascii="Arial" w:cs="Arial" w:eastAsia="Arial" w:hAnsi="Arial"/>
                <w:b w:val="false"/>
                <w:bCs w:val="false"/>
                <w:color w:val="000000"/>
                <w:sz w:val="17"/>
                <w:szCs w:val="17"/>
              </w:rPr>
              <w:t xml:space="preserve"> — invasive species presence, cover, and rate of spread signal the challenge of habitat connectivity loss and vegetation diversity loss. Their spread typically follows disturbance events, connectivity gaps, or management failures that create open niches for establishment.</w:t>
            </w:r>
          </w:p>
          <w:p>
            <w:pPr>
              <w:spacing w:after="80" w:before="0"/>
              <w:jc w:val="left"/>
            </w:pPr>
            <w:r>
              <w:rPr>
                <w:rFonts w:ascii="Arial" w:cs="Arial" w:eastAsia="Arial" w:hAnsi="Arial"/>
                <w:b/>
                <w:bCs/>
                <w:color w:val="000000"/>
                <w:sz w:val="17"/>
                <w:szCs w:val="17"/>
              </w:rPr>
              <w:t xml:space="preserve">2.  Practice verification (INVERTED)</w:t>
            </w:r>
            <w:r>
              <w:rPr>
                <w:rFonts w:ascii="Arial" w:cs="Arial" w:eastAsia="Arial" w:hAnsi="Arial"/>
                <w:b w:val="false"/>
                <w:bCs w:val="false"/>
                <w:color w:val="000000"/>
                <w:sz w:val="17"/>
                <w:szCs w:val="17"/>
              </w:rPr>
              <w:t xml:space="preserve"> — DECLINING invasive species cover and occurrence are the primary biological verification signals for management actions targeting invasive control. This is the only profile in the LAHMP framework where a declining trend is the positive verification outcome.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community composition — presence and spread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Invasive plant species monitoring is the only profile in this framework where the expected positive outcome is a biological reduction rather than a biological increase. Their spread signals active ecological degradation — habitat connectivity loss, vegetation simplification, and the progressive exclusion of native plant communities that support the full food web. Their decline signals effective management. This inversion of the usual monitoring logic is important to communicate clearly to field teams and coordinators: seeing fewer Japanese knotweed clumps this year than last year is the success signal, not a concern.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The monitoring logic for invasive plant species is conceptually simple but practically important: presence and cover are the key metrics; spread rate between surveys is the trajectory indicator; and any confirmed decline following management intervention is practice verification. The challenge is that invasive species monitoring must be species-specific — what to look for, where to look, and what counts as significant spread all depend on the specific species present in the landscape. This profile provides the framework; the deployment team must populate the species-specific content from the regional invasive species list. The most common failure in invasive species monitoring is under-counting due to incomplete survey coverage — this profile addresses this through systematic transect-based presence mapping rather than opportunistic recording.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 (Stage 2 from Year 1). Invasive species cover and occurrence changes are detectable within 1–2 seasons of management intervention. Annual spread rate is the primary trend metric from Year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Population reduction following effective mechanical or chemical management — most annual and biennial invasive species show measurable cover decline within 1 growing season of repeated intervention (Simberloff et al. 2013).</w:t>
            </w:r>
          </w:p>
          <w:p>
            <w:pPr>
              <w:spacing w:after="60" w:before="0"/>
              <w:jc w:val="left"/>
            </w:pPr>
            <w:r>
              <w:rPr>
                <w:rFonts w:ascii="Arial" w:cs="Arial" w:eastAsia="Arial" w:hAnsi="Arial"/>
                <w:b w:val="false"/>
                <w:bCs w:val="false"/>
                <w:color w:val="000000"/>
                <w:sz w:val="17"/>
                <w:szCs w:val="17"/>
              </w:rPr>
              <w:t xml:space="preserve">Medium (2–5 years): Sustained population suppression below the threshold of competitive exclusion of native vegetation. Complete eradication from individual sites may be achievable within 2–5 years for some species; others require multi-decadal management (Simberloff et al. 2013; Pyšek &amp; Richardson 2010).</w:t>
            </w:r>
          </w:p>
          <w:p>
            <w:pPr>
              <w:spacing w:after="60" w:before="0"/>
              <w:jc w:val="left"/>
            </w:pPr>
            <w:r>
              <w:rPr>
                <w:rFonts w:ascii="Arial" w:cs="Arial" w:eastAsia="Arial" w:hAnsi="Arial"/>
                <w:b w:val="false"/>
                <w:bCs w:val="false"/>
                <w:color w:val="000000"/>
                <w:sz w:val="17"/>
                <w:szCs w:val="17"/>
              </w:rPr>
              <w:t xml:space="preserve">Slow (5–20+ years): Community-level recovery of native vegetation following invasive removal in heavily invaded sites — vegetation recovery lags invasive removal by several years in most cases.</w:t>
            </w:r>
          </w:p>
          <w:p>
            <w:pPr>
              <w:spacing w:after="80" w:before="0"/>
              <w:jc w:val="left"/>
            </w:pPr>
            <w:r>
              <w:rPr>
                <w:rFonts w:ascii="Arial" w:cs="Arial" w:eastAsia="Arial" w:hAnsi="Arial"/>
                <w:b w:val="false"/>
                <w:bCs w:val="false"/>
                <w:color w:val="000000"/>
                <w:sz w:val="16"/>
                <w:szCs w:val="16"/>
              </w:rPr>
              <w:t xml:space="preserve">[geo] All timescales are species and climate dependent. Regional invasion ecologists should provide species-specific guidance for each deployment context.</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invasion ecologists. Regional species-specific content must be added by the deployment team.</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facilitate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bCs/>
                <w:color w:val="000000"/>
                <w:sz w:val="16"/>
                <w:szCs w:val="16"/>
              </w:rPr>
              <w:t xml:space="preserve">NOTE:</w:t>
            </w:r>
            <w:r>
              <w:rPr>
                <w:rFonts w:ascii="Arial" w:cs="Arial" w:eastAsia="Arial" w:hAnsi="Arial"/>
                <w:b w:val="false"/>
                <w:bCs w:val="false"/>
                <w:color w:val="000000"/>
                <w:sz w:val="16"/>
                <w:szCs w:val="16"/>
              </w:rPr>
              <w:t xml:space="preserve"> Unlike other profiles, this A1 section describes the pressures that FACILITATE invasive species spread rather than the pressures that harm the monitoring group. These are conditions that the monitoring programme can use to predict where invasive species are most likely to establish.</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How this pressure facilitates invasive species establishment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soil disturbance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disturbance creates open germination niches exploited by invasive species with high seed production and broad germination requirements. Many invasive annuals and perennials are specialist disturbance exploiters. Disturbed field margins and roadsides following cultivation operations are primary invasion fronts (Pyšek &amp; Richardson 2010).</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 — eutrophication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nutrient availability in riparian and wetland zones associated with agricultural nutrient runoff creates competitive conditions favouring fast-growing nitrophilous invasive species (Impatiens glandulifera, Reynoutria japonica, tall herb invasives in temperate Europe). Nutrient-enriched watercourses and margins are primary invasion corridors (Lorenz et al. 2016).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Introduction or spread of invasive species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Direct introduction through agricultural trade, compost, or machinery movement is the primary long-range dispersal pathway for many agricultural invasive species. Monitoring should note any new introduction events in the survey record.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Fragmentation of semi-natural habitats creates isolated patches surrounded by disturbed agricultural matrix — conditions that reduce native species resistance to invasion and increase edge effects where invasive species have competitive advantage.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Invasive species establishment and spread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direct monitoring target of this profile — invasive species cover and spread rate are the primary quantitative indicators of this challenge. Progressive spread signals active challenge worsening; stable or declining cover signals challenge stabilisation or management effectiveness (Pyšek &amp; Richardson 2010; Simberloff et al. 2013).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invasive species populations in field margins, hedgerow bases, and riparian corridors effectively block wildlife movement corridors. Invasive cover in these linear habitat features directly reduces their connectivity function. Invasive species monitoring in connectivity-critical habitats signals the degree to which connectivity is compromised.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invasive species stands create near-monocultures that eliminate native plant diversity from invaded areas. The relationship is direct and well-documented: invasive cover and native species richness are negatively correlated across virtually all invasive-native community comparisons (Pyšek &amp; Richardson 2010).</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 negatively affected by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Note: This section describes services that DECLINE as invasive species spread — unlike other profiles where A3 describes positive service contributions. The profile monitors a negative indicator.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How invasive species reduce this service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Pollination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invasive monocultures (Impatiens, Reynoutria) replace diverse native wildflower communities in field margins and riparian zones, eliminating foraging habitat for wild pollinators. Although some invasive species (Impatiens glandulifera) are visited by pollinators, they provide pollinator resources only during a narrow season and displace the diverse sequential flowering of native communities (Brown &amp; Paxton 2009).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Native wildlife depends on native plant communities for food, nesting material, and habitat structure. Invasive monocultures support markedly reduced invertebrate diversity and abundance compared to equivalent native communities — reducing the food web that supports farmland birds, bats, and other wildlife (Pyšek &amp; Richardson 2010).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 flood mitigation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Some invasive species (Reynoutria japonica) die back in winter, leaving bare bank surfaces exposed to erosion during the high-flow season — paradoxically, while displacing bank-stabilising native vegetation. The seasonal bare soil exposure under invasive die-back increases bank erosion and sediment loading.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Invasive plant species monitoring is relevant across all EFGs — specific invasive species differ by biome and EFG. No EFG is immune to plant invasion in agricultural contexts.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categories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Invasive species monitoring is relevant in all managed land use categories. Highest practical monitoring priority in Cropland and Grassland where invasive species most directly compete with agricultural productivity and biodiversity goals.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Habitat 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Invasive species risk and monitoring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corridors and watercourse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invasion risk and density for most temperate invasive species — watercourses act as invasion corridors dispersing seeds and propagules downstream. Impatiens glandulifera and Reynoutria japonica are almost exclusively associated with watercourses in early invasion phases. Monitor riparian zones with high priority.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margins and hedgerow bases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Second highest priority — disturbed, nutrient-enriched margin strips adjacent to arable fields are invasion fronts for many tall herb invasives. Monitor all margins adjacent to arable fields and livestock access zones.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Grazed pasture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invasive species are unpalatable to livestock (Reynoutria, Heracleum, Ailanthus) — grazing landscapes provide competitive release from native species to invasives. Monitor field edges, sheltered corners, and areas of limited grazing access.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Set-aside and nature recovery areas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Areas left fallow or set aside for nature recovery are at high invasion risk — reduced management and open vegetation create establishment niches. Invasive species monitoring is particularly important in new set-aside areas.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Arable systems with open disturbance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invasive species (Conyza canadensis, Amaranthus spp.) establish rapidly in disturbed arable headlands and follow machinery disturbance corridors. Monitor along tractor routes and field access tracks.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water access points and gateways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Livestock congregate and create poaching at water and gateway areas — these nutrient-enriched, disturbed hotspots are primary establishment zones for some invasive species (Rumex spp. at high density, dock relatives, some Polygonum species).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For this profile, A8 abiotic precursors indicate conditions that PRECEDE invasive establishment rather than recovery. Improving abiotic conditions (declining nitrogen, improving soil structure) should correlate with DECLINING invasive species cover as native vegetation recovers competitive capacity.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Available nitrogen (nitrate-N)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available nitrogen facilitates the establishment and dominance of nitrophilous invasive species (Impatiens glandulifera, Reynoutria japonica, Heracleum mantegazzianum in temperate European contexts). Declining water and soil nitrate should precede and accompany declining invasive cover as nitrogen-dependent competitive advantage is reduced (Lorenz et al. 2016).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erosion features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Actively eroding soil surfaces and disturbed banks are primary invasion fronts for many invasive species. Declining erosion features signal improving soil surface stability that may reduce invasion risk by reducing open germination niches. Erosion feature reduction should precede reduced invasive establishment rate by 1–2 seasons.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nitrate concentration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water nitrate concentration signals reducing eutrophication that facilitates riparian invasive species establishment. Water quality improvement precedes riparian native vegetation recovery (and therefore competitive displacement of invasive species) by 1–3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reduce this group (positive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Unlike all other B1 sections, these practices REDUCE invasive species rather than benefiting them. A practice that reduces invasive cover is a positive management action for this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of invasive species reduction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 and riparian zone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Establishing dense native vegetation buffer strips in high-invasion-risk zones creates competitive resistance to invasive establishment. Native vegetation closure in buffer strips following management improvement competitively displaces annual invasives within 1–3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Minimise synthetic nitrogen fertiliser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Nitrogen input reduction removes the competitive advantage of nitrophilous invasive species in the nutrient-enriched niche, enabling native vegetation to recover competitive capacity.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verified through DECLINING invasive cover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80" w:before="0"/>
              <w:jc w:val="left"/>
            </w:pPr>
            <w:r>
              <w:rPr>
                <w:rFonts w:ascii="Arial" w:cs="Arial" w:eastAsia="Arial" w:hAnsi="Arial"/>
                <w:b/>
                <w:bCs/>
                <w:color w:val="C0392B"/>
                <w:sz w:val="16"/>
                <w:szCs w:val="16"/>
              </w:rPr>
              <w:t xml:space="preserve">⚠  INTERPRETATION REVERSAL for this profile:</w:t>
            </w:r>
            <w:r>
              <w:rPr>
                <w:rFonts w:ascii="Arial" w:cs="Arial" w:eastAsia="Arial" w:hAnsi="Arial"/>
                <w:b w:val="false"/>
                <w:bCs w:val="false"/>
                <w:color w:val="000000"/>
                <w:sz w:val="16"/>
                <w:szCs w:val="16"/>
              </w:rPr>
              <w:t xml:space="preserve"> A DECLINING trend in invasive species cover and occurrence is the positive verification outcome.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C0392B" w:sz="1"/>
              <w:left w:val="single" w:color="C0392B" w:sz="1"/>
              <w:bottom w:val="single" w:color="C0392B" w:sz="1"/>
              <w:right w:val="single" w:color="C0392B" w:sz="1"/>
            </w:tcBorders>
            <w:shd w:fill="C0392B"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 — DECLINING = POSITIVE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P29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Invasive species control (where available as a practice)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The primary direct practice for invasive species management — mechanical removal, cutting, herbicide treatment, or grazing management specifically targeting invasive species populations. Declining invasive cover and occurrence in the seasons following control operations is the direct biological verification signal.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Invasive cover declines measurably within 1–2 seasons of effective control (method-dependent); populations suppressed below competitive exclusion threshold within 2–5 years of sustained management; long-term monitoring is essential — many invasive species require multi-year sustained management for durable population reduction.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NOTE to developer: This profile's Step 4 field card 'What it means' section must be written with explicit acknowledgement that the direction of change for this indicator is inverted relative to all other biological monitoring indicators in the programme. A declining trend is the positive outcome — this must be clearly stated on the field card to prevent misinterpretation.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29 — Field margin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 (competitive)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invasive species populations in field margins directly suppress native margin forb communities — the primary biodiversity outcome of Profile 29 monitoring. Invasive species control (Profile 35 management) directly enables native margin vegetation recovery (Profile 29 positive trajectory). The two profiles should be assessed together in any monitoring programme that includes margin vegetation as a biodiversity target.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31 — Aquatic and riparian vegetation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 (competitive)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invasive species (Impatiens, Reynoutria, Heracleum) compete directly with native aquatic and riparian plant communities monitored under Profile 31. Invasive decline enables riparian vegetation recovery. Where both profiles are in the monitoring programme, the invasive species cover metric from Profile 35 provides direct context for interpreting the Profile 31 submerged macrophyte and buffer zone species trends.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 — Wild bees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 (inverted)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Dense invasive monocultures reduce wild bee habitat by displacing diverse native flowering communities. Invasive species decline correlates with native forb recovery (Profile 29 and 31) which in turn supports wild bee community recovery (Profile 14). The three-profile cascade (35→29→14) represents a complete food chain from management action to pollinator service delivery.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invasion ecologists.</w:t>
            </w:r>
          </w:p>
          <w:p>
            <w:pPr>
              <w:spacing w:after="80" w:before="0"/>
              <w:jc w:val="left"/>
            </w:pPr>
            <w:r>
              <w:rPr>
                <w:rFonts w:ascii="Arial" w:cs="Arial" w:eastAsia="Arial" w:hAnsi="Arial"/>
                <w:b/>
                <w:bCs/>
                <w:color w:val="C0392B"/>
                <w:sz w:val="16"/>
                <w:szCs w:val="16"/>
              </w:rPr>
              <w:t xml:space="preserve">REGIONAL SPECIES LIST REQUIRED:</w:t>
            </w:r>
            <w:r>
              <w:rPr>
                <w:rFonts w:ascii="Arial" w:cs="Arial" w:eastAsia="Arial" w:hAnsi="Arial"/>
                <w:b w:val="false"/>
                <w:bCs w:val="false"/>
                <w:color w:val="000000"/>
                <w:sz w:val="16"/>
                <w:szCs w:val="16"/>
              </w:rPr>
              <w:t xml:space="preserve"> Before field cards are generated for this profile, the deployment team must populate a regional invasive species list and add it to the knowledge base. The species list determines what observers are looking for and what photographic identification reference materials are needed. The framework protocols below are species-agnostic.</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Presence mapping — observer surveys the monitoring area recording invasive species locations, estimated cover, and spread evidence. Species identification from photographic reference cards provided at programme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Invasive species presence and area mapping — community observer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Presence/absence of each target invasive species in the monitoring area; estimated cover class per species where present; evidence of spread or decline since last survey; GPS-mapped locations of new occurrences.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Walk the full monitoring area boundary and representative internal transects at 50m intervals. Carry the regional invasive species photographic reference card for the deployment area.</w:t>
            </w:r>
          </w:p>
          <w:p>
            <w:pPr>
              <w:spacing w:after="40" w:before="0"/>
              <w:jc w:val="left"/>
            </w:pPr>
            <w:r>
              <w:rPr>
                <w:rFonts w:ascii="Arial" w:cs="Arial" w:eastAsia="Arial" w:hAnsi="Arial"/>
                <w:b w:val="false"/>
                <w:bCs w:val="false"/>
                <w:color w:val="000000"/>
                <w:sz w:val="17"/>
                <w:szCs w:val="17"/>
              </w:rPr>
              <w:t xml:space="preserve">2. At each invasive species occurrence: (a) Identify species to the regional reference card; (b) GPS-mark the location; (c) Estimate patch area: point occurrence (&lt;1m2) / small patch (1–10m2) / moderate patch (10–100m2) / large stand (&gt;100m2); (d) Estimate cover density within the patch: sparse (&lt;25%) / moderate (25–75%) / dense (&gt;75%); (e) Note evidence of management (cut stems, herbicide application, mechanical disturbance).</w:t>
            </w:r>
          </w:p>
          <w:p>
            <w:pPr>
              <w:spacing w:after="80" w:before="0"/>
              <w:jc w:val="left"/>
            </w:pPr>
            <w:r>
              <w:rPr>
                <w:rFonts w:ascii="Arial" w:cs="Arial" w:eastAsia="Arial" w:hAnsi="Arial"/>
                <w:b w:val="false"/>
                <w:bCs w:val="false"/>
                <w:color w:val="000000"/>
                <w:sz w:val="17"/>
                <w:szCs w:val="17"/>
              </w:rPr>
              <w:t xml:space="preserve">3. Compare GPS locations with previous survey records — note: new occurrences (first detection at this location) / expanding patches (larger than previous record) / stable patches / declining patches (smaller than previous record, or absent where previously recorded).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Regional invasive species photographic reference card (produced by deployment team); GPS receiver (smartphone adequate);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with a 1-hour briefing on the 5–10 target invasive species for the deployment region, using photographic reference cards. Species identification for presence/absence mapping is achievable at community observer level for most common invasive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peak growth when most invasive species are most identifiable and cover is maximally expressed. For giant hogweed: assess in May–June [geo] when plants are recognisable by leaf shape before they become dangerously tall. For Reynoutria: assess in July–August when shoots are fully developed.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Early autumn — for detecting late-season invasive species (Conyza, some Fallopia in seed) and assessing management outcome from summer control operations.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Variable — depends on monitoring area size and invasive species density. Allow 30–60 minutes for a typical 1ha monitoring area at survey speed.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 primary spring/early summer and secondary autumn visits.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Annual from Year 1 — spread rate is the primary metric and requires annual data from the beginning of the programme.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Invasive species occurrence count (number of GPS-marked occurrences per species); total estimated invaded area (m2) per species; trajectory per occurrence (new / expanding / stable / declining / absent); spread rate (change in total invaded area between surveys).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Species identification shot: photograph each invasive species occurrence showing the key identification features (leaf shape, flower, stem). Include a ruler or common object for scale. (2) Patch extent shot: wider photograph showing the full extent of each patch from the edge — take from a fixed orientation for comparison across years. (3) Spread evidence: photograph any new shoot emergence, seedling establishment, or extension of existing patches. Store all photographs with GPS coordinates and date.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invasive species with similar native species. Each regional photographic reference card must include comparison photographs showing the key diagnostic features distinguishing invasive from native look-alike species. For Reynoutria japonica: distinctive shovel-shaped leaf with flat base; for Impatiens glandulifera: distinctive pink/purple orchid-like flowers with hollow stem; for Heracleum mantegazzianum: enormous leaves (&gt;1m) with white flower umbels — larger than any native Heracleum in temperate Europe.</w:t>
            </w:r>
          </w:p>
          <w:p>
            <w:pPr>
              <w:spacing w:after="60" w:before="0"/>
              <w:jc w:val="left"/>
            </w:pPr>
            <w:r>
              <w:rPr>
                <w:rFonts w:ascii="Arial" w:cs="Arial" w:eastAsia="Arial" w:hAnsi="Arial"/>
                <w:b/>
                <w:bCs/>
                <w:color w:val="C0392B"/>
                <w:sz w:val="16"/>
                <w:szCs w:val="16"/>
              </w:rPr>
              <w:t xml:space="preserve">⚠  SAFETY — Giant hogweed (Heracleum mantegazzianum):</w:t>
            </w:r>
            <w:r>
              <w:rPr>
                <w:rFonts w:ascii="Arial" w:cs="Arial" w:eastAsia="Arial" w:hAnsi="Arial"/>
                <w:b w:val="false"/>
                <w:bCs w:val="false"/>
                <w:color w:val="000000"/>
                <w:sz w:val="16"/>
                <w:szCs w:val="16"/>
              </w:rPr>
              <w:t xml:space="preserve"> Never approach or touch giant hogweed plants. The sap causes severe phototoxic burns on skin exposed to sunlight — burns can require hospital treatment. Record from minimum 3m distance. Photograph using zoom. Wear long-sleeved clothing and avoid any sap contact.</w:t>
            </w:r>
          </w:p>
          <w:p>
            <w:pPr>
              <w:spacing w:after="80" w:before="0"/>
              <w:jc w:val="left"/>
            </w:pPr>
            <w:r>
              <w:rPr>
                <w:rFonts w:ascii="Arial" w:cs="Arial" w:eastAsia="Arial" w:hAnsi="Arial"/>
                <w:b w:val="false"/>
                <w:bCs w:val="false"/>
                <w:color w:val="000000"/>
                <w:sz w:val="16"/>
                <w:szCs w:val="16"/>
              </w:rPr>
              <w:t xml:space="preserve">Third error: recording plants outside the monitoring area boundary. Only record invasive species within the defined monitoring area boundary — occurrences outside the boundary should be noted separately as 'landscape context observation' but not counted in the monitoring metrics.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C0392B"/>
                <w:sz w:val="16"/>
                <w:szCs w:val="16"/>
              </w:rPr>
              <w:t xml:space="preserve">⚠  INVERTED INTERPRETATION:</w:t>
            </w:r>
            <w:r>
              <w:rPr>
                <w:rFonts w:ascii="Arial" w:cs="Arial" w:eastAsia="Arial" w:hAnsi="Arial"/>
                <w:b w:val="false"/>
                <w:bCs w:val="false"/>
                <w:color w:val="000000"/>
                <w:sz w:val="16"/>
                <w:szCs w:val="16"/>
              </w:rPr>
              <w:t xml:space="preserve"> Declining invasive cover and occurrence is the positive outcome. Increasing cover is the negative trend.</w:t>
            </w:r>
          </w:p>
          <w:p>
            <w:pPr>
              <w:spacing w:after="50" w:before="0"/>
              <w:jc w:val="left"/>
            </w:pPr>
            <w:r>
              <w:rPr>
                <w:rFonts w:ascii="Arial" w:cs="Arial" w:eastAsia="Arial" w:hAnsi="Arial"/>
                <w:b w:val="false"/>
                <w:bCs w:val="false"/>
                <w:color w:val="000000"/>
                <w:sz w:val="17"/>
                <w:szCs w:val="17"/>
              </w:rPr>
              <w:t xml:space="preserve">New occurrence detected (first survey detection at a location): early establishment — highest management priority. Immediate response within the same growing season gives the best eradication probability. Connect to Challenge #29 (Invasive species establishment) and recommend immediate management response.</w:t>
            </w:r>
          </w:p>
          <w:p>
            <w:pPr>
              <w:spacing w:after="50" w:before="0"/>
              <w:jc w:val="left"/>
            </w:pPr>
            <w:r>
              <w:rPr>
                <w:rFonts w:ascii="Arial" w:cs="Arial" w:eastAsia="Arial" w:hAnsi="Arial"/>
                <w:b w:val="false"/>
                <w:bCs w:val="false"/>
                <w:color w:val="000000"/>
                <w:sz w:val="17"/>
                <w:szCs w:val="17"/>
              </w:rPr>
              <w:t xml:space="preserve">Expanding patches across multiple survey points: active invasion front — management resources required. Calculate spread rate (m2/year) to quantify the management urgency. Connect to Challenge #19 (Habitat connectivity loss).</w:t>
            </w:r>
          </w:p>
          <w:p>
            <w:pPr>
              <w:spacing w:after="80" w:before="0"/>
              <w:jc w:val="left"/>
            </w:pPr>
            <w:r>
              <w:rPr>
                <w:rFonts w:ascii="Arial" w:cs="Arial" w:eastAsia="Arial" w:hAnsi="Arial"/>
                <w:b w:val="false"/>
                <w:bCs w:val="false"/>
                <w:color w:val="000000"/>
                <w:sz w:val="16"/>
                <w:szCs w:val="16"/>
              </w:rPr>
              <w:t xml:space="preserve">All monitored occurrences stable or declining: management is effective — positive verification signal. Confirm in master document as evidence that invasive species control practice is working.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Any management operations targeting invasive species since last survey (mechanical removal, herbicide, cutting dates); (2) Any new suspected invasion pathways (new machinery access, watercourse flooding, imported compost or soil); (3) Whether monitoring area has experienced any disturbance events (flooding, fire, heavy livestock use) that may have created new establishment niches.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C0392B"/>
                <w:sz w:val="16"/>
                <w:szCs w:val="16"/>
              </w:rPr>
              <w:t xml:space="preserve">⚠  Giant hogweed (Heracleum mantegazzianum):</w:t>
            </w:r>
            <w:r>
              <w:rPr>
                <w:rFonts w:ascii="Arial" w:cs="Arial" w:eastAsia="Arial" w:hAnsi="Arial"/>
                <w:b w:val="false"/>
                <w:bCs w:val="false"/>
                <w:color w:val="000000"/>
                <w:sz w:val="16"/>
                <w:szCs w:val="16"/>
              </w:rPr>
              <w:t xml:space="preserve"> Never approach or touch. Record from distance. Contact the relevant local authority or landowner immediately when detected — in many jurisdictions this species is a statutory notifiable invasive. [geo — check national regulations]</w:t>
            </w:r>
          </w:p>
          <w:p>
            <w:pPr>
              <w:spacing w:after="60" w:before="0"/>
              <w:jc w:val="left"/>
            </w:pPr>
            <w:r>
              <w:rPr>
                <w:rFonts w:ascii="Arial" w:cs="Arial" w:eastAsia="Arial" w:hAnsi="Arial"/>
                <w:b w:val="false"/>
                <w:bCs w:val="false"/>
                <w:color w:val="000000"/>
                <w:sz w:val="16"/>
                <w:szCs w:val="16"/>
              </w:rPr>
              <w:t xml:space="preserve">Japanese knotweed (Reynoutria japonica): waste material from knotweed control is notifiable in many jurisdictions — do not move cut material. Advise landowner of legal requirements before management begins. [geo — check national regulations]</w:t>
            </w:r>
          </w:p>
          <w:p>
            <w:pPr>
              <w:spacing w:after="80" w:before="0"/>
              <w:jc w:val="left"/>
            </w:pPr>
            <w:r>
              <w:rPr>
                <w:rFonts w:ascii="Arial" w:cs="Arial" w:eastAsia="Arial" w:hAnsi="Arial"/>
                <w:b w:val="false"/>
                <w:bCs w:val="false"/>
                <w:color w:val="000000"/>
                <w:sz w:val="16"/>
                <w:szCs w:val="16"/>
              </w:rPr>
              <w:t xml:space="preserve">Himalayan balsam (Impatiens glandulifera): explosive seed pods — when pulling plants, contain seed heads in bags before removal. Do not shake plants near watercourses.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Simberloff D et al. (2013) Impacts of biological invasions — see References; regional invasive species control guidance from national or regional invasive species authorities.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https://doi.org/10.1016/j.tree.2012.07.013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Quantitative cover transect with species-level identification, GPS-mapped patch boundary survey, and spread vector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invasive species cover assessment with GPS patch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Quantitative cover % per invasive species per monitoring zone using systematic transect; GPS-mapped patch boundaries for precise area calculation; spread vector identification (watercourse / machinery / animal / wind).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Systematic belt transects at 25m intervals across the monitoring area (or along the full length of linear monitoring zones — riparian strips, field margins). At each 10m point along each transect, record: invasive species present within 2m of transect line (species, cover class, patch boundary GPS coordinate). Map patch boundaries by GPS walking the full perimeter of each patch. Calculate total invaded area from GPS-derived patch polygon areas. Record spread vectors: evidence of upstream seed dispersal (watercourse origin), machinery track origin, or point introduction.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 (sub-metre preferred for patch boundary mapping); species-level invasive identification guide (regional); transect tape; field datasheet;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species-level identification skill for target invasive species and experience with GPS patch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early summer — peak growth for most target invasive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spread rate assessment; management outcome evaluation.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1–3 hours per monitoring area depending on size and invasive species density.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Annual from Year 1. Spread rate requires at minimum 3 years of data for reliable trend.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Invasive cover % per species per monitoring zone (transect-derived); total invaded area (m2) per species (GPS patch area); annual spread rate (m2/year); invasion front extent (linear metres of monitoring zone invaded).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All Level 1 photographs plus: GPS-tracked patch boundary walk documented with fixed-interval photographs; comparison photographs from the same fixed points as previous survey for visual spread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bCs/>
                <w:color w:val="C0392B"/>
                <w:sz w:val="16"/>
                <w:szCs w:val="16"/>
              </w:rPr>
              <w:t xml:space="preserve">⚠  INVERTED INTERPRETATION:</w:t>
            </w:r>
            <w:r>
              <w:rPr>
                <w:rFonts w:ascii="Arial" w:cs="Arial" w:eastAsia="Arial" w:hAnsi="Arial"/>
                <w:b w:val="false"/>
                <w:bCs w:val="false"/>
                <w:color w:val="000000"/>
                <w:sz w:val="16"/>
                <w:szCs w:val="16"/>
              </w:rPr>
              <w:t xml:space="preserve"> Declining total invaded area and spread rate are positive indicators.</w:t>
            </w:r>
          </w:p>
          <w:p>
            <w:pPr>
              <w:spacing w:after="50" w:before="0"/>
              <w:jc w:val="left"/>
            </w:pPr>
            <w:r>
              <w:rPr>
                <w:rFonts w:ascii="Arial" w:cs="Arial" w:eastAsia="Arial" w:hAnsi="Arial"/>
                <w:b w:val="false"/>
                <w:bCs w:val="false"/>
                <w:color w:val="000000"/>
                <w:sz w:val="17"/>
                <w:szCs w:val="17"/>
              </w:rPr>
              <w:t xml:space="preserve">Total invaded area declining by &gt;25% between consecutive surveys: effective management — direct verification of P29 (invasive control). Record management method and connect to master document as evidence of practice effectiveness.</w:t>
            </w:r>
          </w:p>
          <w:p>
            <w:pPr>
              <w:spacing w:after="80" w:before="0"/>
              <w:jc w:val="left"/>
            </w:pPr>
            <w:r>
              <w:rPr>
                <w:rFonts w:ascii="Arial" w:cs="Arial" w:eastAsia="Arial" w:hAnsi="Arial"/>
                <w:b w:val="false"/>
                <w:bCs w:val="false"/>
                <w:color w:val="000000"/>
                <w:sz w:val="16"/>
                <w:szCs w:val="16"/>
              </w:rPr>
              <w:t xml:space="preserve">Spread rate &gt;100m2/year [~] in any monitored zone: active invasion front — management escalation needed. Calculate the trajectory to full zone domination to communicate urgency to land manager.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with additions: for GPS patch boundary mapping of hazardous species — use rangefinder or binoculars to estimate patch boundaries from a safe distance rather than walking into giant hogweed stands. Dispose of any pulled plant material according to local regulations.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Pyšek P, Richardson DM (2010); Simberloff et al. (2013)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https://doi.org/10.1016/j.tree.2012.07.013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Population genetics and remote sensing-integrated monitoring — identifying invasion pathways, propagule pressure, and landscape-scale invasion extent from satellite or aerial imagery.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Remote sensing patch mapping with population genetics invasion pathway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Landscape-scale invaded area from multispectral imagery (where invasive species are spectrally separable); population genetic structure to identify invasion pathways and source populations; propagule pressure assessment from upstream and adjacent source populations.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Multispectral imagery analysis (drone or satellite) combined with spectral library of target invasive species for automated patch detection and area calculation across the full landscape unit. Tissue sampling from 5–10 individuals per patch for microsatellite genotyping — identify genetic clusters corresponding to separate introduction events versus clonal spread from a single origin.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Multispectral drone or satellite imagery access; spectral analysis software; tissue sampling and genotyping laboratory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Remote sensing analyst; molecular ecologist; invasion biologist.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Annual imagery acquisition; spring tissue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landscape-scale spread trend and genetic diversity trajectory.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invaded area (ha) across the landscape unit (remote sensing derived); genetic diversity per patch (number of genets vs clonal individuals); source population identification; propagule pressure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Declining total landscape-area invaded and declining genetic diversity within patches (increased clonality indicating no new introductions): management is succeeding at the landscape scale. New genetic clusters detected: new introduction event confirmed — immediate investigation of pathway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2. Remote sensing avoids direct contact with hazardous species. Drone use subject to national aviation regulations.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Simberloff et al. (2013); Pyšek &amp; Richardson (2010)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https://doi.org/10.1007/s10530-010-9700-7</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URL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Brown MJF, Paxton RJ (2009) The conservation of bees: a global perspective. Apidologie 40:410–416.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https://doi.org/10.1051/apido/2009019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Lorenz AW, Korte T, Sundermann A, Januschke K, Haase P (2016) Macrophytes respond to reach-scale river restoration. Journal of Applied Ecology 49:202–212.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https://doi.org/10.1111/j.1365-2664.2011.02082.x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Pyšek P, Richardson DM (2010) Invasive species, environmental change and management, and health. Annual Review of Environment and Resources 35:25–55.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https://doi.org/10.1146/annurev-environ-033009-095548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B2; Response timescale;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Simberloff D, Martin JL, Genovesi P, Maris V, Wardle DA, Aronson J, et al. (2013) Impacts of biological invasions: what's what and the way forward. Trends in Ecology and Evolution 28:58–66.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https://doi.org/10.1016/j.tree.2012.07.013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B2; Response timescale; Protocol Levels 1 and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C0392B"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35 — Invasive plant species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C0392B" w:sz="3"/>
          </w:tcBorders>
          <w:tcMar>
            <w:bottom w:type="dxa" w:w="60"/>
          </w:tcMar>
        </w:tcPr>
        <w:p>
          <w:pPr>
            <w:spacing w:after="80" w:before="0"/>
            <w:jc w:val="left"/>
          </w:pPr>
          <w:r>
            <w:rPr>
              <w:rFonts w:ascii="Arial" w:cs="Arial" w:eastAsia="Arial" w:hAnsi="Arial"/>
              <w:b w:val="false"/>
              <w:bCs w:val="false"/>
              <w:color w:val="C0392B"/>
              <w:sz w:val="15"/>
              <w:szCs w:val="15"/>
            </w:rPr>
            <w:t xml:space="preserve">LAHMP — Profile 35 — Invasive plant species</w:t>
          </w:r>
        </w:p>
      </w:tc>
      <w:tc>
        <w:tcPr>
          <w:tcBorders>
            <w:bottom w:val="single" w:color="C0392B"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99C4E5-4FC8-4865-AD00-4DC27C00A654}"/>
</file>

<file path=customXml/itemProps2.xml><?xml version="1.0" encoding="utf-8"?>
<ds:datastoreItem xmlns:ds="http://schemas.openxmlformats.org/officeDocument/2006/customXml" ds:itemID="{17580013-7BB9-45FF-BB8C-05303578E1E8}"/>
</file>

<file path=customXml/itemProps3.xml><?xml version="1.0" encoding="utf-8"?>
<ds:datastoreItem xmlns:ds="http://schemas.openxmlformats.org/officeDocument/2006/customXml" ds:itemID="{81CCD415-9D75-446D-9FF0-41443065ED5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2026-04-12T10:23:42Z</dcterms:created>
  <dcterms:modified xsi:type="dcterms:W3CDTF">2026-04-12T10:23:42Z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