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2"/>
                <w:szCs w:val="22"/>
              </w:rPr>
              <w:t xml:space="preserve">Profile 36 — Permanent crop and orchard understory vegetation</w:t>
            </w:r>
          </w:p>
          <w:p>
            <w:pPr>
              <w:spacing w:after="80" w:before="0"/>
              <w:jc w:val="center"/>
            </w:pPr>
            <w:r>
              <w:rPr>
                <w:rFonts w:ascii="Arial" w:cs="Arial" w:eastAsia="Arial" w:hAnsi="Arial"/>
                <w:b w:val="false"/>
                <w:bCs w:val="false"/>
                <w:color w:val="FFFFFF"/>
                <w:sz w:val="16"/>
                <w:szCs w:val="16"/>
              </w:rPr>
              <w:t xml:space="preserve">Category: Vegetation communities  |  Tier: Universal  |  Flora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40" w:before="0"/>
              <w:jc w:val="left"/>
            </w:pPr>
            <w:r>
              <w:rPr>
                <w:rFonts w:ascii="Arial" w:cs="Arial" w:eastAsia="Arial" w:hAnsi="Arial"/>
                <w:b/>
                <w:bCs/>
                <w:color w:val="2E7D32"/>
                <w:sz w:val="16"/>
                <w:szCs w:val="16"/>
              </w:rPr>
              <w:t xml:space="preserve">FLORA PROFILE — Community composition survey variant (Flora Variant Appendix, modification 3, Variant 1).</w:t>
            </w:r>
          </w:p>
          <w:p>
            <w:pPr>
              <w:spacing w:after="60" w:before="0"/>
              <w:jc w:val="left"/>
            </w:pPr>
            <w:r>
              <w:rPr>
                <w:rFonts w:ascii="Arial" w:cs="Arial" w:eastAsia="Arial" w:hAnsi="Arial"/>
                <w:b/>
                <w:bCs/>
                <w:color w:val="C0392B"/>
                <w:sz w:val="16"/>
                <w:szCs w:val="16"/>
              </w:rPr>
              <w:t xml:space="preserve">CANOPY COVER MANDATORY — tree canopy cover % above the survey plot is a required contextual parameter recorded alongside all community composition data.</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orchard and permanent crop management specialists before platform deployment. Note: this profile covers the understory community only — the crop trees themselves are not a monitoring target here.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Crop system diversity — this profile must cover a wide range of permanent crop systems: temperate orchards (apple, pear, cherry), Mediterranean crops (olive, citrus, almond), tropical crops (coffee, cocoa, avocado, mango), and viticulture. The monitoring approach is designed to be applicable across all of these but the specific species that indicate high-quality understory communities differ substantially by system and region. Reviewer should confirm whether region-specific interpretation guidance notes are needed.</w:t>
            </w:r>
          </w:p>
          <w:p>
            <w:pPr>
              <w:spacing w:after="60" w:before="0"/>
              <w:jc w:val="left"/>
            </w:pPr>
            <w:r>
              <w:rPr>
                <w:rFonts w:ascii="Arial" w:cs="Arial" w:eastAsia="Arial" w:hAnsi="Arial"/>
                <w:b w:val="false"/>
                <w:bCs w:val="false"/>
                <w:color w:val="000000"/>
                <w:sz w:val="16"/>
                <w:szCs w:val="16"/>
              </w:rPr>
              <w:t xml:space="preserve">2. Canopy cover as contextual parameter — unlike the other four canopy cover profiles (30, 31, 33, 34), this profile records tree canopy cover as a contextual parameter rather than as the primary monitoring target. This distinction affects how the canopy cover data is used in the Step 4 field card — it informs interpretation of the understory community data rather than being reported as a primary ecological condition indicator. Reviewer should confirm whether this distinction is appropriately communicated in the Layer 2 protocols.</w:t>
            </w:r>
          </w:p>
          <w:p>
            <w:pPr>
              <w:spacing w:after="60" w:before="0"/>
              <w:jc w:val="left"/>
            </w:pPr>
            <w:r>
              <w:rPr>
                <w:rFonts w:ascii="Arial" w:cs="Arial" w:eastAsia="Arial" w:hAnsi="Arial"/>
                <w:b w:val="false"/>
                <w:bCs w:val="false"/>
                <w:color w:val="000000"/>
                <w:sz w:val="16"/>
                <w:szCs w:val="16"/>
              </w:rPr>
              <w:t xml:space="preserve">3. High-density modern orchards (trellis systems, espalier) — modern high-density planting systems create very different canopy cover patterns than traditional standard orchards. The monitoring quadrat placement and canopy cover measurement methodology may need adaptation for these systems. Reviewer should flag whether separate protocol notes are needed.</w:t>
            </w:r>
          </w:p>
          <w:p>
            <w:pPr>
              <w:spacing w:after="80" w:before="0"/>
              <w:jc w:val="left"/>
            </w:pPr>
            <w:r>
              <w:rPr>
                <w:rFonts w:ascii="Arial" w:cs="Arial" w:eastAsia="Arial" w:hAnsi="Arial"/>
                <w:b w:val="false"/>
                <w:bCs w:val="false"/>
                <w:color w:val="000000"/>
                <w:sz w:val="16"/>
                <w:szCs w:val="16"/>
              </w:rPr>
              <w:t xml:space="preserve">4. Vineyard inter-row strips — viticulture is a major permanent crop system globally. The understory community in vineyard inter-rows is ecologically significant but management-intensity varies enormously. Reviewer should confirm whether vineyard inter-row monitoring is sufficiently addressed by this profile or requires a note on system-specific adaptations.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 — FLORA VARIANT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Flora variant applied. Monitoring task type: Biological community composition — community composition survey variant (Variant 1). Quadrat-based species and cover assessment in the inter-row strip. Tree canopy cover % is a mandatory contextual parameter recorded at each quadrat alongside the understory data — it is not the primary biological monitoring target for this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Permanent crop and orchard understory vegetation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Vegetation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applicable wherever permanent crop systems with a managed or unmanaged inter-row zone are present. Relevant for: temperate orchards (apple, pear, cherry, plum), Mediterranean crops (olive, almond, citrus, carob), viticulture (vine inter-rows), tropical and subtropical tree crops (coffee, cocoa, avocado, mango, macadamia), nut orchards (walnut, hazelnut), and silvo-arable agroforestry with inter-row crops.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Permanent crop system with inter-row or under-canopy space available for understory community development. Not applicable in systems with fully sealed soil surfaces (concrete or gravel inter-rows throughout) — though even a 0.5m grass strip at the row edge qualifies for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Community type description (flora variant)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Herbaceous and low shrub plant communities occupying the inter-row strips, under-canopy zones, and headland areas within permanent crop systems. The monitoring target is the vegetative layer below the crop tree canopy — not the crop trees themselves. Community composition ranges from: (1) species-poor grass monoculture (dominated by Poa annua, annual grasses) or bare soil under clean cultivation or herbicide management; (2) improved grass sward (Lolium-dominated, maintained by mowing); (3) mixed grass-forb sward (naturalistic inter-row with flowers); (4) species-rich wildflower understory (highest ecological value — multiple forb species providing sequential flowering for pollinators through the season). The monitoring tracks transition along this gradient in response to management change.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 (flora — three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000000"/>
                <w:sz w:val="17"/>
                <w:szCs w:val="17"/>
              </w:rPr>
              <w:t xml:space="preserve">1.  Ecological indicator</w:t>
            </w:r>
            <w:r>
              <w:rPr>
                <w:rFonts w:ascii="Arial" w:cs="Arial" w:eastAsia="Arial" w:hAnsi="Arial"/>
                <w:b w:val="false"/>
                <w:bCs w:val="false"/>
                <w:color w:val="000000"/>
                <w:sz w:val="17"/>
                <w:szCs w:val="17"/>
              </w:rPr>
              <w:t xml:space="preserve"> — understory forb species richness and flowering plant cover integrate the management intensity of the inter-row zone and indicate habitat quality for pollinators and natural enemies of crop pests.</w:t>
            </w:r>
          </w:p>
          <w:p>
            <w:pPr>
              <w:spacing w:after="60" w:before="0"/>
              <w:jc w:val="left"/>
            </w:pPr>
            <w:r>
              <w:rPr>
                <w:rFonts w:ascii="Arial" w:cs="Arial" w:eastAsia="Arial" w:hAnsi="Arial"/>
                <w:b/>
                <w:bCs/>
                <w:color w:val="000000"/>
                <w:sz w:val="17"/>
                <w:szCs w:val="17"/>
              </w:rPr>
              <w:t xml:space="preserve">2.  Practice verification</w:t>
            </w:r>
            <w:r>
              <w:rPr>
                <w:rFonts w:ascii="Arial" w:cs="Arial" w:eastAsia="Arial" w:hAnsi="Arial"/>
                <w:b w:val="false"/>
                <w:bCs w:val="false"/>
                <w:color w:val="000000"/>
                <w:sz w:val="17"/>
                <w:szCs w:val="17"/>
              </w:rPr>
              <w:t xml:space="preserve"> — forb cover increase and species richness recovery in the inter-row are the primary biological verification signals for reduced herbicide use, delayed or less frequent mowing, and native understory seeding practices.</w:t>
            </w:r>
          </w:p>
          <w:p>
            <w:pPr>
              <w:spacing w:after="80" w:before="0"/>
              <w:jc w:val="left"/>
            </w:pPr>
            <w:r>
              <w:rPr>
                <w:rFonts w:ascii="Arial" w:cs="Arial" w:eastAsia="Arial" w:hAnsi="Arial"/>
                <w:b/>
                <w:bCs/>
                <w:color w:val="000000"/>
                <w:sz w:val="17"/>
                <w:szCs w:val="17"/>
              </w:rPr>
              <w:t xml:space="preserve">3.  Soil-habitat proxy (partial)</w:t>
            </w:r>
            <w:r>
              <w:rPr>
                <w:rFonts w:ascii="Arial" w:cs="Arial" w:eastAsia="Arial" w:hAnsi="Arial"/>
                <w:b w:val="false"/>
                <w:bCs w:val="false"/>
                <w:color w:val="000000"/>
                <w:sz w:val="17"/>
                <w:szCs w:val="17"/>
              </w:rPr>
              <w:t xml:space="preserve"> — understory forb composition reflects inter-row soil nitrogen status and can be used to infer whether nutrient management is shifting toward lower-input conditions.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community composition — community composition survey (inter-row quadrat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 an orchard or vineyard, the strip of ground between the rows is where most of the ecological action happens at the farm scale — where wild bees forage, where predatory insects overwinter and breed, where soil mycorrhizal networks connect tree roots across the planting. An apple orchard with a diverse flowering understory has measurably better pollination outcomes than one managed to bare soil between the rows. A vineyard with a wildflower inter-row strip has lower grape berry moth pressure than one managed to monoculture grass. The understory community is not just a monitoring target — it is actively producing the ecosystem services the crop depends 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Permanent crop understory monitoring has an unusually direct and commercially interpretable ecological logic: the farmer can see the relationship between what grows between the rows and what pollinates the flowers overhead. Monitoring the understory community and connecting it explicitly to the pollination service and natural enemy habitat it provides makes this one of the most practically persuasive ecological monitoring tasks in the LAHMP framework — the results are directly relevant to yield, not just to biodiversity. And the monitoring itself requires only recognising flowering plants in the inter-row strip, which most farmers in tree crop systems can do with a 30-minute briefing.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Fast–medium (Stage 2, Year 1–4). Forb cover response to changed mowing timing or herbicide cessation is detectable within 1–2 growing seasons. Species richness recovery requires 2–5 years where seed bank is intact; longer where active seeding is needed.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Forb cover increase and first flowering plant appearance in the inter-row strip — detectable within 1–2 growing seasons of herbicide cessation or change in mowing timing to allow flowering (Wyss 1995; Tschumi et al. 2015).</w:t>
            </w:r>
          </w:p>
          <w:p>
            <w:pPr>
              <w:spacing w:after="60" w:before="0"/>
              <w:jc w:val="left"/>
            </w:pPr>
            <w:r>
              <w:rPr>
                <w:rFonts w:ascii="Arial" w:cs="Arial" w:eastAsia="Arial" w:hAnsi="Arial"/>
                <w:b w:val="false"/>
                <w:bCs w:val="false"/>
                <w:color w:val="000000"/>
                <w:sz w:val="17"/>
                <w:szCs w:val="17"/>
              </w:rPr>
              <w:t xml:space="preserve">Medium (2–5 years): Species richness recovery where seed bank is intact — native forb species establishing from the soil seed bank under reduced management intensity. Clover, plantain, dandelion, and vetches typically establish within 1–3 seasons; more specialist species require 3–5 years (Pfiffner &amp; Luka 2003).</w:t>
            </w:r>
          </w:p>
          <w:p>
            <w:pPr>
              <w:spacing w:after="60" w:before="0"/>
              <w:jc w:val="left"/>
            </w:pPr>
            <w:r>
              <w:rPr>
                <w:rFonts w:ascii="Arial" w:cs="Arial" w:eastAsia="Arial" w:hAnsi="Arial"/>
                <w:b w:val="false"/>
                <w:bCs w:val="false"/>
                <w:color w:val="000000"/>
                <w:sz w:val="17"/>
                <w:szCs w:val="17"/>
              </w:rPr>
              <w:t xml:space="preserve">Slow (3–7 years): Full understory community recovery to semi-natural quality where seed bank is depleted — requires active seeding and 3–7 years of appropriate management for a diverse stable community to develop.</w:t>
            </w:r>
          </w:p>
          <w:p>
            <w:pPr>
              <w:spacing w:after="80" w:before="0"/>
              <w:jc w:val="left"/>
            </w:pPr>
            <w:r>
              <w:rPr>
                <w:rFonts w:ascii="Arial" w:cs="Arial" w:eastAsia="Arial" w:hAnsi="Arial"/>
                <w:b w:val="false"/>
                <w:bCs w:val="false"/>
                <w:color w:val="000000"/>
                <w:sz w:val="16"/>
                <w:szCs w:val="16"/>
              </w:rPr>
              <w:t xml:space="preserve">[geo] These timescales apply to temperate European and North American orchard and vineyard systems. Tropical permanent crop understories may respond faster due to year-round growing season.</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orchard ecology and agroecology specialists.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 — inter-row zone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Herbicide application to inter-row strips eliminates the understory community entirely, producing bare soil or a small-grass monoculture. Glyphosate-based herbicides are particularly common in orchards and vineyards — their repeated application progressively depletes the soil seed bank of forb species, requiring active reseeding for recovery (Pfiffner &amp; Luka 2003; Wyss 1995).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 — inter-row cultivation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Rotary cultivation and disc tillage of inter-row strips destroys annual and perennial understory species mechanically and prevents establishment of permanent species from the seed bank. Repeatedly cultivated inter-rows maintain bare soil conditions that eliminate all understory ecological function (Danne et al. 2010).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over-mowing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Frequent mowing of inter-row strips (more than 4–6 cuts per year in temperate systems [~]) prevents flowering and seed set by forb species, maintaining a species-poor short grass sward. The timing of the first cut relative to flowering season is the most critical factor — early cutting removes all floral resources before pollinators can access them (Tschumi et al. 2015).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Nitrogen application to inter-row strips favours competitive grasses over forbs — the same mechanism as in grassland systems (Profile 28). High nitrogen in the inter-row promotes rank grass growth that competitively excludes forb species and reduces floral diversity (Pfiffner &amp; Luka 2003).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fungicide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Fungicide applications in orchards and vineyards reach the inter-row understory through spray drift and surface runoff. Fungicide residues in the soil reduce the mycorrhizal community that supports understory plant diversity; direct phytotoxicity to sensitive forb species has been documented in orchard contexts (Pfiffner &amp; Luka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(insecticides)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Insecticide applications in permanent crop systems affect non-target invertebrates in the understory, including pollinators foraging in inter-row flowers and predatory insects that provide natural pest control. Systemic insecticides in particular can persist in nectar and pollen of understory plants from root uptake (Brown &amp; Paxton 2009).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Pollinator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Flowering forb species richness and cover in the inter-row strip are the primary biological signals of available pollinator forage habitat within the permanent crop system. The number of forb species in flower at the time of crop bloom directly indicates the availability of alternative forage resources that sustain wild pollinator colonies between crop flowering events. A bare or monoculture grass inter-row signals near-zero additional forage resource and severe pollinator habitat impoverishment within the crop system (Brown &amp; Paxton 2009; Tschumi et al. 2015).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Decline in natural pest regulation capacity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diversity and cover of understory vegetation in the inter-row strip is the primary biological indicator of habitat quality for predatory insects and spiders that provide natural pest control in the crop canopy. Dense, diverse understory vegetation provides overwintering, breeding, and foraging habitat for ground beetles, parasitic wasps, hoverflies, and spiders — all of which reduce pest pressure on the crop (Wyss 1995; Pfiffner &amp; Luka 2003).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Forb species richness in the inter-row strip signals the botanical diversity of the permanent crop understory — a component of the landscape vegetation diversity that is directly managed and directly improvable through changed management. Declining forb richness signals intensification of inter-row management and loss of a biodiversity component that cannot be recovered by other landscape features.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understory root systems — particularly legumes — support diverse soil mycorrhizal and bacterial communities in the inter-row soil. Species-poor grass monocultures support markedly lower soil biological diversity than mixed forb communities. Declining understory diversity is an indirect signal of declining inter-row soil biodiversity (Pfiffner &amp; Luka 2003).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Pollination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Flowering understory plants in permanent crop inter-rows are the primary source of alternative pollen and nectar sustaining wild bee colonies within the crop system between flowering events. Diverse, sequentially flowering understory communities significantly increase wild pollinator abundance and pollination service delivery to the crop compared to bare or monoculture grass inter-rows (Brown &amp; Paxton 2009; Aguilar et al. 2006). This is the most direct and commercially important ecosystem service link in this profile.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Predatory and parasitic invertebrates breeding and overwintering in diverse understory communities provide quantified pest suppression in adjacent crop canopies. Multiple studies demonstrate significant reduction in aphid, spider mite, and grape berry moth pressure in orchards and vineyards with diverse inter-row floral strips compared to clean-cultivated or herbicide-treated controls (Wyss 1995; Danne et al. 2010; Tschumi et al. 2015).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control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Continuous living root cover from the understory community prevents inter-row soil erosion under rainfall and irrigation events — particularly important on sloped vineyard and orchard sites where erosion risk from bare inter-row strips is severe (Pfiffner &amp; Luka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understory root systems — particularly legume components — support soil mycorrhizal networks that extend into crop tree root zones. Legume nitrogen fixation in inter-rows contributes nitrogen to the crop system without external input. Cover crop understories improve soil water infiltration and reduce compaction from machinery passes.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orchards, vineyards, and tree crop plantations globally.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tree crop agroforestry systems are integrated into otherwise annual crop landscapes.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T4.x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Savannahs and tropical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silvo-pastoral systems in subtropical and tropical contexts where tree crops are integrated with pasture.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EFGs with permanent crop systems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crop systems occur across all managed terrestrial EFGs globally.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permanent crop systems — orchards, vineyards, plantations — are classified as cropland under IPCC. Primary deployment context.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Forest Land (agroforestry)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agroforestry systems where tree crops are associated with significant forest canopy cover.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and crop system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System 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Understory community notes and monitoring considerations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Apple and pear orchards — temperate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monitoring context in temperate Europe and North America. High pollination dependency makes understory monitoring most directly commercially relevant. Community transitions from bare soil to species-rich sward well-documented. Canopy cover ranges from &lt;30% (modern high-density systems) to &gt;70% (traditional standard orchards).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Vineyards — temperate and Mediterranean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Wide variation in inter-row management from bare soil to permanent wildflower strips. Inter-row width (typically 1–3m) determines maximum achievable quadrat size. Canopy cover typically &lt;40% in inter-row centre; higher under trailing canopy in traditional training systems.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Olive groves — Mediterranean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Traditional extensive systems with diverse understory of Mediterranean geophytes and annuals — high monitoring value; threatened by intensification and herbicide use. Intensive modern systems may have bare soil inter-rows. Canopy cover typically 30–60%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Coffee and cocoa — tropical and subtropical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Understory monitoring under shade-grown systems is particularly important — shade canopy cover directly determines the character of the understory community. Sun-grown systems have minimal understory. [geo] Reviewer to specify tropical indicator species.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Nut orchards (walnut, hazelnut, almond, macadamia)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Dense canopy in walnut and hazelnut reduces understory diversity through shade and allelopathy (walnut) — shade-tolerant species preferred. Almond and macadamia have more open canopy and support diverse understory communities similar to apple orchards.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management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pollination-dependent crops (apple, pear, cherry, almond, soft fruit)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monitoring priority — the pollination service link between understory diversity and crop yield is most direct and best documented in these systems. Any programme including these crops should prioritise inter-row understory monitoring.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Integrated pest management (IPM) systems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IPM systems that rely on natural enemies for pest control are most directly served by diverse understory communities providing natural enemy habitat. Understory monitoring is the biological verification of whether the IPM habitat management component is performing.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 certified permanent crop systems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 certification prohibits herbicide use — bare soil in organic orchards indicates tillage rather than chemical management. Understory community diversity is both a monitoring target and an agronomic indicator of organic management quality.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The primary abiotic precursors for permanent crop understory recovery are the same soil nitrogen and carbon indicators relevant for grassland recovery — declining available nitrogen enables forb recovery; improving SOC supports diverse root communities.</w:t>
            </w:r>
          </w:p>
          <w:p>
            <w:pPr>
              <w:spacing w:after="80" w:before="0"/>
              <w:jc w:val="left"/>
            </w:pPr>
            <w:r>
              <w:rPr>
                <w:rFonts w:ascii="Arial" w:cs="Arial" w:eastAsia="Arial" w:hAnsi="Arial"/>
                <w:b w:val="false"/>
                <w:bCs w:val="false"/>
                <w:color w:val="C0392B"/>
                <w:sz w:val="16"/>
                <w:szCs w:val="16"/>
              </w:rPr>
              <w:t xml:space="preserve">Note: Tree canopy cover % (previously abiotic indicator A19) is now embedded as a mandatory contextual parameter in this profile's Layer 2 protocols. It is recorded at each survey point alongside the understory community data and used to interpret light conditions shaping the understory community.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Available nitrogen (nitrate-N in inter-row soil)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available nitrogen in inter-row soil under reduced fertiliser inputs is the primary abiotic precursor for forb species recovery. As available N falls below the competitive dominance threshold, grasses lose their growth advantage over forbs and legumes. Nitrate-N reduction precedes measurable forb cover increase by 1–2 growing seasons. This same relationship applies to the inter-row context as for grassland (Profile 28, A09 reference — Mountford et al. 1993).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SOC in inter-row strips under permanent vegetation cover signals improving soil biological conditions supporting mycorrhizal networks, diverse root communities, and the soil seed bank that enables spontaneous understory recovery. SOC improvement precedes species richness increase by 1–2 seasons as soil biology improves establishment conditions (Pfiffner &amp; Luka 2003).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Increasing ground cover in the inter-row from bare soil or sparse cover toward full vegetative cover is the first abiotic signal of understory community recovery. Ground cover improvement under herbicide cessation or reduced cultivation is measurable within 1 growing season — ahead of any species richness change. Ground cover % also directly indicates the soil erosion protection function of the inter-row community.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Wildflower and herb seeding into existing sward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seeding of a diverse native wildflower and herb mix into the inter-row strip introduces the forb species diversity that natural recovery from the seed bank alone cannot achieve quickly — particularly important where herbicide use has depleted the seed bank of forb species.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 or eliminate synthetic pesticides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Pesticide reduction in permanent crop systems directly improves the inter-row understory's value as natural enemy habitat by reducing direct mortality of beneficial invertebrates and reducing pesticide residues in understory flowers that harm foraging pollinators.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Perennial crops and permanent vegetation integration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Maintaining a permanent (never cultivated) inter-row vegetation strip provides the multi-year ecological continuity that natural enemy populations, soil invertebrates, and diverse plant communities require. Permanent strips accumulate biodiversity value over multiple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nitrogen fertiliser (inter-row)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Forb species richness increase in the inter-row strip is the primary biological verification signal for reduced nitrogen inputs to the permanent crop system. The transition from grass-dominated to forb-diverse understory is a direct community-level signal of declining nitrogen availability in the inter-row soil (Pfiffner &amp; Luka 2003; Mountford et al. 1993).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Forb cover detectable within 1–2 seasons of nitrogen input cessation; species richness increases progressively over 2–5 years where seed bank is intact; legume cover (clover, vetch) typically appears within 1–3 seasons as nitrogen-competitive advantage of grasses diminishes.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Delay first cut in flowering areas (revised mowing timing)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The number of forb species in flower in the inter-row strip and the cover of flowering plants at peak crop bloom period are the primary biological verification signals for changed mowing timing practice. A single timing change — delaying the first cut until after crop bloom — can double or triple the forb flower cover available to pollinators in a single season (Tschumi et al. 2015; Wyss 1995).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Flowering forb cover in inter-row strip detectable and measurably higher within the first season of delayed mowing; number of flowering species at crop bloom timing increases within 1–2 seasons; pollinator visits to understory flowers increase proportionally.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(herbicide cessation in inter-row)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Cover increase in the inter-row (from bare or sparse to vegetated) within 1–2 seasons of herbicide cessation is the most accessible biological verification signal for reduced pesticide inputs in permanent crop systems. Species richness increase follows cover increase by 1–3 seasons as seed bank species establish (Pfiffner &amp; Luka 2003).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Vegetation cover in inter-row increases from baseline (near zero or sparse) to measurable cover within 1 growing season of herbicide cessation; first forb species appear within 1–2 seasons; species richness reaches monitoring threshold within 2–5 years depending on seed bank condition.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 — Wild bees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Flowering understory species in the inter-row strip are the primary within-crop-system foraging resource sustaining wild bee colony populations. Wild bee abundance in the crop canopy — the monitoring target for Profile 14 — is directly determined by the quality of the inter-row understory community. These two profiles should be assessed together in permanent crop system monitoring wherever resources allow.</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 — Parasitic wasps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Dense, diverse understory vegetation in inter-row strips provides overwintering sites, alternative prey, and floral nectar resources sustaining parasitic wasp populations — which in turn provide natural control of aphids and other crop pests in the canopy. The understory community is the habitat that makes the parasitic wasp service function.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02 — Mycorrhizal fungi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understory root systems support mycorrhizal networks in the inter-row soil that extend into crop tree root zones — AMF connections between understory and tree roots are documented in orchard systems. Profile 36 understory diversity directly supports Profile 02 AMF community health in permanent crop contexts.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orchard ecology and agroecology specialists.</w:t>
            </w:r>
          </w:p>
          <w:p>
            <w:pPr>
              <w:spacing w:after="60" w:before="0"/>
              <w:jc w:val="left"/>
            </w:pPr>
            <w:r>
              <w:rPr>
                <w:rFonts w:ascii="Arial" w:cs="Arial" w:eastAsia="Arial" w:hAnsi="Arial"/>
                <w:b/>
                <w:bCs/>
                <w:color w:val="C0392B"/>
                <w:sz w:val="16"/>
                <w:szCs w:val="16"/>
              </w:rPr>
              <w:t xml:space="preserve">CANOPY COVER — MANDATORY CONTEXTUAL PARAMETER AT ALL LEVELS</w:t>
            </w:r>
          </w:p>
          <w:p>
            <w:pPr>
              <w:spacing w:after="60" w:before="0"/>
              <w:jc w:val="left"/>
            </w:pPr>
            <w:r>
              <w:rPr>
                <w:rFonts w:ascii="Arial" w:cs="Arial" w:eastAsia="Arial" w:hAnsi="Arial"/>
                <w:b w:val="false"/>
                <w:bCs w:val="false"/>
                <w:color w:val="000000"/>
                <w:sz w:val="16"/>
                <w:szCs w:val="16"/>
              </w:rPr>
              <w:t xml:space="preserve">Tree canopy cover % above the survey plot is a mandatory contextual parameter at all protocol levels for this profile. Unlike the other canopy cover profiles (30, 31, 33, 34), canopy cover here is recorded as a contextual variable that informs interpretation of the understory community data — not as the primary biological monitoring target. Record canopy cover at each survey quadrat alongside the understory data. This parameter was formerly carried as abiotic indicator A19 and is now embedded in this profile's survey protocols.</w:t>
            </w:r>
          </w:p>
          <w:p>
            <w:pPr>
              <w:spacing w:after="80" w:before="0"/>
              <w:jc w:val="left"/>
            </w:pPr>
            <w:r>
              <w:rPr>
                <w:rFonts w:ascii="Arial" w:cs="Arial" w:eastAsia="Arial" w:hAnsi="Arial"/>
                <w:b w:val="false"/>
                <w:bCs w:val="false"/>
                <w:color w:val="000000"/>
                <w:sz w:val="16"/>
                <w:szCs w:val="16"/>
              </w:rPr>
              <w:t xml:space="preserve">Why canopy cover matters as a contextual parameter: the same forb species richness value has a different ecological interpretation under 20% canopy cover (open orchard, high light) versus 70% canopy cover (traditional standard or shade-grown system, low light). Forbs requiring full sun cannot establish under dense shade; shade-tolerant species dominate under closed canopies. Canopy cover allows the field team and the Step 4 algorithm to interpret understory diversity relative to the light environment available.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Structured walkthrough of inter-row strip recording forb presence, management context, estimated ground cover, and overhead canopy cover estimation. No specialist botanical knowledge required for functional group level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Inter-row understory walkthrough — functional group and canopy cover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Presence of flowering forbs in the inter-row strip; ground cover class; management indicators (bare soil, herbicide damage, mowing height evidence); and tree canopy cover % above the survey strip. Provides an integrated indicator of inter-row ecological quality accessible without botanical identification skills.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Walk a representative 50m inter-row strip at the monitoring point — choose a representative row avoiding headlands, tractor entry points, and deliberately managed demonstration strips.</w:t>
            </w:r>
          </w:p>
          <w:p>
            <w:pPr>
              <w:spacing w:after="40" w:before="0"/>
              <w:jc w:val="left"/>
            </w:pPr>
            <w:r>
              <w:rPr>
                <w:rFonts w:ascii="Arial" w:cs="Arial" w:eastAsia="Arial" w:hAnsi="Arial"/>
                <w:b w:val="false"/>
                <w:bCs w:val="false"/>
                <w:color w:val="000000"/>
                <w:sz w:val="17"/>
                <w:szCs w:val="17"/>
              </w:rPr>
              <w:t xml:space="preserve">2. At every 10m point (6 points), kneel and record within a 0.5m radius around the point: (a) Vegetation cover class: bare soil / sparse cover &lt;25% / moderate 25–75% / dense &gt;75%; (b) Grass cover vs forb cover: predominantly grass / mixed grass-forb / predominantly forb; (c) Flowering species visible at the point: count any species showing open flowers — record by common name or describe ('yellow daisy', 'small white flowers'); (d) Bare soil % estimate at point.</w:t>
            </w:r>
          </w:p>
          <w:p>
            <w:pPr>
              <w:spacing w:after="40" w:before="0"/>
              <w:jc w:val="left"/>
            </w:pPr>
            <w:r>
              <w:rPr>
                <w:rFonts w:ascii="Arial" w:cs="Arial" w:eastAsia="Arial" w:hAnsi="Arial"/>
                <w:b w:val="false"/>
                <w:bCs w:val="false"/>
                <w:color w:val="000000"/>
                <w:sz w:val="17"/>
                <w:szCs w:val="17"/>
              </w:rPr>
              <w:t xml:space="preserve">3. At each of the 6 points, record canopy cover: stand upright in the inter-row and look straight upward — estimate % of sky obscured by tree crop canopy: 0–10% / 10–25% / 25–50% / 50–75% / &gt;75%. Record as inter-row centre canopy cover for that point.</w:t>
            </w:r>
          </w:p>
          <w:p>
            <w:pPr>
              <w:spacing w:after="80" w:before="0"/>
              <w:jc w:val="left"/>
            </w:pPr>
            <w:r>
              <w:rPr>
                <w:rFonts w:ascii="Arial" w:cs="Arial" w:eastAsia="Arial" w:hAnsi="Arial"/>
                <w:b w:val="false"/>
                <w:bCs w:val="false"/>
                <w:color w:val="000000"/>
                <w:sz w:val="17"/>
                <w:szCs w:val="17"/>
              </w:rPr>
              <w:t xml:space="preserve">4. Record management context: date of last mowing (if known); evidence of herbicide damage (yellowing, dead patches, bare lanes); evidence of cultivation (soil disturbance pattern).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50m tape measure; field datasheet; camera. No specialist equipment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 including the grower themselves. Functional group level assessment (flowering vs non-flowering; grass vs forb) requires a 30-minute briefing with photographic reference. Canopy cover estimation is straightforward with the visual sky-cover method described.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At crop bloom time — when pollination is occurring and the inter-row understory is most critically needed for wild pollinator support. Agricultural management context: this is the critical survey timing — the ecological information most relevant to the pollination service. A secondary survey at peak summer (July–August in temperate Europe) records the sustained season foraging resource.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summer — secondary flowering season resource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per 50m inter-row section.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crop bloom timing (primary; typically April–June in temperate orchards) and late summer (secondary).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 cover and functional group trends interpretable from Year 2; species count trends from Year 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Canopy cover (MANDATORY contextual parameter — formerly abiotic indicator A19):</w:t>
            </w:r>
          </w:p>
          <w:p>
            <w:pPr>
              <w:spacing w:after="60" w:before="0"/>
              <w:jc w:val="left"/>
            </w:pPr>
            <w:r>
              <w:rPr>
                <w:rFonts w:ascii="Arial" w:cs="Arial" w:eastAsia="Arial" w:hAnsi="Arial"/>
                <w:b w:val="false"/>
                <w:bCs w:val="false"/>
                <w:color w:val="000000"/>
                <w:sz w:val="16"/>
                <w:szCs w:val="16"/>
              </w:rPr>
              <w:t xml:space="preserve">• Tree canopy cover % above inter-row at each monitoring point (6 readings per 50m section; site mean). Record as contextual parameter alongside understory data.</w:t>
            </w:r>
          </w:p>
          <w:p>
            <w:pPr>
              <w:spacing w:after="40" w:before="0"/>
              <w:jc w:val="left"/>
            </w:pPr>
            <w:r>
              <w:rPr>
                <w:rFonts w:ascii="Arial" w:cs="Arial" w:eastAsia="Arial" w:hAnsi="Arial"/>
                <w:b/>
                <w:bCs/>
                <w:color w:val="000000"/>
                <w:sz w:val="17"/>
                <w:szCs w:val="17"/>
              </w:rPr>
              <w:t xml:space="preserve">Understory metrics:</w:t>
            </w:r>
          </w:p>
          <w:p>
            <w:pPr>
              <w:spacing w:after="80" w:before="0"/>
              <w:jc w:val="left"/>
            </w:pPr>
            <w:r>
              <w:rPr>
                <w:rFonts w:ascii="Arial" w:cs="Arial" w:eastAsia="Arial" w:hAnsi="Arial"/>
                <w:b w:val="false"/>
                <w:bCs w:val="false"/>
                <w:color w:val="000000"/>
                <w:sz w:val="16"/>
                <w:szCs w:val="16"/>
              </w:rPr>
              <w:t xml:space="preserve">• Vegetation cover class per point; proportion of points with visible flowering forbs; flowering species count (common names); bare soil % estimate; management evidence (herbicide Y/N; mowing timing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Overview of inter-row strip looking along 50m showing vegetation cover character. (2) Point observation shots: kneeling photograph of each 0.5m observation point showing cover and any flowering species visible. (3) Canopy cover shot: looking straight upward at each point showing canopy cover above the inter-row. (4) Management evidence: photograph herbicide damage, mowing height evidence, or bare soil patches.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recording only plants in flower and missing non-flowering forbs in the cover assessment. The vegetation cover class should include all vegetation — flowering and non-flowering. Separately record whether flowering species are present at the point. These are two different measurements.</w:t>
            </w:r>
          </w:p>
          <w:p>
            <w:pPr>
              <w:spacing w:after="60" w:before="0"/>
              <w:jc w:val="left"/>
            </w:pPr>
            <w:r>
              <w:rPr>
                <w:rFonts w:ascii="Arial" w:cs="Arial" w:eastAsia="Arial" w:hAnsi="Arial"/>
                <w:b w:val="false"/>
                <w:bCs w:val="false"/>
                <w:color w:val="000000"/>
                <w:sz w:val="16"/>
                <w:szCs w:val="16"/>
              </w:rPr>
              <w:t xml:space="preserve">Second error: assessing canopy cover from the edge of the inter-row rather than from the centre. Walk to the centre of the inter-row strip before looking upward — canopy cover at the row edge is different from canopy cover above the inter-row centre where the survey points are located.</w:t>
            </w:r>
          </w:p>
          <w:p>
            <w:pPr>
              <w:spacing w:after="80" w:before="0"/>
              <w:jc w:val="left"/>
            </w:pPr>
            <w:r>
              <w:rPr>
                <w:rFonts w:ascii="Arial" w:cs="Arial" w:eastAsia="Arial" w:hAnsi="Arial"/>
                <w:b w:val="false"/>
                <w:bCs w:val="false"/>
                <w:color w:val="000000"/>
                <w:sz w:val="16"/>
                <w:szCs w:val="16"/>
              </w:rPr>
              <w:t xml:space="preserve">Third error: surveying immediately after mowing. Wait minimum 3 weeks after mowing before conducting the primary crop-bloom survey — freshly mown strips show much lower forb cover than the ecological steady state.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Flowering forbs present at &gt;50% of survey points at crop bloom timing: high-quality pollinator foraging resource in the inter-row — positive indicator for wild bee colony support. Connect to Service #27 (Pollination) in field card narrative. Verify Practice P14 (delayed mowing) and P21 (reduced nitrogen).</w:t>
            </w:r>
          </w:p>
          <w:p>
            <w:pPr>
              <w:spacing w:after="50" w:before="0"/>
              <w:jc w:val="left"/>
            </w:pPr>
            <w:r>
              <w:rPr>
                <w:rFonts w:ascii="Arial" w:cs="Arial" w:eastAsia="Arial" w:hAnsi="Arial"/>
                <w:b w:val="false"/>
                <w:bCs w:val="false"/>
                <w:color w:val="000000"/>
                <w:sz w:val="17"/>
                <w:szCs w:val="17"/>
              </w:rPr>
              <w:t xml:space="preserve">Bare soil at &gt;50% of points with herbicide damage visible: inter-row managed to near-zero ecological function — highest priority for management change. Connect to Challenge #20 (Pollinator decline) and #24 (Natural pest regulation decline).</w:t>
            </w:r>
          </w:p>
          <w:p>
            <w:pPr>
              <w:spacing w:after="80" w:before="0"/>
              <w:jc w:val="left"/>
            </w:pPr>
            <w:r>
              <w:rPr>
                <w:rFonts w:ascii="Arial" w:cs="Arial" w:eastAsia="Arial" w:hAnsi="Arial"/>
                <w:b w:val="false"/>
                <w:bCs w:val="false"/>
                <w:color w:val="000000"/>
                <w:sz w:val="16"/>
                <w:szCs w:val="16"/>
              </w:rPr>
              <w:t xml:space="preserve">Dense grass cover with zero flowering forbs: monoculture grass sward — intermediate management intensity. Not bare soil, but providing minimal pollinator support. Connect to Practice P14 (delayed mowing timing) and P23 (wildflower seeding) recommendations.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Date of last mowing and mowing height; (2) Date of last herbicide application if applicable; (3) Date of last fertiliser application to inter-row if applicable; (4) Whether the inter-row has been cultivated in the past 12 months; (5) Crop phenological stage (pre-bloom / full bloom / post-bloom / fruit development).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Be aware of machinery in the orchard or vineyard during survey — coordinate access with the grower to avoid machinery operation in surveyed rows. Avoid survey during pesticide application operations.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Ecdysis 1000 Farms orchard understory protocol; Tschumi et al. (2015) inter-row strip design reference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https://doi.org/10.1098/rspb.2015.1369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Quadrat-based community composition survey in inter-row strip with species-level botanical recording, spherical densiometer canopy cover measurement, and quantitative cover assessment using Braun-Blanquet classes.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Inter-row understory community composition survey — species-level quadrat assessment with densiometer canopy cover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Species-level understory plant community composition (vascular plants) with Braun-Blanquet cover class per species; % bare soil; forb species richness and cover; grass species richness and cover; legume cover; flowering species count at survey time; spherical densiometer tree canopy cover %.</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At each of 5 fixed monitoring points along the 50m inter-row section: (a) Place a 1m × 0.5m quadrat frame in the inter-row centre. Record all vascular plant species present with Braun-Blanquet cover class. Record bare soil % and litter %. (b) Measure tree canopy cover using a spherical densiometer — hold densiometer horizontally in the centre of the inter-row at 1m height above ground; take 4 readings from N, S, E, W orientations; average for the canopy cover % at that point.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1m × 0.5m quadrat frame; spherical densiometer (convex); regional field guide for orchard, vineyard, and inter-row flora; Braun-Blanquet cover class reference card; GPS;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vascular plant identification skill for common orchard and vineyard inter-row species. Familiarity with Braun-Blanquet cover classes. Understory identification in orchard and vineyard contexts benefits from crop-system-specific training — inter-row floras include many ruderal species not covered in standard grassland guides.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At crop bloom timing — same as Level 1 primary. This is the most ecologically critical survey window.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summer — for secondary flowering season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30–45 minutes per 50m section for 5 quadrats with full species recording.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primary at crop bloom; secondary in late summer.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species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Canopy cover (MANDATORY contextual parameter — formerly abiotic indicator A19):</w:t>
            </w:r>
          </w:p>
          <w:p>
            <w:pPr>
              <w:spacing w:after="60" w:before="0"/>
              <w:jc w:val="left"/>
            </w:pPr>
            <w:r>
              <w:rPr>
                <w:rFonts w:ascii="Arial" w:cs="Arial" w:eastAsia="Arial" w:hAnsi="Arial"/>
                <w:b w:val="false"/>
                <w:bCs w:val="false"/>
                <w:color w:val="000000"/>
                <w:sz w:val="16"/>
                <w:szCs w:val="16"/>
              </w:rPr>
              <w:t xml:space="preserve">• Spherical densiometer % per point (mean of 4 readings); site-level mean canopy cover %. Record alongside each quadrat's understory data.</w:t>
            </w:r>
          </w:p>
          <w:p>
            <w:pPr>
              <w:spacing w:after="40" w:before="0"/>
              <w:jc w:val="left"/>
            </w:pPr>
            <w:r>
              <w:rPr>
                <w:rFonts w:ascii="Arial" w:cs="Arial" w:eastAsia="Arial" w:hAnsi="Arial"/>
                <w:b/>
                <w:bCs/>
                <w:color w:val="000000"/>
                <w:sz w:val="17"/>
                <w:szCs w:val="17"/>
              </w:rPr>
              <w:t xml:space="preserve">Understory metrics:</w:t>
            </w:r>
          </w:p>
          <w:p>
            <w:pPr>
              <w:spacing w:after="80" w:before="0"/>
              <w:jc w:val="left"/>
            </w:pPr>
            <w:r>
              <w:rPr>
                <w:rFonts w:ascii="Arial" w:cs="Arial" w:eastAsia="Arial" w:hAnsi="Arial"/>
                <w:b w:val="false"/>
                <w:bCs w:val="false"/>
                <w:color w:val="000000"/>
                <w:sz w:val="16"/>
                <w:szCs w:val="16"/>
              </w:rPr>
              <w:t xml:space="preserve">• Species richness per quadrat (total; forb; grass; legume); cover per species (Braun-Blanquet); forb:grass cover ratio; flowering species count at survey time; bare soil %; Shannon diversity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quadrat overview photographs from directly above; species identification photographs for each recorded species; densiometer reading photograph at each point.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Forb species richness &gt;5 species per quadrat at crop bloom [~]: high-quality pollinator habitat — direct verification of P14 (delayed mowing) and P21 (reduced nitrogen). Connect to Service #27 (Pollination) and #28 (Pest control) in field card narrative.</w:t>
            </w:r>
          </w:p>
          <w:p>
            <w:pPr>
              <w:spacing w:after="50" w:before="0"/>
              <w:jc w:val="left"/>
            </w:pPr>
            <w:r>
              <w:rPr>
                <w:rFonts w:ascii="Arial" w:cs="Arial" w:eastAsia="Arial" w:hAnsi="Arial"/>
                <w:b w:val="false"/>
                <w:bCs w:val="false"/>
                <w:color w:val="000000"/>
                <w:sz w:val="17"/>
                <w:szCs w:val="17"/>
              </w:rPr>
              <w:t xml:space="preserve">Legume cover &gt;10% [~]: nitrogen fixation contribution confirmed and high-quality bee forage resource — particularly relevant for systems transitioning from synthetic nitrogen inputs.</w:t>
            </w:r>
          </w:p>
          <w:p>
            <w:pPr>
              <w:spacing w:after="80" w:before="0"/>
              <w:jc w:val="left"/>
            </w:pPr>
            <w:r>
              <w:rPr>
                <w:rFonts w:ascii="Arial" w:cs="Arial" w:eastAsia="Arial" w:hAnsi="Arial"/>
                <w:b w:val="false"/>
                <w:bCs w:val="false"/>
                <w:color w:val="000000"/>
                <w:sz w:val="16"/>
                <w:szCs w:val="16"/>
              </w:rPr>
              <w:t xml:space="preserve">Canopy cover &gt;60% with low forb diversity: shade suppression of understory forbs — shade-tolerant management required (shade-tolerant mix seeding, acceptance that open-sun forb species are not achievable in this plot). Not a management failure — an ecological constraint requiring appropriate interpretation.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 same management records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Densiometer use — do not look directly at sun when taking canopy cover readings looking upward.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Wyss E (1995); Pfiffner &amp; Luka (2003); Tschumi et al. (2015)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https://doi.org/10.1098/rspb.2015.1369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Full phytosociological survey of inter-row understory with simultaneous pollinator transect count — integrating plant community data with direct pollinator service delivery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inter-row phytosociological survey with simultaneous pollinator transect — integrated understory-service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inter-row plant community composition with phytosociological classification; simultaneous standardised pollinator transect count along the same inter-row strip recording wild bee and hoverfly visits to understory flowers — directly linking plant community data to pollinator service delivery.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phytosociological relevé (1m × 1m quadrats at 5 points) as per Level 2 with NVC or equivalent classification. Simultaneously: walk the 50m strip at a standardised slow pace (5 minutes per 50m) recording all pollinator visits (bee species or functional group, hoverfly species or functional group) to understory flowers within 1m of the walking line. Three replicate walks on the same day. Calculate floral density (flowers per m2) and pollinator visit rate (visits per flower per minute) as the integrated plant-pollinator service delivery metric.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pollinator identification reference (regional bee and hoverfly guide); tally counter; stopwatch; hand lens for bee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Botanist for phytosociological survey; pollinator ecologist for bee and hoverfly identification. Wild bee identification to morphogroup level is accessible to a trained ecologist; species-level requires specialist entomologist.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At crop bloom — for both understory survey and pollinator visit count. This is the only window when the service delivery connection between understory forbs and crop pollination is directly measurable.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primary at crop bloom; secondary in late summer for season total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pollinator visit rate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Canopy cover (MANDATORY contextual parameter — formerly abiotic indicator A19):</w:t>
            </w:r>
          </w:p>
          <w:p>
            <w:pPr>
              <w:spacing w:after="60" w:before="0"/>
              <w:jc w:val="left"/>
            </w:pPr>
            <w:r>
              <w:rPr>
                <w:rFonts w:ascii="Arial" w:cs="Arial" w:eastAsia="Arial" w:hAnsi="Arial"/>
                <w:b w:val="false"/>
                <w:bCs w:val="false"/>
                <w:color w:val="000000"/>
                <w:sz w:val="16"/>
                <w:szCs w:val="16"/>
              </w:rPr>
              <w:t xml:space="preserve">• Spherical densiometer % per point with LiDAR validation if available</w:t>
            </w:r>
          </w:p>
          <w:p>
            <w:pPr>
              <w:spacing w:after="40" w:before="0"/>
              <w:jc w:val="left"/>
            </w:pPr>
            <w:r>
              <w:rPr>
                <w:rFonts w:ascii="Arial" w:cs="Arial" w:eastAsia="Arial" w:hAnsi="Arial"/>
                <w:b/>
                <w:bCs/>
                <w:color w:val="000000"/>
                <w:sz w:val="17"/>
                <w:szCs w:val="17"/>
              </w:rPr>
              <w:t xml:space="preserve">Understory-service integration metrics:</w:t>
            </w:r>
          </w:p>
          <w:p>
            <w:pPr>
              <w:spacing w:after="80" w:before="0"/>
              <w:jc w:val="left"/>
            </w:pPr>
            <w:r>
              <w:rPr>
                <w:rFonts w:ascii="Arial" w:cs="Arial" w:eastAsia="Arial" w:hAnsi="Arial"/>
                <w:b w:val="false"/>
                <w:bCs w:val="false"/>
                <w:color w:val="000000"/>
                <w:sz w:val="16"/>
                <w:szCs w:val="16"/>
              </w:rPr>
              <w:t xml:space="preserve">• Floral density (flowers per m2 of inter-row); pollinator visit rate (visits per flower per minute); wild bee functional group diversity; pollinator community composition; community-level B2 practice verification combining both plant and pollinator data.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Floral density and pollinator visit rate both increasing over consecutive crop bloom surveys: direct quantified evidence that improved inter-row management is delivering enhanced pollination service — the most commercially interpretable biological verification evidence available in any LAHMP profile.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Bee identification at close range — most pollinators are non-aggressive when foraging. Avoid disturbing bees during identification; observe from 30cm without touching. Allergic individuals should not conduct pollinator transects.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Brown &amp; Paxton (2009); Tschumi et al. (2015); Wyss (1995); Aguilar et al. (2006)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https://doi.org/10.1098/rspb.2015.1369</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Aguilar R, Ashworth L, Galetto L, Aizen MA (2006) Plant reproductive susceptibility to habitat fragmentation: review and synthesis through a meta-analysis. Ecology Letters 9:968–980.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https://doi.org/10.1111/j.1461-0248.2006.00962.x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Brown MJF, Paxton RJ (2009) The conservation of bees: a global perspective. Apidologie 40:410–416.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https://doi.org/10.1051/apido/2009019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Protocol Level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Danne A, Thompson RM, Reeve IJ, Stork NE, Haby N (2010) Effects of native grass-based cover crops on beneficial and pest invertebrates in almonds. Environmental Entomology 39:970–978.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https://doi.org/10.1603/EN09098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Mountford JO, Lakhani KH, Kirkham FW (1993) Experimental assessment of the effects of nitrogen addition under hay-cutting and aftermath grazing on the vegetation of meadows on a Somerset peat moor. Journal of Applied Ecology 30:321–332.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https://doi.org/10.2307/2404635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A8 (nitrogen threshold reference)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Pfiffner L, Luka H (2003) Effects of low-input farming systems on carabids and epigeal spiders — a paired farm approach. Basic and Applied Ecology 4:117–127.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https://doi.org/10.1078/1439-1791-00143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A8; B2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Tschumi M, Albrecht M, Entling MH, Bhatta A, Manzoor SA, Bhatta A (2015) High effectiveness of tailored flower strips in reducing pests and crop plant damage. Proceedings of the Royal Society B 282:20151369.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https://doi.org/10.1098/rspb.2015.1369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B2; Protocol Levels 1, 2 and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Wyss E (1995) The effects of weed strips on aphids and aphidophagous predators in an apple orchard. Entomologia Experimentalis et Applicata 75:43–49.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https://doi.org/10.1111/j.1570-7458.1995.tb01910.x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B2; Response timescale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36 — Permanent crop and orchard understory vegetation</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2E7D32" w:sz="3"/>
          </w:tcBorders>
          <w:tcMar>
            <w:bottom w:type="dxa" w:w="60"/>
          </w:tcMar>
        </w:tcPr>
        <w:p>
          <w:pPr>
            <w:spacing w:after="80" w:before="0"/>
            <w:jc w:val="left"/>
          </w:pPr>
          <w:r>
            <w:rPr>
              <w:rFonts w:ascii="Arial" w:cs="Arial" w:eastAsia="Arial" w:hAnsi="Arial"/>
              <w:b w:val="false"/>
              <w:bCs w:val="false"/>
              <w:color w:val="2E7D32"/>
              <w:sz w:val="13"/>
              <w:szCs w:val="13"/>
            </w:rPr>
            <w:t xml:space="preserve">LAHMP — Profile 36 — Permanent crop and orchard understory vegetation</w:t>
          </w:r>
        </w:p>
      </w:tc>
      <w:tc>
        <w:tcPr>
          <w:tcBorders>
            <w:bottom w:val="single" w:color="2E7D32"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BB9D7B-5E6C-4651-9DB1-F8D55D2B31A4}"/>
</file>

<file path=customXml/itemProps2.xml><?xml version="1.0" encoding="utf-8"?>
<ds:datastoreItem xmlns:ds="http://schemas.openxmlformats.org/officeDocument/2006/customXml" ds:itemID="{1ED14203-7D95-4F3C-8BE0-21BCB0DAD513}"/>
</file>

<file path=customXml/itemProps3.xml><?xml version="1.0" encoding="utf-8"?>
<ds:datastoreItem xmlns:ds="http://schemas.openxmlformats.org/officeDocument/2006/customXml" ds:itemID="{29F9660B-613E-4CA6-919B-3AFAE911FCD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2026-04-12T10:00:55Z</dcterms:created>
  <dcterms:modified xsi:type="dcterms:W3CDTF">2026-04-12T10:00:55Z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