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D3C98" w:sz="1"/>
              <w:left w:val="single" w:color="7D3C98" w:sz="1"/>
              <w:bottom w:val="single" w:color="7D3C98" w:sz="1"/>
              <w:right w:val="single" w:color="7D3C98" w:sz="1"/>
            </w:tcBorders>
            <w:shd w:fill="7D3C98" w:val="clear"/>
            <w:tcMar>
              <w:top w:type="dxa" w:w="200"/>
              <w:left w:type="dxa" w:w="220"/>
              <w:bottom w:type="dxa" w:w="200"/>
              <w:right w:type="dxa" w:w="220"/>
            </w:tcMar>
          </w:tcPr>
          <w:p>
            <w:pPr>
              <w:spacing w:after="60" w:before="0"/>
              <w:jc w:val="center"/>
            </w:pPr>
            <w:r>
              <w:rPr>
                <w:rFonts w:ascii="Arial" w:cs="Arial" w:eastAsia="Arial" w:hAnsi="Arial"/>
                <w:b/>
                <w:bCs/>
                <w:color w:val="FFFFFF"/>
                <w:sz w:val="16"/>
                <w:szCs w:val="16"/>
              </w:rPr>
              <w:t xml:space="preserve">LAHMP — Indicator Group Profile — CONDITIONAL</w:t>
            </w:r>
          </w:p>
          <w:p>
            <w:pPr>
              <w:spacing w:after="80" w:before="0"/>
              <w:jc w:val="center"/>
            </w:pPr>
            <w:r>
              <w:rPr>
                <w:rFonts w:ascii="Arial" w:cs="Arial" w:eastAsia="Arial" w:hAnsi="Arial"/>
                <w:b/>
                <w:bCs/>
                <w:color w:val="FFFFFF"/>
                <w:sz w:val="26"/>
                <w:szCs w:val="26"/>
              </w:rPr>
              <w:t xml:space="preserve">Profile 38 — Freshwater turtles</w:t>
            </w:r>
          </w:p>
          <w:p>
            <w:pPr>
              <w:spacing w:after="80" w:before="0"/>
              <w:jc w:val="center"/>
            </w:pPr>
            <w:r>
              <w:rPr>
                <w:rFonts w:ascii="Arial" w:cs="Arial" w:eastAsia="Arial" w:hAnsi="Arial"/>
                <w:b w:val="false"/>
                <w:bCs w:val="false"/>
                <w:color w:val="FFFFFF"/>
                <w:sz w:val="16"/>
                <w:szCs w:val="16"/>
              </w:rPr>
              <w:t xml:space="preserve">Category: Aquatic communities  |  Tier: Conditional</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D3C98" w:sz="1"/>
              <w:left w:val="single" w:color="7D3C98" w:sz="1"/>
              <w:bottom w:val="single" w:color="7D3C98" w:sz="1"/>
              <w:right w:val="single" w:color="7D3C98" w:sz="1"/>
            </w:tcBorders>
            <w:shd w:fill="F5EEF8" w:val="clear"/>
            <w:tcMar>
              <w:top w:type="dxa" w:w="120"/>
              <w:left w:type="dxa" w:w="160"/>
              <w:bottom w:type="dxa" w:w="120"/>
              <w:right w:type="dxa" w:w="160"/>
            </w:tcMar>
          </w:tcPr>
          <w:p>
            <w:pPr>
              <w:spacing w:after="40" w:before="0"/>
              <w:jc w:val="left"/>
            </w:pPr>
            <w:r>
              <w:rPr>
                <w:rFonts w:ascii="Arial" w:cs="Arial" w:eastAsia="Arial" w:hAnsi="Arial"/>
                <w:b/>
                <w:bCs/>
                <w:color w:val="7D3C98"/>
                <w:sz w:val="16"/>
                <w:szCs w:val="16"/>
              </w:rPr>
              <w:t xml:space="preserve">CONDITIONAL PROFILE</w:t>
            </w:r>
          </w:p>
          <w:p>
            <w:pPr>
              <w:spacing w:after="80" w:before="0"/>
              <w:jc w:val="left"/>
            </w:pPr>
            <w:r>
              <w:rPr>
                <w:rFonts w:ascii="Arial" w:cs="Arial" w:eastAsia="Arial" w:hAnsi="Arial"/>
                <w:b w:val="false"/>
                <w:bCs w:val="false"/>
                <w:color w:val="000000"/>
                <w:sz w:val="16"/>
                <w:szCs w:val="16"/>
              </w:rPr>
              <w:t xml:space="preserve">This profile is activated where freshwater turtle species are ecologically present and regionally significant — primarily subtropical, tropical, and warm-temperate agricultural landscapes with permanent water bodies. Not applicable in high-latitude temperate systems where freshwater turtles are absent.</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39C12" w:sz="1"/>
              <w:left w:val="single" w:color="F39C12" w:sz="1"/>
              <w:bottom w:val="single" w:color="F39C12" w:sz="1"/>
              <w:right w:val="single" w:color="F39C12" w:sz="1"/>
            </w:tcBorders>
            <w:shd w:fill="FEF9E7" w:val="clear"/>
            <w:tcMar>
              <w:top w:type="dxa" w:w="120"/>
              <w:left w:type="dxa" w:w="160"/>
              <w:bottom w:type="dxa" w:w="120"/>
              <w:right w:type="dxa" w:w="160"/>
            </w:tcMar>
          </w:tcPr>
          <w:p>
            <w:pPr>
              <w:spacing w:after="60" w:before="0"/>
              <w:jc w:val="left"/>
            </w:pPr>
            <w:r>
              <w:rPr>
                <w:rFonts w:ascii="Arial" w:cs="Arial" w:eastAsia="Arial" w:hAnsi="Arial"/>
                <w:b/>
                <w:bCs/>
                <w:color w:val="C0392B"/>
                <w:sz w:val="16"/>
                <w:szCs w:val="16"/>
              </w:rPr>
              <w:t xml:space="preserve">DRAFT — Unvalidated</w:t>
            </w:r>
          </w:p>
          <w:p>
            <w:pPr>
              <w:spacing w:after="80" w:before="0"/>
              <w:jc w:val="left"/>
            </w:pPr>
            <w:r>
              <w:rPr>
                <w:rFonts w:ascii="Arial" w:cs="Arial" w:eastAsia="Arial" w:hAnsi="Arial"/>
                <w:b w:val="false"/>
                <w:bCs w:val="false"/>
                <w:color w:val="000000"/>
                <w:sz w:val="16"/>
                <w:szCs w:val="16"/>
              </w:rPr>
              <w:t xml:space="preserve">Content based on peer-reviewed literature as of April 2026. Requires validation by chelonian ecologists. Most freshwater turtle species are legally protected. Physical handling requires specialist licence in most jurisdictions.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VALIDATION STATUS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Status</w:t>
            </w:r>
          </w:p>
        </w:tc>
        <w:tc>
          <w:tcPr>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DRAFT — Unvalidated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Date of initial draft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April 2026</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Date of last review</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Not yet reviewed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Reviewer name(s)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Not yet reviewed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Notes for reviewers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color w:val="000000"/>
                <w:sz w:val="16"/>
                <w:szCs w:val="16"/>
              </w:rPr>
              <w:t xml:space="preserve">1. Species list — the profile provides only general taxonomic framing; reviewer must supply the primary indicator species list for each major deployment region (South and South-East Asia, sub-Saharan Africa, South America, Mediterranean, and warm-temperate North America).</w:t>
            </w:r>
          </w:p>
          <w:p>
            <w:pPr>
              <w:spacing w:after="60" w:before="0"/>
              <w:jc w:val="left"/>
            </w:pPr>
            <w:r>
              <w:rPr>
                <w:rFonts w:ascii="Arial" w:cs="Arial" w:eastAsia="Arial" w:hAnsi="Arial"/>
                <w:b w:val="false"/>
                <w:bCs w:val="false"/>
                <w:color w:val="000000"/>
                <w:sz w:val="16"/>
                <w:szCs w:val="16"/>
              </w:rPr>
              <w:t xml:space="preserve">2. Harvest pressure — in many tropical deployment contexts, freshwater turtles are harvested for food, traditional medicine, and the pet trade. Reviewer should confirm whether harvest monitoring should be included as a pressure metric in addition to habitat quality indicators.</w:t>
            </w:r>
          </w:p>
          <w:p>
            <w:pPr>
              <w:spacing w:after="80" w:before="0"/>
              <w:jc w:val="left"/>
            </w:pPr>
            <w:r>
              <w:rPr>
                <w:rFonts w:ascii="Arial" w:cs="Arial" w:eastAsia="Arial" w:hAnsi="Arial"/>
                <w:b w:val="false"/>
                <w:bCs w:val="false"/>
                <w:color w:val="000000"/>
                <w:sz w:val="16"/>
                <w:szCs w:val="16"/>
              </w:rPr>
              <w:t xml:space="preserve">3. Basking survey safety — turtle basking surveys require approaching water bodies quietly; reviewer should confirm whether this requires different safety protocols from standard water margin surveys for tropical deployment contexts with crocodilian or hippopotamus presence.</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4A7C3F"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IDENTITY BLOCK</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Profile number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38</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Plain language name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Freshwater turtles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Category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Aquatic communities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Tier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Conditional</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Conditionality criteria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Activate where freshwater turtle species are ecologically present and regionally significant within or adjacent to farm water bodies. Key activation signal: at least one freshwater turtle species confirmed present in the monitored landscape's water bodies. Not applicable in cool temperate biomes where freshwater turtles are absent or only marginally present.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Hard prerequisite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Permanent water body (pond, river, irrigation canal, rice paddy system, or equivalent) with confirmed or likely turtle presence. Water body must retain water year-round or through a defined seasonal wet period adequate for turtle survival.</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Taxonomic position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Order: Testudines; Suborders Cryptodira and Pleurodira. Freshwater turtles are ectothermic aquatic or semi-aquatic reptiles requiring both water (foraging, thermoregulation, reproduction) and terrestrial habitat (nesting, basking). Ecologically significant families in agricultural monitoring contexts by region: Asia: Geoemydidae (Cuora, Mauremys, Heosemys species — many critically endangered, subject to intense harvest pressure); Africa: Pelomedusidae (Pelusios species — widespread; indicators of water body permanence and quality); Americas: Emydidae (Trachemys, Pseudemys, Chrysemys species — widespread; some invasive Trachemys scripta populations in agricultural ponds globally [geo]); Mediterranean/Middle East: Emydidae (Emys orbicularis — legally protected in EU; indicator of clean, permanent, fish-rich water with adequate basking habitat [geo]).</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Primary monitoring role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Water body quality and permanence indicator — freshwater turtle population presence, basking count, and population size reflect water body permanence, water quality (fish prey availability), terrestrial nesting habitat quality, and landscape connectivity. Long-lived sentinel species — turtles live 20–50+ years and integrate decades of environmental conditions; their presence confirms long-term habitat suitability that shorter-lived species cannot establish.</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Monitoring task type (→ ILM col 28)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Biological count-based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Functional role — plain language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A freshwater turtle basking on a log at the edge of a farm pond is a biological statement about decades of management. Turtles take 5–15 years to reach sexual maturity and live for decades — their presence in a water body confirms that conditions have been adequate for the full life cycle for longer than most monitoring programmes have existed. They are simultaneously an indicator of water quality (fish prey), habitat permanence, nesting habitat quality, and freedom from excessive harvest pressure. And in agricultural contexts across tropical Asia and Africa, they face an additional pressure that no temperate species confronts: direct harvest for food and traditional medicine, which can eliminate populations from apparently suitable habitats within a few years of access.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ECOLOGICAL RATIONALE</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5D4037" w:sz="1"/>
              <w:left w:val="single" w:color="5D4037" w:sz="1"/>
              <w:bottom w:val="single" w:color="5D4037" w:sz="1"/>
              <w:right w:val="single" w:color="5D4037" w:sz="1"/>
            </w:tcBorders>
            <w:shd w:fill="EFEBE9" w:val="clear"/>
            <w:tcMar>
              <w:top w:type="dxa" w:w="120"/>
              <w:left w:type="dxa" w:w="160"/>
              <w:bottom w:type="dxa" w:w="120"/>
              <w:right w:type="dxa" w:w="160"/>
            </w:tcMar>
          </w:tcPr>
          <w:p>
            <w:pPr>
              <w:spacing w:after="80" w:before="0"/>
              <w:jc w:val="left"/>
            </w:pPr>
            <w:r>
              <w:rPr>
                <w:rFonts w:ascii="Arial" w:cs="Arial" w:eastAsia="Arial" w:hAnsi="Arial"/>
                <w:b w:val="false"/>
                <w:bCs w:val="false"/>
                <w:color w:val="000000"/>
                <w:sz w:val="17"/>
                <w:szCs w:val="17"/>
              </w:rPr>
              <w:t xml:space="preserve">Freshwater turtles are among the most globally threatened vertebrate groups — approximately 61% of turtle species are threatened with extinction, driven primarily by harvest pressure in Asia and by habitat loss globally (van Dijk et al. 2014). In agricultural landscapes, their monitoring value combines water quality indication with a direct conservation outcome: a farm pond with a resident turtle population may be sustaining a population of a threatened species. Non-invasive basking surveys — approaching the water body quietly and counting individuals on exposed basking sites — provide a population index accessible to community observers without handling.</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Monitoring stage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Slow (Stage 3, Year 5–10+). Long-lived species with slow reproductive rates; population trends require long time series. Basking count index responds within 2–5 seasons of habitat improvement.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Response timescale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before="0"/>
              <w:jc w:val="left"/>
            </w:pPr>
            <w:r>
              <w:rPr>
                <w:rFonts w:ascii="Arial" w:cs="Arial" w:eastAsia="Arial" w:hAnsi="Arial"/>
                <w:b w:val="false"/>
                <w:bCs w:val="false"/>
                <w:color w:val="000000"/>
                <w:sz w:val="17"/>
                <w:szCs w:val="17"/>
              </w:rPr>
              <w:t xml:space="preserve">Medium (3–7 years): Basking count index increasing at improved water bodies following livestock exclusion and water quality improvement — adults respond to improved conditions within a few seasons (Sievert &amp; Gutzke 1993).</w:t>
            </w:r>
          </w:p>
          <w:p>
            <w:pPr>
              <w:spacing w:after="80" w:before="0"/>
              <w:jc w:val="left"/>
            </w:pPr>
            <w:r>
              <w:rPr>
                <w:rFonts w:ascii="Arial" w:cs="Arial" w:eastAsia="Arial" w:hAnsi="Arial"/>
                <w:b w:val="false"/>
                <w:bCs w:val="false"/>
                <w:color w:val="000000"/>
                <w:sz w:val="16"/>
                <w:szCs w:val="16"/>
              </w:rPr>
              <w:t xml:space="preserve">Very slow (10–25 years): Population recruitment improvement (juvenile turtles appearing in basking surveys) requires sustained habitat improvement across multiple reproductive cycles — most freshwater turtle species require 10+ years from habitat recovery before juvenile cohorts appear in monitoring data.</w:t>
            </w:r>
          </w:p>
        </w:tc>
      </w:tr>
    </w:tbl>
    <w:p>
      <w:pPr>
        <w:spacing w:after="40" w:before="0"/>
      </w:pPr>
      <w:r>
        <w:rPr>
          <w:rFonts w:ascii="Arial" w:cs="Arial" w:eastAsia="Arial" w:hAnsi="Arial"/>
          <w:b w:val="false"/>
          <w:bCs w:val="false"/>
          <w:color w:val="000000"/>
          <w:sz w:val="18"/>
          <w:szCs w:val="18"/>
        </w:rPr>
        <w:t xml:space="preserve"> </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4A7C3F" w:val="clear"/>
            <w:tcMar>
              <w:top w:type="dxa" w:w="120"/>
              <w:left w:type="dxa" w:w="180"/>
              <w:bottom w:type="dxa" w:w="120"/>
              <w:right w:type="dxa" w:w="180"/>
            </w:tcMar>
          </w:tcPr>
          <w:p>
            <w:pPr>
              <w:spacing w:after="80" w:before="0"/>
              <w:jc w:val="left"/>
            </w:pPr>
            <w:r>
              <w:rPr>
                <w:rFonts w:ascii="Arial" w:cs="Arial" w:eastAsia="Arial" w:hAnsi="Arial"/>
                <w:b/>
                <w:bCs/>
                <w:color w:val="FFFFFF"/>
                <w:sz w:val="18"/>
                <w:szCs w:val="18"/>
              </w:rPr>
              <w:t xml:space="preserve">LAYER 1 — ECOLOGICAL PROFILE</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LINKAGE A — STEP 1 CONNECTIONS (selected)</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Block 4 #</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Pressure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Mechanism</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17</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Water pollution from internal sources</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Eutrophication reduces dissolved oxygen and eliminates fish prey communities — directly reducing the food base for omnivorous and carnivorous turtle species. Sediment runoff eliminates clear shallow basking areas and nesting substrate quality. Water quality decline is the primary non-harvest driver of freshwater turtle population decline in agricultural landscapes (van Dijk et al. 2014).</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15</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Unsustainable water management — drainage</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Drainage and seasonal drying of farm ponds and irrigation channels eliminates freshwater turtle habitat. Turtles cannot survive multi-year drought in most systems — their populations collapse rapidly when water body permanence is lost.</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21</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Introduction and spread of invasive species — harvest and predator pressure</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Introduced predators (raccoons, pigs, monitor lizards) at turtle nesting sites eliminate entire cohorts of eggs and hatchlings. Commercial and subsistence harvest of adults — particularly in Asian agricultural systems — is the primary cause of freshwater turtle decline globally (van Dijk et al. 2014).</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C3E50" w:sz="1"/>
              <w:left w:val="single" w:color="2C3E50" w:sz="1"/>
              <w:bottom w:val="single" w:color="2C3E50" w:sz="1"/>
              <w:right w:val="single" w:color="2C3E50" w:sz="1"/>
            </w:tcBorders>
            <w:shd w:fill="2C3E50"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A3 — Block 6 ecosystem services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6360"/>
      </w:tblGrid>
      <w:tr>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Block 6 #</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Service</w:t>
            </w:r>
          </w:p>
        </w:tc>
        <w:tc>
          <w:tcPr>
            <w:tcBorders>
              <w:top w:val="single" w:color="2C3E50" w:sz="1"/>
              <w:left w:val="single" w:color="2C3E50" w:sz="1"/>
              <w:bottom w:val="single" w:color="2C3E50" w:sz="1"/>
              <w:right w:val="single" w:color="2C3E50" w:sz="1"/>
            </w:tcBorders>
            <w:shd w:fill="2C3E50"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Contribution</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19</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Water purification</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Freshwater turtles consume dead fish, invertebrates, and aquatic vegetation — functioning as scavengers and grazers that improve water clarity and reduce organic matter accumulation. Dense turtle populations in rice paddy systems have been documented to improve water quality through consumption of algae and organic debris (van Dijk et al. 2014).</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6</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Wild animal provisioning</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In many tropical and subtropical cultures, freshwater turtles are a traditional food and livelihood resource. Their presence in farm water bodies represents a directly utilisable provisioning service. Sustainable management of turtle populations can contribute to rural food security while maintaining the ecological indicator function.</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BC9C" w:sz="1"/>
              <w:left w:val="single" w:color="1ABC9C" w:sz="1"/>
              <w:bottom w:val="single" w:color="1ABC9C" w:sz="1"/>
              <w:right w:val="single" w:color="1ABC9C" w:sz="1"/>
            </w:tcBorders>
            <w:shd w:fill="1ABC9C" w:val="clear"/>
            <w:tcMar>
              <w:top w:type="dxa" w:w="120"/>
              <w:left w:type="dxa" w:w="180"/>
              <w:bottom w:type="dxa" w:w="120"/>
              <w:right w:type="dxa" w:w="180"/>
            </w:tcMar>
          </w:tcPr>
          <w:p>
            <w:pPr>
              <w:spacing w:after="80" w:before="0"/>
              <w:jc w:val="left"/>
            </w:pPr>
            <w:r>
              <w:rPr>
                <w:rFonts w:ascii="Arial" w:cs="Arial" w:eastAsia="Arial" w:hAnsi="Arial"/>
                <w:b/>
                <w:bCs/>
                <w:color w:val="FFFFFF"/>
                <w:sz w:val="16"/>
                <w:szCs w:val="16"/>
              </w:rPr>
              <w:t xml:space="preserve">A8 — Abiotic precursor linkages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Borders>
              <w:top w:val="single" w:color="1ABC9C" w:sz="1"/>
              <w:left w:val="single" w:color="1ABC9C" w:sz="1"/>
              <w:bottom w:val="single" w:color="1ABC9C" w:sz="1"/>
              <w:right w:val="single" w:color="1ABC9C" w:sz="1"/>
            </w:tcBorders>
            <w:shd w:fill="1ABC9C"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LAHMP Abiotic ID</w:t>
            </w:r>
          </w:p>
        </w:tc>
        <w:tc>
          <w:tcPr>
            <w:tcBorders>
              <w:top w:val="single" w:color="1ABC9C" w:sz="1"/>
              <w:left w:val="single" w:color="1ABC9C" w:sz="1"/>
              <w:bottom w:val="single" w:color="1ABC9C" w:sz="1"/>
              <w:right w:val="single" w:color="1ABC9C" w:sz="1"/>
            </w:tcBorders>
            <w:shd w:fill="1ABC9C"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Indicator</w:t>
            </w:r>
          </w:p>
        </w:tc>
        <w:tc>
          <w:tcPr>
            <w:tcBorders>
              <w:top w:val="single" w:color="1ABC9C" w:sz="1"/>
              <w:left w:val="single" w:color="1ABC9C" w:sz="1"/>
              <w:bottom w:val="single" w:color="1ABC9C" w:sz="1"/>
              <w:right w:val="single" w:color="1ABC9C" w:sz="1"/>
            </w:tcBorders>
            <w:shd w:fill="1ABC9C"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Expected relationship</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A18</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Dissolved oxygen (DO)</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Adequate DO is the primary water quality precursor for turtle habitat suitability — turtles and their fish/invertebrate prey require oxygenated water. DO improvement precedes fish community recovery (Profile 18) by 1–2 seasons and turtle basking count improvement by a further 2–4 seasons.</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A16</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Water turbidity</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Declining turbidity enables turtle visual foraging in clear water and reveals basking sites. Turbidity improvement precedes basking count increases by 1–3 seasons as clear-water basking microhabitats become accessible.</w:t>
            </w:r>
          </w:p>
        </w:tc>
      </w:tr>
    </w:tbl>
    <w:p>
      <w:pPr>
        <w:spacing w:after="40" w:before="0"/>
      </w:pPr>
      <w:r>
        <w:rPr>
          <w:rFonts w:ascii="Arial" w:cs="Arial" w:eastAsia="Arial" w:hAnsi="Arial"/>
          <w:b w:val="false"/>
          <w:bCs w:val="false"/>
          <w:color w:val="000000"/>
          <w:sz w:val="18"/>
          <w:szCs w:val="18"/>
        </w:rPr>
        <w:t xml:space="preserve"> </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4A7C3F" w:val="clear"/>
            <w:tcMar>
              <w:top w:type="dxa" w:w="120"/>
              <w:left w:type="dxa" w:w="180"/>
              <w:bottom w:type="dxa" w:w="120"/>
              <w:right w:type="dxa" w:w="180"/>
            </w:tcMar>
          </w:tcPr>
          <w:p>
            <w:pPr>
              <w:spacing w:after="80" w:before="0"/>
              <w:jc w:val="left"/>
            </w:pPr>
            <w:r>
              <w:rPr>
                <w:rFonts w:ascii="Arial" w:cs="Arial" w:eastAsia="Arial" w:hAnsi="Arial"/>
                <w:b/>
                <w:bCs/>
                <w:color w:val="FFFFFF"/>
                <w:sz w:val="18"/>
                <w:szCs w:val="18"/>
              </w:rPr>
              <w:t xml:space="preserve">LAYER 2 — PROTOCOL MENU</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B9E3F" w:sz="1"/>
              <w:left w:val="single" w:color="6B9E3F" w:sz="1"/>
              <w:bottom w:val="single" w:color="6B9E3F" w:sz="1"/>
              <w:right w:val="single" w:color="6B9E3F" w:sz="1"/>
            </w:tcBorders>
            <w:shd w:fill="6B9E3F" w:val="clear"/>
            <w:tcMar>
              <w:top w:type="dxa" w:w="100"/>
              <w:left w:type="dxa" w:w="160"/>
              <w:bottom w:type="dxa" w:w="100"/>
              <w:right w:type="dxa" w:w="160"/>
            </w:tcMar>
          </w:tcPr>
          <w:p>
            <w:pPr>
              <w:spacing w:after="80" w:before="0"/>
              <w:jc w:val="left"/>
            </w:pPr>
            <w:r>
              <w:rPr>
                <w:rFonts w:ascii="Arial" w:cs="Arial" w:eastAsia="Arial" w:hAnsi="Arial"/>
                <w:b/>
                <w:bCs/>
                <w:color w:val="FFFFFF"/>
                <w:sz w:val="17"/>
                <w:szCs w:val="17"/>
              </w:rPr>
              <w:t xml:space="preserve">LEVEL 1 — Community observer or farmer</w:t>
            </w:r>
          </w:p>
          <w:p>
            <w:pPr>
              <w:spacing w:after="80" w:before="0"/>
              <w:jc w:val="left"/>
            </w:pPr>
            <w:r>
              <w:rPr>
                <w:rFonts w:ascii="Arial" w:cs="Arial" w:eastAsia="Arial" w:hAnsi="Arial"/>
                <w:b w:val="false"/>
                <w:bCs w:val="false"/>
                <w:color w:val="FFFFFF"/>
                <w:sz w:val="16"/>
                <w:szCs w:val="16"/>
              </w:rPr>
              <w:t xml:space="preserve">Basking count survey — approaching the water body quietly and counting all turtles visible basking on exposed surfaces. No handling or water entry required.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Protocol name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Freshwater turtle basking count survey — community observer population index</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What it measures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Total turtle count per survey at the monitoring water body; size class distribution (juvenile / sub-adult / adult by carapace size estimate); species identification where possible; basking site count (number of distinct occupied basking sites).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Operational description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40" w:before="0"/>
              <w:jc w:val="left"/>
            </w:pPr>
            <w:r>
              <w:rPr>
                <w:rFonts w:ascii="Arial" w:cs="Arial" w:eastAsia="Arial" w:hAnsi="Arial"/>
                <w:b w:val="false"/>
                <w:bCs w:val="false"/>
                <w:color w:val="000000"/>
                <w:sz w:val="17"/>
                <w:szCs w:val="17"/>
              </w:rPr>
              <w:t xml:space="preserve">1. Approach the water body from downwind, moving very slowly and stopping 10m from the bank. Use binoculars to scan all exposed surfaces — logs, rocks, mud banks, and vegetation mats — for basking turtles. Turtles thermoregulate in the morning (08:00–11:00 on sunny days); survey only in warm, sunny conditions (air temperature &gt;18°C [~]).</w:t>
            </w:r>
          </w:p>
          <w:p>
            <w:pPr>
              <w:spacing w:after="40" w:before="0"/>
              <w:jc w:val="left"/>
            </w:pPr>
            <w:r>
              <w:rPr>
                <w:rFonts w:ascii="Arial" w:cs="Arial" w:eastAsia="Arial" w:hAnsi="Arial"/>
                <w:b w:val="false"/>
                <w:bCs w:val="false"/>
                <w:color w:val="000000"/>
                <w:sz w:val="17"/>
                <w:szCs w:val="17"/>
              </w:rPr>
              <w:t xml:space="preserve">2. Count all visible turtles. For each individual record: carapace size class (small &lt;10cm / medium 10–20cm / large &gt;20cm); basking position (log / rock / bank / vegetation mat); species identification using regional photographic guide if possible.</w:t>
            </w:r>
          </w:p>
          <w:p>
            <w:pPr>
              <w:spacing w:after="80" w:before="0"/>
              <w:jc w:val="left"/>
            </w:pPr>
            <w:r>
              <w:rPr>
                <w:rFonts w:ascii="Arial" w:cs="Arial" w:eastAsia="Arial" w:hAnsi="Arial"/>
                <w:b w:val="false"/>
                <w:bCs w:val="false"/>
                <w:color w:val="000000"/>
                <w:sz w:val="17"/>
                <w:szCs w:val="17"/>
              </w:rPr>
              <w:t xml:space="preserve">3. Record total basking sites available (exposed surfaces suitable for basking) and proportion occupied. This occupancy metric normalises for habitat availability variation.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Equipment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Binoculars (10×); field datasheet; camera with zoom lens; photographic turtle identification guide (regional).</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Skill level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Community observer. Turtle recognition (reptile basking on surface, rounded shell visible from distance) requires no specialist training. Species identification from carapace pattern and head shape requires a 30-minute photographic briefing for common regional species.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Seasonal window — primary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Warm season — when turtles are most active and basking most frequently. In tropical contexts: dry season mornings when water levels are lower and basking sites more exposed. In subtropical contexts: spring–autumn warm period.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Duration per site visit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20–30 minutes quiet observation approach plus counting period.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Minimum visits per year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3–4 across the active season.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Minimum monitoring period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5 years for basking count index trends.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Output metric</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Maximum basking count per survey; size class proportions; species list; basking site occupancy ratio (turtles/available basking sites).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Photography guidance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(1) Photograph the full water body from the observation position showing basking sites. (2) Individual turtle photographs — carapace dorsal view for species identification. Use maximum optical zoom without disturbing turtles — any movement closer causes immediate submergence.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Safety and access notes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Water margin approach — all standard water margin safety precautions. In African and Asian tropical contexts: check for crocodilian or hippopotamus presence before approaching water margins. In South American contexts: be aware of electric eels and anacondas near water. Never enter water for turtle survey at Level 1. Turtle handling requires licence — do not handle at this level.</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Primary reference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van Dijk PP et al. (2014) — see References.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ABC9C" w:sz="1"/>
              <w:left w:val="single" w:color="1ABC9C" w:sz="1"/>
              <w:bottom w:val="single" w:color="1ABC9C" w:sz="1"/>
              <w:right w:val="single" w:color="1ABC9C" w:sz="1"/>
            </w:tcBorders>
            <w:shd w:fill="1ABC9C" w:val="clear"/>
            <w:tcMar>
              <w:top w:type="dxa" w:w="100"/>
              <w:left w:type="dxa" w:w="160"/>
              <w:bottom w:type="dxa" w:w="100"/>
              <w:right w:type="dxa" w:w="160"/>
            </w:tcMar>
          </w:tcPr>
          <w:p>
            <w:pPr>
              <w:spacing w:after="80" w:before="0"/>
              <w:jc w:val="left"/>
            </w:pPr>
            <w:r>
              <w:rPr>
                <w:rFonts w:ascii="Arial" w:cs="Arial" w:eastAsia="Arial" w:hAnsi="Arial"/>
                <w:b/>
                <w:bCs/>
                <w:color w:val="FFFFFF"/>
                <w:sz w:val="17"/>
                <w:szCs w:val="17"/>
              </w:rPr>
              <w:t xml:space="preserve">LEVEL 2 — Trained field technician</w:t>
            </w:r>
          </w:p>
          <w:p>
            <w:pPr>
              <w:spacing w:after="80" w:before="0"/>
              <w:jc w:val="left"/>
            </w:pPr>
            <w:r>
              <w:rPr>
                <w:rFonts w:ascii="Arial" w:cs="Arial" w:eastAsia="Arial" w:hAnsi="Arial"/>
                <w:b w:val="false"/>
                <w:bCs w:val="false"/>
                <w:color w:val="FFFFFF"/>
                <w:sz w:val="16"/>
                <w:szCs w:val="16"/>
              </w:rPr>
              <w:t xml:space="preserve">Hoop trap survey with rapid measurement and release — floating hoop traps baited with sardines provide quantitative capture-per-unit-effort and size class data.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Protocol name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Hoop trap survey — quantitative turtle abundance and population structure assessment</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What it measures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Capture per unit effort (turtles per trap per night); size class distribution; sex ratio (where external sex determination possible); species composition; individual identification from notching or photography.</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Operational description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Deploy 5–10 floating hoop traps (60cm diameter, double-funnel entry, float collar to allow air breathing) baited with sardines at fixed monitoring positions around the water body. Traps must have float collar to prevent drowning — check every 4 hours and retrieve before 08:00 to avoid daytime heat stress. For each capture: identify species; measure carapace length and width; determine sex if possible; photograph; release at point of capture.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Equipment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Floating hoop traps with float collar (critical welfare requirement); sardine bait; measuring tape; field datasheet; camera; waterproof boots.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Skill level required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Trained field technician with hoop trap deployment experience and turtle species identification training for regional species.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Seasonal window — primary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Warm season when turtles are most active.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Duration per site visit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30 minutes deployment; 4-hour check intervals; morning retrieval.</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Output metric</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Capture per unit effort (CPUE); size class proportions; male:female ratio; species composition.</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Safety and access notes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Float collar is mandatory — turtles drown in submerged traps rapidly. Check traps every 4 hours maximum. Turtle handling: firm but gentle — turtles bite strongly; hold from carapace sides. Handling licence required where species are protected.</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Primary reference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Sievert &amp; Gutzke (1993) — see References.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6C3483" w:sz="1"/>
              <w:left w:val="single" w:color="6C3483" w:sz="1"/>
              <w:bottom w:val="single" w:color="6C3483" w:sz="1"/>
              <w:right w:val="single" w:color="6C3483" w:sz="1"/>
            </w:tcBorders>
            <w:shd w:fill="6C3483" w:val="clear"/>
            <w:tcMar>
              <w:top w:type="dxa" w:w="100"/>
              <w:left w:type="dxa" w:w="160"/>
              <w:bottom w:type="dxa" w:w="100"/>
              <w:right w:type="dxa" w:w="160"/>
            </w:tcMar>
          </w:tcPr>
          <w:p>
            <w:pPr>
              <w:spacing w:after="80" w:before="0"/>
              <w:jc w:val="left"/>
            </w:pPr>
            <w:r>
              <w:rPr>
                <w:rFonts w:ascii="Arial" w:cs="Arial" w:eastAsia="Arial" w:hAnsi="Arial"/>
                <w:b/>
                <w:bCs/>
                <w:color w:val="FFFFFF"/>
                <w:sz w:val="17"/>
                <w:szCs w:val="17"/>
              </w:rPr>
              <w:t xml:space="preserve">LEVEL 3 — Specialist</w:t>
            </w:r>
          </w:p>
          <w:p>
            <w:pPr>
              <w:spacing w:after="80" w:before="0"/>
              <w:jc w:val="left"/>
            </w:pPr>
            <w:r>
              <w:rPr>
                <w:rFonts w:ascii="Arial" w:cs="Arial" w:eastAsia="Arial" w:hAnsi="Arial"/>
                <w:b w:val="false"/>
                <w:bCs w:val="false"/>
                <w:color w:val="FFFFFF"/>
                <w:sz w:val="16"/>
                <w:szCs w:val="16"/>
              </w:rPr>
              <w:t xml:space="preserve">Mark-recapture population estimation with PIT tagging and eDNA species detection.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Protocol name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Mark-recapture population estimation with PIT tagging and eDNA</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What it measures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Population size estimate (N) per species; annual survival probability; eDNA detection and quantification per species; nest site mapping.</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Operational description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PIT tag implant (licensed) in each captured individual; multi-session recapture for Jolly-Seber estimates. eDNA: water samples filtered and extracted as Profile 18 (Fish) eDNA protocol, with species-specific turtle qPCR primers. Nest site survey: walk terrestrial habitat within 500m of water body in June–July for egg laying signs.</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Output metric</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Population size estimate; survival probability; eDNA concentration (copies/L); nest site count and success rate.</w:t>
            </w:r>
          </w:p>
        </w:tc>
      </w:tr>
      <w:tr>
        <w:tc>
          <w:tcPr>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after="80" w:before="0"/>
              <w:jc w:val="left"/>
            </w:pPr>
            <w:r>
              <w:rPr>
                <w:rFonts w:ascii="Arial" w:cs="Arial" w:eastAsia="Arial" w:hAnsi="Arial"/>
                <w:b/>
                <w:bCs/>
                <w:color w:val="000000"/>
                <w:sz w:val="17"/>
                <w:szCs w:val="17"/>
              </w:rPr>
              <w:t xml:space="preserve">Primary references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80" w:before="0"/>
              <w:jc w:val="left"/>
            </w:pPr>
            <w:r>
              <w:rPr>
                <w:rFonts w:ascii="Arial" w:cs="Arial" w:eastAsia="Arial" w:hAnsi="Arial"/>
                <w:b w:val="false"/>
                <w:bCs w:val="false"/>
                <w:color w:val="000000"/>
                <w:sz w:val="17"/>
                <w:szCs w:val="17"/>
              </w:rPr>
              <w:t xml:space="preserve">van Dijk et al. (2014); Sievert &amp; Gutzke (1993) — see References.</w:t>
            </w:r>
          </w:p>
        </w:tc>
      </w:tr>
    </w:tbl>
    <w:p>
      <w:pPr>
        <w:spacing w:after="40" w:before="0"/>
      </w:pPr>
      <w:r>
        <w:rPr>
          <w:rFonts w:ascii="Arial" w:cs="Arial" w:eastAsia="Arial" w:hAnsi="Arial"/>
          <w:b w:val="false"/>
          <w:bCs w:val="false"/>
          <w:color w:val="000000"/>
          <w:sz w:val="18"/>
          <w:szCs w:val="18"/>
        </w:rPr>
        <w:t xml:space="preserve"> </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4A7C3F" w:sz="1"/>
              <w:left w:val="single" w:color="4A7C3F" w:sz="1"/>
              <w:bottom w:val="single" w:color="4A7C3F" w:sz="1"/>
              <w:right w:val="single" w:color="4A7C3F" w:sz="1"/>
            </w:tcBorders>
            <w:shd w:fill="4A7C3F" w:val="clear"/>
            <w:tcMar>
              <w:top w:type="dxa" w:w="80"/>
              <w:left w:type="dxa" w:w="140"/>
              <w:bottom w:type="dxa" w:w="80"/>
              <w:right w:type="dxa" w:w="140"/>
            </w:tcMar>
          </w:tcPr>
          <w:p>
            <w:pPr>
              <w:spacing w:after="80" w:before="0"/>
              <w:jc w:val="left"/>
            </w:pPr>
            <w:r>
              <w:rPr>
                <w:rFonts w:ascii="Arial" w:cs="Arial" w:eastAsia="Arial" w:hAnsi="Arial"/>
                <w:b/>
                <w:bCs/>
                <w:color w:val="FFFFFF"/>
                <w:sz w:val="17"/>
                <w:szCs w:val="17"/>
              </w:rPr>
              <w:t xml:space="preserve">REFERENCES</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2300"/>
        <w:gridCol w:w="2260"/>
      </w:tblGrid>
      <w:tr>
        <w:tc>
          <w:tcPr>
            <w:tcBorders>
              <w:top w:val="single" w:color="4A7C3F" w:sz="1"/>
              <w:left w:val="single" w:color="4A7C3F" w:sz="1"/>
              <w:bottom w:val="single" w:color="4A7C3F" w:sz="1"/>
              <w:right w:val="single" w:color="4A7C3F" w:sz="1"/>
            </w:tcBorders>
            <w:shd w:fill="4A7C3F"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Citation (full reference)</w:t>
            </w:r>
          </w:p>
        </w:tc>
        <w:tc>
          <w:tcPr>
            <w:tcBorders>
              <w:top w:val="single" w:color="4A7C3F" w:sz="1"/>
              <w:left w:val="single" w:color="4A7C3F" w:sz="1"/>
              <w:bottom w:val="single" w:color="4A7C3F" w:sz="1"/>
              <w:right w:val="single" w:color="4A7C3F" w:sz="1"/>
            </w:tcBorders>
            <w:shd w:fill="4A7C3F"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DOI or URL</w:t>
            </w:r>
          </w:p>
        </w:tc>
        <w:tc>
          <w:tcPr>
            <w:tcBorders>
              <w:top w:val="single" w:color="4A7C3F" w:sz="1"/>
              <w:left w:val="single" w:color="4A7C3F" w:sz="1"/>
              <w:bottom w:val="single" w:color="4A7C3F" w:sz="1"/>
              <w:right w:val="single" w:color="4A7C3F" w:sz="1"/>
            </w:tcBorders>
            <w:shd w:fill="4A7C3F" w:val="clear"/>
            <w:tcMar>
              <w:top w:type="dxa" w:w="60"/>
              <w:left w:type="dxa" w:w="100"/>
              <w:bottom w:type="dxa" w:w="60"/>
              <w:right w:type="dxa" w:w="100"/>
            </w:tcMar>
          </w:tcPr>
          <w:p>
            <w:pPr>
              <w:spacing w:after="80" w:before="0"/>
              <w:jc w:val="left"/>
            </w:pPr>
            <w:r>
              <w:rPr>
                <w:rFonts w:ascii="Arial" w:cs="Arial" w:eastAsia="Arial" w:hAnsi="Arial"/>
                <w:b/>
                <w:bCs/>
                <w:color w:val="FFFFFF"/>
                <w:sz w:val="16"/>
                <w:szCs w:val="16"/>
              </w:rPr>
              <w:t xml:space="preserve">Section cited in</w:t>
            </w:r>
          </w:p>
        </w:tc>
      </w:tr>
      <w:tr>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Sievert LM, Gutzke WHN (1993) Thermoregulatory behaviour of hatchling map turtles, Graptemys pseudogeographica. Copeia 1993:172–176.</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https://doi.org/10.2307/1446309</w:t>
            </w:r>
          </w:p>
        </w:tc>
        <w:tc>
          <w:tcPr>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Response timescale; Protocol Level 2</w:t>
            </w:r>
          </w:p>
        </w:tc>
      </w:tr>
      <w:tr>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van Dijk PP, Stuart BL, Rhodin AGJ (eds) (2014) Asian Turtle Trade: Proceedings of a Workshop on Conservation and Trade of Freshwater Turtles and Tortoises in Asia. Chelonian Research Monographs 2.</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https://www.iucn-tftsg.org/</w:t>
            </w:r>
          </w:p>
        </w:tc>
        <w:tc>
          <w:tcPr>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pPr>
              <w:spacing w:after="80" w:before="0"/>
              <w:jc w:val="left"/>
            </w:pPr>
            <w:r>
              <w:rPr>
                <w:rFonts w:ascii="Arial" w:cs="Arial" w:eastAsia="Arial" w:hAnsi="Arial"/>
                <w:b w:val="false"/>
                <w:bCs w:val="false"/>
                <w:color w:val="000000"/>
                <w:sz w:val="16"/>
                <w:szCs w:val="16"/>
              </w:rPr>
              <w:t xml:space="preserve">A1; A3; Ecological rationale; Protocol Level 1</w:t>
            </w:r>
          </w:p>
        </w:tc>
      </w:tr>
    </w:tbl>
    <w:p>
      <w:pPr>
        <w:spacing w:after="40" w:before="0"/>
      </w:pPr>
      <w:r>
        <w:rPr>
          <w:rFonts w:ascii="Arial" w:cs="Arial" w:eastAsia="Arial" w:hAnsi="Arial"/>
          <w:b w:val="false"/>
          <w:bCs w:val="false"/>
          <w:color w:val="000000"/>
          <w:sz w:val="18"/>
          <w:szCs w:val="1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D3C98" w:sz="1"/>
              <w:left w:val="single" w:color="7D3C98" w:sz="1"/>
              <w:bottom w:val="single" w:color="7D3C98" w:sz="1"/>
              <w:right w:val="single" w:color="7D3C98" w:sz="1"/>
            </w:tcBorders>
            <w:shd w:fill="7D3C98" w:val="clear"/>
            <w:tcMar>
              <w:top w:type="dxa" w:w="120"/>
              <w:left w:type="dxa" w:w="180"/>
              <w:bottom w:type="dxa" w:w="120"/>
              <w:right w:type="dxa" w:w="180"/>
            </w:tcMar>
          </w:tcPr>
          <w:p>
            <w:pPr>
              <w:spacing w:after="80" w:before="0"/>
              <w:jc w:val="left"/>
            </w:pPr>
            <w:r>
              <w:rPr>
                <w:rFonts w:ascii="Arial" w:cs="Arial" w:eastAsia="Arial" w:hAnsi="Arial"/>
                <w:b/>
                <w:bCs/>
                <w:color w:val="FFFFFF"/>
                <w:sz w:val="15"/>
                <w:szCs w:val="15"/>
              </w:rPr>
              <w:t xml:space="preserve">END OF PROFILE 38 — Freshwater turtles (Conditional)</w:t>
            </w:r>
          </w:p>
        </w:tc>
      </w:tr>
    </w:tbl>
    <w:sectPr>
      <w:head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Borders>
            <w:bottom w:val="single" w:color="7D3C98" w:sz="3"/>
          </w:tcBorders>
          <w:tcMar>
            <w:bottom w:type="dxa" w:w="60"/>
          </w:tcMar>
        </w:tcPr>
        <w:p>
          <w:pPr>
            <w:spacing w:after="80" w:before="0"/>
            <w:jc w:val="left"/>
          </w:pPr>
          <w:r>
            <w:rPr>
              <w:rFonts w:ascii="Arial" w:cs="Arial" w:eastAsia="Arial" w:hAnsi="Arial"/>
              <w:b w:val="false"/>
              <w:bCs w:val="false"/>
              <w:color w:val="7D3C98"/>
              <w:sz w:val="13"/>
              <w:szCs w:val="13"/>
            </w:rPr>
            <w:t xml:space="preserve">LAHMP — Profile 38 — Freshwater turtles [CONDITIONAL]</w:t>
          </w:r>
        </w:p>
      </w:tc>
      <w:tc>
        <w:tcPr>
          <w:tcBorders>
            <w:bottom w:val="single" w:color="7D3C98" w:sz="3"/>
          </w:tcBorders>
          <w:tcMar>
            <w:bottom w:type="dxa" w:w="60"/>
          </w:tcMar>
        </w:tcPr>
        <w:p>
          <w:pPr>
            <w:spacing w:after="80" w:before="0"/>
            <w:jc w:val="right"/>
          </w:pPr>
          <w:r>
            <w:rPr>
              <w:rFonts w:ascii="Arial" w:cs="Arial" w:eastAsia="Arial" w:hAnsi="Arial"/>
              <w:b w:val="false"/>
              <w:bCs w:val="false"/>
              <w:color w:val="888888"/>
              <w:sz w:val="15"/>
              <w:szCs w:val="15"/>
            </w:rPr>
            <w:t xml:space="preserve">v2.0 | April 2026 | DRAFT — Unvalidated</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footnotes" Target="footnotes.xml"/><Relationship Id="rId7"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openxmlformats.org/officeDocument/2006/relationships/endnotes" Target="endnotes.xml"/><Relationship Id="rId9" Type="http://schemas.openxmlformats.org/officeDocument/2006/relationships/customXml" Target="../customXml/item1.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624CDE32673EB4F95BD27FBE1B38C2A" ma:contentTypeVersion="16" ma:contentTypeDescription="Create a new document." ma:contentTypeScope="" ma:versionID="1afd192c5525268f17b11896aad73df1">
  <xsd:schema xmlns:xsd="http://www.w3.org/2001/XMLSchema" xmlns:xs="http://www.w3.org/2001/XMLSchema" xmlns:p="http://schemas.microsoft.com/office/2006/metadata/properties" xmlns:ns2="8bf7e8e3-7d6a-4e20-8499-a70a0330ac6c" xmlns:ns3="1f9848b1-91c6-45d2-9bd7-f7b6b24e56b7" targetNamespace="http://schemas.microsoft.com/office/2006/metadata/properties" ma:root="true" ma:fieldsID="e547def24d18366378a3bc7b2abb8323" ns2:_="" ns3:_="">
    <xsd:import namespace="8bf7e8e3-7d6a-4e20-8499-a70a0330ac6c"/>
    <xsd:import namespace="1f9848b1-91c6-45d2-9bd7-f7b6b24e56b7"/>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BillingMetadata"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f7e8e3-7d6a-4e20-8499-a70a0330ac6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93e8566c-cd23-4427-80f6-db2d3da7b4df"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BillingMetadata" ma:index="22" nillable="true" ma:displayName="MediaServiceBillingMetadata" ma:hidden="true" ma:internalName="MediaServiceBillingMetadata" ma:readOnly="true">
      <xsd:simpleType>
        <xsd:restriction base="dms:Note"/>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f9848b1-91c6-45d2-9bd7-f7b6b24e56b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1759abeb-ba82-4d63-967b-2509c62d4c19}" ma:internalName="TaxCatchAll" ma:showField="CatchAllData" ma:web="1f9848b1-91c6-45d2-9bd7-f7b6b24e56b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1f9848b1-91c6-45d2-9bd7-f7b6b24e56b7" xsi:nil="true"/>
    <lcf76f155ced4ddcb4097134ff3c332f xmlns="8bf7e8e3-7d6a-4e20-8499-a70a0330ac6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E1DB0E3-CA52-4E1E-A0EA-347AE0ACA7A2}"/>
</file>

<file path=customXml/itemProps2.xml><?xml version="1.0" encoding="utf-8"?>
<ds:datastoreItem xmlns:ds="http://schemas.openxmlformats.org/officeDocument/2006/customXml" ds:itemID="{24930831-1264-4777-B93A-45EAB315A46A}"/>
</file>

<file path=customXml/itemProps3.xml><?xml version="1.0" encoding="utf-8"?>
<ds:datastoreItem xmlns:ds="http://schemas.openxmlformats.org/officeDocument/2006/customXml" ds:itemID="{75C37D0D-A6F6-495E-9EE6-70281623B2E6}"/>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2026-04-12T18:11:44Z</dcterms:created>
  <dcterms:modified xsi:type="dcterms:W3CDTF">2026-04-12T18:11:44Z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0x0101001624CDE32673EB4F95BD27FBE1B38C2A</vt:lpwstr>
  </property>
</Properties>
</file>