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 — CONDITIONAL</w:t>
            </w:r>
          </w:p>
          <w:p>
            <w:pPr>
              <w:spacing w:after="80" w:before="0"/>
              <w:jc w:val="center"/>
            </w:pPr>
            <w:r>
              <w:rPr>
                <w:rFonts w:ascii="Arial" w:cs="Arial" w:eastAsia="Arial" w:hAnsi="Arial"/>
                <w:b/>
                <w:bCs/>
                <w:color w:val="FFFFFF"/>
                <w:sz w:val="24"/>
                <w:szCs w:val="24"/>
              </w:rPr>
              <w:t xml:space="preserve">Profile 39 — Salamanders and newts</w:t>
            </w:r>
          </w:p>
          <w:p>
            <w:pPr>
              <w:spacing w:after="80" w:before="0"/>
              <w:jc w:val="center"/>
            </w:pPr>
            <w:r>
              <w:rPr>
                <w:rFonts w:ascii="Arial" w:cs="Arial" w:eastAsia="Arial" w:hAnsi="Arial"/>
                <w:b w:val="false"/>
                <w:bCs w:val="false"/>
                <w:color w:val="FFFFFF"/>
                <w:sz w:val="16"/>
                <w:szCs w:val="16"/>
              </w:rPr>
              <w:t xml:space="preserve">Tier: Conditional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F5EEF8" w:val="clear"/>
            <w:tcMar>
              <w:top w:type="dxa" w:w="120"/>
              <w:left w:type="dxa" w:w="160"/>
              <w:bottom w:type="dxa" w:w="120"/>
              <w:right w:type="dxa" w:w="160"/>
            </w:tcMar>
          </w:tcPr>
          <w:p>
            <w:pPr>
              <w:spacing w:after="40" w:before="0"/>
              <w:jc w:val="left"/>
            </w:pPr>
            <w:r>
              <w:rPr>
                <w:rFonts w:ascii="Arial" w:cs="Arial" w:eastAsia="Arial" w:hAnsi="Arial"/>
                <w:b/>
                <w:bCs/>
                <w:color w:val="7D3C98"/>
                <w:sz w:val="16"/>
                <w:szCs w:val="16"/>
              </w:rPr>
              <w:t xml:space="preserve">CONDITIONAL PROFILE</w:t>
            </w:r>
          </w:p>
          <w:p>
            <w:pPr>
              <w:spacing w:after="80" w:before="0"/>
              <w:jc w:val="left"/>
            </w:pPr>
            <w:r>
              <w:rPr>
                <w:rFonts w:ascii="Arial" w:cs="Arial" w:eastAsia="Arial" w:hAnsi="Arial"/>
                <w:b w:val="false"/>
                <w:bCs w:val="false"/>
                <w:color w:val="000000"/>
                <w:sz w:val="16"/>
                <w:szCs w:val="16"/>
              </w:rPr>
              <w:t xml:space="preserve">Activate in temperate regions where caudate amphibian species are ecologically present in or adjacent to farm water bodies — primarily Europe, temperate Asia, and North America. Not applicable in tropical, subtropical, and southern hemisphere agricultural systems where native Caudata are absent.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expert validation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39</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Salamanders and newts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Conditional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Activate in temperate regions where caudate amphibian species are ecologically present in or adjacent to farm water bodies — primarily Europe, temperate Asia, and North America. Not applicable in tropical, subtropical, and southern hemisphere agricultural systems where native Caudata are absent.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Permanent or seasonal pond, ditch, or slow-flowing watercourse with confirmed or likely newt presence. Not applicable where no suitable breeding water body exists within 2km of the monitoring area.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Caudata (Urodela). Two monitoring sub-groups in agricultural contexts: Newts (Family Salamandridae) — fully aquatic during breeding season (February–June in temperate Europe [geo]); key agricultural species: great crested newt (Triturus cristatus — strictly protected, legally notifiable in UK and EU; requires specialist licence for survey; indicator of high water body quality); smooth newt (Lissotriton vulgaris — common; accessible Level 1 indicator); palmate newt (Lissotriton helveticus — western European; similar ecology to smooth newt) [geo]. Salamanders (Salamandridae, Plethodontidae, others) — terrestrial outside breeding season; fire salamander (Salamandra salamandra — forest edge and upland agricultural streams in Europe [geo]) as a secondary indicator. IMPORTANT: all Triturus species and most Caudata are legally protected in virtually all jurisdictions — handling requires a specialist licence.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Water body quality indicator — newt breeding population size, torch survey counts, and great crested newt (GCN) occupancy from water sample eDNA reflect pond water quality (pH, oxygenation, absence of fish), terrestrial habitat quality within the breeding migration corridor, and landscape connectivity. Legal compliance indicator — GCN presence triggers specific planning and land management legal requirements in EU and UK contexts; monitoring provides the compliance evidence base.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Newts are the legal compliance indicator of the British agricultural monitoring world — the presence of great crested newt triggers a cascade of legal obligations under EU Habitats Directive and UK Wildlife and Countryside Act that directly affects farm operations, drainage management, and building works. eDNA detection of great crested newt in a farm pond water sample has moved from research method to standard regulatory survey tool in under a decade, and is now used to determine whether planning consents can be granted or refused. The ecological significance parallels Profile 21 (Frogs and toads) — newts are sensitive to water quality, terrestrial habitat connectivity, and fish predation pressure. Their population health integrates the same environmental pressures with slightly different sensitivities.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LAYER 2 — PROTOCOL MENU (SIMPLIFIED — CONDITIONAL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w:t>
            </w:r>
          </w:p>
          <w:p>
            <w:pPr>
              <w:spacing w:after="80" w:before="0"/>
              <w:jc w:val="left"/>
            </w:pPr>
            <w:r>
              <w:rPr>
                <w:rFonts w:ascii="Arial" w:cs="Arial" w:eastAsia="Arial" w:hAnsi="Arial"/>
                <w:b w:val="false"/>
                <w:bCs w:val="false"/>
                <w:color w:val="FFFFFF"/>
                <w:sz w:val="16"/>
                <w:szCs w:val="16"/>
              </w:rPr>
              <w:t xml:space="preserve">Torch survey and bottle trap survey (licence required for great crested newt)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Smooth newt count per torch survey (individuals per metre of bank scanned); GCN presence/absence from eDNA; water body habitat quality score (fish present Y/N; pH adequate Y/N; bank vegetation Y/N).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Walk slowly around the pond edge at night (20:00–23:00; air temperature &gt;5°C; calm conditions) using a powerful torch. Sweep the beam across the shallows at 45° angle to the surface — newts are visible as elongate, pale or spotted silhouettes at the surface or in shallow water. Count all individuals visible per 1m bank section. Record species where identifiable (great crested newt — large &gt;15cm; warty, dark brown, orange spotted belly; jagged dorsal crest in males; distinguish from smooth newt — smaller, yellow-orange belly). The eDNA water sampling method (as per Profile 21 Level 2 protocol) provides presence/absence for great crested newt without any handling and is the recommended Level 1 GCN survey method where torch survey produces uncertain identification.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Powerful waterproof torch (minimum 300 lumens); field datasheet; for eDNA: sterile 1L bottles, 0.45μm filter membranes, ethanol — as Profile 21 Level 2 eDNA protocol.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for torch count (smooth and palmate newt identification). GCN eDNA water sampling requires a brief protocol training session (30 minutes) — sample collection does not require a licence. Physical handling or trapping of great crested newt requires a Species Licence (UK [geo]) or equivalent national permit.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Late spring (March–May in temperate Europe [geo]) — peak breeding season; maximum newt visibility in shallow water during torch surveys. eDNA detection window: April–June (optimal); outside this window, eDNA concentration in water falls below reliable detection threshold.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Night survey — all Profile 19 (Bats) night survey safety precautions. Leptospirosis risk from water contact. Biosecurity decontamination between water bodies (Bsal/Bd as per Profile 21). GCN — NEVER handle without licence. If GCN detected by eDNA, report immediately to Environment Agency (UK [geo]) or national equivalent and contact regional amphibian conservation organisation before any management changes affecting the pond.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LEVELS 2 AND 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Full Level 2 and Level 3 protocols for this conditional profile are to be developed with specialist input following confirmation of regional deployment contexts. The Level 1 protocol provides the community observer entry point; Levels 2 and 3 will follow the pattern established in analogous universal profiles (Profile 21 for amphibians; Profiles 17–18 for aquatic groups). Draft protocols and references will be added at the next review stage.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PRIMARY 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Biggs J, et al. (2014) Using eDNA to develop a national citizen science-based monitoring programme for the great crested newt (Triturus cristatus). Biological Conservation 183:19–28.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https://doi.org/10.1016/j.biocon.2014.11.029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Griffiths RA et al. (2010) Dynamics of a declining amphibian metapopulation. Biological Conservation 143:485–491.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https://doi.org/10.1016/j.biocon.2009.11.017</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120"/>
              <w:left w:type="dxa" w:w="180"/>
              <w:bottom w:type="dxa" w:w="120"/>
              <w:right w:type="dxa" w:w="180"/>
            </w:tcMar>
          </w:tcPr>
          <w:p>
            <w:pPr>
              <w:spacing w:after="80" w:before="0"/>
              <w:jc w:val="left"/>
            </w:pPr>
            <w:r>
              <w:rPr>
                <w:rFonts w:ascii="Arial" w:cs="Arial" w:eastAsia="Arial" w:hAnsi="Arial"/>
                <w:b/>
                <w:bCs/>
                <w:color w:val="FFFFFF"/>
                <w:sz w:val="14"/>
                <w:szCs w:val="14"/>
              </w:rPr>
              <w:t xml:space="preserve">END OF PROFILE 39 — Salamanders and newts (Conditional)</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7D3C98" w:sz="3"/>
          </w:tcBorders>
          <w:tcMar>
            <w:bottom w:type="dxa" w:w="60"/>
          </w:tcMar>
        </w:tcPr>
        <w:p>
          <w:pPr>
            <w:spacing w:after="80" w:before="0"/>
            <w:jc w:val="left"/>
          </w:pPr>
          <w:r>
            <w:rPr>
              <w:rFonts w:ascii="Arial" w:cs="Arial" w:eastAsia="Arial" w:hAnsi="Arial"/>
              <w:b w:val="false"/>
              <w:bCs w:val="false"/>
              <w:color w:val="7D3C98"/>
              <w:sz w:val="13"/>
              <w:szCs w:val="13"/>
            </w:rPr>
            <w:t xml:space="preserve">LAHMP — Profile 39 — Salamanders and newts [CONDITIONAL]</w:t>
          </w:r>
        </w:p>
      </w:tc>
      <w:tc>
        <w:tcPr>
          <w:tcBorders>
            <w:bottom w:val="single" w:color="7D3C98"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186BBE-DA2A-43AB-A608-D117CD4FEF04}"/>
</file>

<file path=customXml/itemProps2.xml><?xml version="1.0" encoding="utf-8"?>
<ds:datastoreItem xmlns:ds="http://schemas.openxmlformats.org/officeDocument/2006/customXml" ds:itemID="{B5F9D0AB-4FCC-441A-92FA-5258579957CA}"/>
</file>

<file path=customXml/itemProps3.xml><?xml version="1.0" encoding="utf-8"?>
<ds:datastoreItem xmlns:ds="http://schemas.openxmlformats.org/officeDocument/2006/customXml" ds:itemID="{98C02728-0B75-40C4-BD03-8CC64FA6B47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2026-04-12T17:42:37Z</dcterms:created>
  <dcterms:modified xsi:type="dcterms:W3CDTF">2026-04-12T17:42:37Z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