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 — CONDITIONAL</w:t>
            </w:r>
          </w:p>
          <w:p>
            <w:pPr>
              <w:spacing w:after="80" w:before="0"/>
              <w:jc w:val="center"/>
            </w:pPr>
            <w:r>
              <w:rPr>
                <w:rFonts w:ascii="Arial" w:cs="Arial" w:eastAsia="Arial" w:hAnsi="Arial"/>
                <w:b/>
                <w:bCs/>
                <w:color w:val="FFFFFF"/>
                <w:sz w:val="24"/>
                <w:szCs w:val="24"/>
              </w:rPr>
              <w:t xml:space="preserve">Profile 40 — Large soil invertebrates</w:t>
            </w:r>
          </w:p>
          <w:p>
            <w:pPr>
              <w:spacing w:after="80" w:before="0"/>
              <w:jc w:val="center"/>
            </w:pPr>
            <w:r>
              <w:rPr>
                <w:rFonts w:ascii="Arial" w:cs="Arial" w:eastAsia="Arial" w:hAnsi="Arial"/>
                <w:b w:val="false"/>
                <w:bCs w:val="false"/>
                <w:color w:val="FFFFFF"/>
                <w:sz w:val="16"/>
                <w:szCs w:val="16"/>
              </w:rPr>
              <w:t xml:space="preserve">Tier: Conditional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F5EEF8" w:val="clear"/>
            <w:tcMar>
              <w:top w:type="dxa" w:w="120"/>
              <w:left w:type="dxa" w:w="160"/>
              <w:bottom w:type="dxa" w:w="120"/>
              <w:right w:type="dxa" w:w="160"/>
            </w:tcMar>
          </w:tcPr>
          <w:p>
            <w:pPr>
              <w:spacing w:after="40" w:before="0"/>
              <w:jc w:val="left"/>
            </w:pPr>
            <w:r>
              <w:rPr>
                <w:rFonts w:ascii="Arial" w:cs="Arial" w:eastAsia="Arial" w:hAnsi="Arial"/>
                <w:b/>
                <w:bCs/>
                <w:color w:val="7D3C98"/>
                <w:sz w:val="16"/>
                <w:szCs w:val="16"/>
              </w:rPr>
              <w:t xml:space="preserve">CONDITIONAL PROFILE</w:t>
            </w:r>
          </w:p>
          <w:p>
            <w:pPr>
              <w:spacing w:after="80" w:before="0"/>
              <w:jc w:val="left"/>
            </w:pPr>
            <w:r>
              <w:rPr>
                <w:rFonts w:ascii="Arial" w:cs="Arial" w:eastAsia="Arial" w:hAnsi="Arial"/>
                <w:b w:val="false"/>
                <w:bCs w:val="false"/>
                <w:color w:val="000000"/>
                <w:sz w:val="16"/>
                <w:szCs w:val="16"/>
              </w:rPr>
              <w:t xml:space="preserve">Activate in deployment contexts where large soil invertebrate communities — particularly tropical and subtropical systems with diverse scarab beetles, centipedes, large millipedes, and carabid larvae — are ecologically significant as soil engineers and prey base. Also applicable in temperate systems where Profile 06 (Earthworms) alone is insufficient to characterise the full large soil invertebrate community. This profile supplements Profile 06 rather than replacing it.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expert validation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Large soil 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Activate in deployment contexts where large soil invertebrate communities — particularly tropical and subtropical systems with diverse scarab beetles, centipedes, large millipedes, and carabid larvae — are ecologically significant as soil engineers and prey base. Also applicable in temperate systems where Profile 06 (Earthworms) alone is insufficient to characterise the full large soil invertebrate community. This profile supplements Profile 06 rather than replacing 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Active large soil invertebrate community (individuals &gt;2cm body length) present and ecologically significant in the monitored soil profile. Not applicable where soil fauna is adequately characterised by Profile 06 (Earthworms) alone — i.e. most temperate European contexts where earthworms dominate the large soil invertebrate biomass.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Multiple orders represented: Coleoptera larvae — scarab beetle larvae (Scarabaeidae — chafers, dung beetles), ground beetle larvae (Carabidae); Myriapoda — centipedes (Chilopoda: Scolopendra and related — predatory; key in tropical soils) and millipedes (Diplopoda: Julidae, Spirostreptida — decomposers; key in tropical and subtropical systems); Dermaptera — earwigs (surface litter decomposers; Forficula auricularia in temperate systems [geo]); Opiliones — harvestmen (surface predators in dry systems). Key ecological functions: scarab larvae — soil aeration and organic matter incorporation; centipedes — predation on soil invertebrate prey; millipedes — leaf litter fragmentation and decomposition; large beetle larvae — root-zone engineering. [IMPORTANT: Some scarab larvae are significant agricultural pests (chafer grubs — Melolontha, Phyllopertha species in temperate Europe; Heteronychus, Schizonycha species in Africa [geo]) — the pest monitoring dimension is addressed in Profile 41 (Crop pest invertebrates); this profile focuses on the biodiversity and soil health indicator dimension.]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large soil invertebrate community diversity, functional group composition, and abundance per unit volume reflect soil organic matter availability, soil structure quality, reduced pesticide loading, and management continuity. Complements Profile 06 (Earthworms) by characterising the large invertebrate biomass in the soil profile not captured by the earthworm-specific methodology.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Large soil invertebrates are the soil community component that falls between the mesofauna (Collembola, mites — too small for visible extraction) and the vertebrates (too large and mobile to sample by soil methods). In tropical systems particularly, they contribute ecologically and biomass-wise as much as earthworms do in temperate systems. A soil profile from a West African savannah farming system yielding abundant Spirostreptid millipedes, Scolopendra centipedes, and Scarabaeinae beetle larvae is a biologically rich profile that no earthworm count alone would characterise — the invertebrate community diversity signals both the organic matter availability and the predator-prey balance sustaining soil biological function.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LAYER 2 — PROTOCOL MENU (SIMPLIFIED — CONDITIONAL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w:t>
            </w:r>
          </w:p>
          <w:p>
            <w:pPr>
              <w:spacing w:after="80" w:before="0"/>
              <w:jc w:val="left"/>
            </w:pPr>
            <w:r>
              <w:rPr>
                <w:rFonts w:ascii="Arial" w:cs="Arial" w:eastAsia="Arial" w:hAnsi="Arial"/>
                <w:b w:val="false"/>
                <w:bCs w:val="false"/>
                <w:color w:val="FFFFFF"/>
                <w:sz w:val="16"/>
                <w:szCs w:val="16"/>
              </w:rPr>
              <w:t xml:space="preserve">Visual hand-sorting of soil quadrats — the same method as Profile 06 (Earthworms), Level 2 hand-sorting, extended to record all invertebrates &gt;2cm body length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Count per functional group per 900cm2 (30×30cm quadrat); biomass estimate (wet weight per functional group where scales available); functional group diversity index; presence of any pest species (scarab chafer larvae — record separately for Profile 41 cross-reference).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each monitoring point, excavate a 30cm × 30cm × 20cm soil block. Hand-sort all material in a white tray, removing all invertebrates &gt;2cm body length. Classify to functional group: larval beetle (scarab / carabid / other — identifiable by leg arrangement and head morphology); centipede (one pair of legs per segment; flat body); millipede (two pairs of legs per segment; cylindrical body); earwig (paired cerci visible); other. Count per functional group per quadrat. Photograph representative individuals of each type. Release at the excavation point. This survey can be conducted in the same visit as Profile 06 earthworm sampling with minimal additional time — record large invertebrates from the same soil block as the earthworm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White sorting tray; forceps; waterproof gloves (centipedes of the genus Scolopendra can deliver a painful venomous bite — wear gloves);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a 1-hour briefing on large soil invertebrate functional group classification from photographic reference. Functional group identification (centipede vs millipede vs beetle larva vs earwig) requires only the ability to count leg pairs and observe body shape — achievable with a 20-minute field guide.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autumn — when soil temperature is adequate for invertebrate activity (soil temperature &gt;10°C [~]). Avoid very dry periods when invertebrates move deep into the soil profile below 20cm sampling depth.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Centipede handling — Scolopendra species and related large tropical centipedes deliver a moderately painful venomous bite through their first pair of legs (forcipules). Wear gloves. In tropical contexts, check regional centipede species for any medically significant species before bare-handed handling. Millipedes — many species produce defensive quinones and hydrogen cyanide when disturbed — wear gloves and wash hands after handling. Standard soil sampling safety as per Profile 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LEVELS 2 AND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Full Level 2 and Level 3 protocols for this conditional profile are to be developed with specialist input following confirmation of regional deployment contexts. The Level 1 protocol provides the community observer entry point; Levels 2 and 3 will follow the pattern established in analogous universal profiles (Profile 21 for amphibians; Profiles 17–18 for aquatic groups). Draft protocols and references will be added at the next review stage.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PRIMARY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Lavelle P, Decaëns T, Aubert M, Barot S, Blouin M, Bureau F, et al. (2006) Soil invertebrates and ecosystem services. European Journal of Soil Biology 42:S3–S15.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https://doi.org/10.1016/j.ejsobi.2006.10.002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Decaëns T (2010) Macroecological patterns in soil communities. Global Ecology and Biogeography 19:287–302.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https://doi.org/10.1111/j.1466-8238.2009.00517.x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120"/>
              <w:left w:type="dxa" w:w="180"/>
              <w:bottom w:type="dxa" w:w="120"/>
              <w:right w:type="dxa" w:w="180"/>
            </w:tcMar>
          </w:tcPr>
          <w:p>
            <w:pPr>
              <w:spacing w:after="80" w:before="0"/>
              <w:jc w:val="left"/>
            </w:pPr>
            <w:r>
              <w:rPr>
                <w:rFonts w:ascii="Arial" w:cs="Arial" w:eastAsia="Arial" w:hAnsi="Arial"/>
                <w:b/>
                <w:bCs/>
                <w:color w:val="FFFFFF"/>
                <w:sz w:val="14"/>
                <w:szCs w:val="14"/>
              </w:rPr>
              <w:t xml:space="preserve">END OF PROFILE 40 — Large soil invertebrates (Conditional)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7D3C98" w:sz="3"/>
          </w:tcBorders>
          <w:tcMar>
            <w:bottom w:type="dxa" w:w="60"/>
          </w:tcMar>
        </w:tcPr>
        <w:p>
          <w:pPr>
            <w:spacing w:after="80" w:before="0"/>
            <w:jc w:val="left"/>
          </w:pPr>
          <w:r>
            <w:rPr>
              <w:rFonts w:ascii="Arial" w:cs="Arial" w:eastAsia="Arial" w:hAnsi="Arial"/>
              <w:b w:val="false"/>
              <w:bCs w:val="false"/>
              <w:color w:val="7D3C98"/>
              <w:sz w:val="13"/>
              <w:szCs w:val="13"/>
            </w:rPr>
            <w:t xml:space="preserve">LAHMP — Profile 40 — Large soil invertebrates [CONDITIONAL]</w:t>
          </w:r>
        </w:p>
      </w:tc>
      <w:tc>
        <w:tcPr>
          <w:tcBorders>
            <w:bottom w:val="single" w:color="7D3C98"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DC1C9B-0F17-4321-9999-558ECBA8624E}"/>
</file>

<file path=customXml/itemProps2.xml><?xml version="1.0" encoding="utf-8"?>
<ds:datastoreItem xmlns:ds="http://schemas.openxmlformats.org/officeDocument/2006/customXml" ds:itemID="{B7A713F7-D8B8-4822-9749-B3BA83244D62}"/>
</file>

<file path=customXml/itemProps3.xml><?xml version="1.0" encoding="utf-8"?>
<ds:datastoreItem xmlns:ds="http://schemas.openxmlformats.org/officeDocument/2006/customXml" ds:itemID="{2F06E149-6D00-42BA-B744-0B3DD919D42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2026-04-12T17:42:37Z</dcterms:created>
  <dcterms:modified xsi:type="dcterms:W3CDTF">2026-04-12T17:42:37Z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