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 — CONDITIONAL</w:t>
            </w:r>
          </w:p>
          <w:p>
            <w:pPr>
              <w:spacing w:after="80" w:before="0"/>
              <w:jc w:val="center"/>
            </w:pPr>
            <w:r>
              <w:rPr>
                <w:rFonts w:ascii="Arial" w:cs="Arial" w:eastAsia="Arial" w:hAnsi="Arial"/>
                <w:b/>
                <w:bCs/>
                <w:color w:val="FFFFFF"/>
                <w:sz w:val="24"/>
                <w:szCs w:val="24"/>
              </w:rPr>
              <w:t xml:space="preserve">Profile 41 — Crop pest invertebrates</w:t>
            </w:r>
          </w:p>
          <w:p>
            <w:pPr>
              <w:spacing w:after="80" w:before="0"/>
              <w:jc w:val="center"/>
            </w:pPr>
            <w:r>
              <w:rPr>
                <w:rFonts w:ascii="Arial" w:cs="Arial" w:eastAsia="Arial" w:hAnsi="Arial"/>
                <w:b w:val="false"/>
                <w:bCs w:val="false"/>
                <w:color w:val="FFFFFF"/>
                <w:sz w:val="16"/>
                <w:szCs w:val="16"/>
              </w:rPr>
              <w:t xml:space="preserve">Tier: Conditional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F5EEF8" w:val="clear"/>
            <w:tcMar>
              <w:top w:type="dxa" w:w="120"/>
              <w:left w:type="dxa" w:w="160"/>
              <w:bottom w:type="dxa" w:w="120"/>
              <w:right w:type="dxa" w:w="160"/>
            </w:tcMar>
          </w:tcPr>
          <w:p>
            <w:pPr>
              <w:spacing w:after="40" w:before="0"/>
              <w:jc w:val="left"/>
            </w:pPr>
            <w:r>
              <w:rPr>
                <w:rFonts w:ascii="Arial" w:cs="Arial" w:eastAsia="Arial" w:hAnsi="Arial"/>
                <w:b/>
                <w:bCs/>
                <w:color w:val="7D3C98"/>
                <w:sz w:val="16"/>
                <w:szCs w:val="16"/>
              </w:rPr>
              <w:t xml:space="preserve">CONDITIONAL PROFILE</w:t>
            </w:r>
          </w:p>
          <w:p>
            <w:pPr>
              <w:spacing w:after="80" w:before="0"/>
              <w:jc w:val="left"/>
            </w:pPr>
            <w:r>
              <w:rPr>
                <w:rFonts w:ascii="Arial" w:cs="Arial" w:eastAsia="Arial" w:hAnsi="Arial"/>
                <w:b w:val="false"/>
                <w:bCs w:val="false"/>
                <w:color w:val="000000"/>
                <w:sz w:val="16"/>
                <w:szCs w:val="16"/>
              </w:rPr>
              <w:t xml:space="preserve">Activate in deployment contexts where economic crop pest invertebrate monitoring provides information that directly guides integrated pest management (IPM) decisions within the LAHMP programme — specifically where the decision to apply pesticides, or not, depends on field-level pest population data that existing profiles do not provide. This profile is activated when pest pressure from specific invertebrate groups represents a primary management concern at the monitored farm. Do not activate where general pest pressure is adequately captured as secondary outputs from existing universal profiles (e.g. Profile 07 slugs, Profile 03 nematodes).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expert validation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41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Crop pest invertebrates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Conditional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Activate in deployment contexts where economic crop pest invertebrate monitoring provides information that directly guides integrated pest management (IPM) decisions within the LAHMP programme — specifically where the decision to apply pesticides, or not, depends on field-level pest population data that existing profiles do not provide. This profile is activated when pest pressure from specific invertebrate groups represents a primary management concern at the monitored farm. Do not activate where general pest pressure is adequately captured as secondary outputs from existing universal profiles (e.g. Profile 07 slugs, Profile 03 nematodes).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Specific crop pest invertebrate community present and causing or threatening measurable crop damage at the monitoring site. Pest group identity must be specified at programme setup — the profile is pest-group specific, not a generic pest monitoring profile. Minimum specification: pest group (e.g. aphids / wireworms / cabbage root fly / whitefly / thrips); crop context; economic damage threshold reference.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Order and family variable — determined by the specific pest groups confirmed as monitoring targets at programme setup. Primary examples by damage guild: (1) Sucking pests — aphids (Hemiptera: Aphididae: Myzus persicae, Sitobion avenae, Brevicoryne brassicae); whitefly (Hemiptera: Aleyrodidae); thrips (Thysanoptera: Thripidae); scale insects (Hemiptera: Coccidae); (2) Root-feeding soil pests — wireworms (Coleoptera: Elateridae larvae: Agriotes species); chafer grubs (Coleoptera: Scarabaeidae larvae); cabbage root fly larvae (Diptera: Anthomyiidae: Delia radicum); leatherjackets (Diptera: Tipulidae larvae); (3) Leaf-feeding caterpillars — diamondback moth (Lepidoptera: Plutellidae); cabbage white caterpillars (Lepidoptera: Pieridae); armyworms (Lepidoptera: Noctuidae: Spodoptera species in tropical contexts [geo]); (4) Storage pests — grain weevils (Coleoptera: Curculionidae); grain moth larvae (Lepidoptera: Gelechiidae). NOTE: This profile monitors pest groups for IPM decision support, not as biodiversity indicators. The ecological framing of other profiles does not apply here — the monitoring purpose is economic threshold assessment and practice verification for pesticide management decisions.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Agricultural pest management decision support — monitoring pest invertebrate population density against established economic action thresholds to determine whether, when, and where pesticide application is ecologically and economically justified. Biological control verification — documenting natural enemy community presence (Profiles 12, 13, 14 parasitic wasps, bees, and hoverflies; Profiles 10, 11 ground beetles and spiders) relative to pest population levels, to assess whether biological control can substitute for chemical intervention. This profile explicitly links to the natural enemy monitoring from universal profiles as part of an integrated monitoring narrative.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This is the only profile in the LAHMP framework that explicitly serves an economic pest management decision purpose rather than a purely ecological monitoring purpose — and this distinction is deliberate and important. The ecological framework of the other 40 profiles is built on the premise that increasing biodiversity is the positive outcome; this profile monitors groups for which the primary monitoring question is 'are there enough natural enemies to suppress this pest population without intervention?' That question is most meaningfully answered in the context of what the other profiles are already showing about natural enemy community health — which is why this profile sits last, as the integration point between the biodiversity and the agronomic monitoring narratives.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LAYER 2 — PROTOCOL MENU (SIMPLIFIED — CONDITIONAL PROFILE)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w:t>
            </w:r>
          </w:p>
          <w:p>
            <w:pPr>
              <w:spacing w:after="80" w:before="0"/>
              <w:jc w:val="left"/>
            </w:pPr>
            <w:r>
              <w:rPr>
                <w:rFonts w:ascii="Arial" w:cs="Arial" w:eastAsia="Arial" w:hAnsi="Arial"/>
                <w:b w:val="false"/>
                <w:bCs w:val="false"/>
                <w:color w:val="FFFFFF"/>
                <w:sz w:val="16"/>
                <w:szCs w:val="16"/>
              </w:rPr>
              <w:t xml:space="preserve">Visual crop inspection for pest species count and damage assessment against economic threshold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Pest density per plant (individuals or % damage); economic threshold status (below / at / above); natural enemy presence per plant (Y/N per group); parasitism rate where mummies visible (% parasitised aphids); ratio of pest density to natural enemy presence as the primary integrated pest management indicator.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Walk 10 monitoring points through the crop field in a W-pattern. At each point, examine 10 plants randomly selected within 1m of the monitoring position. For each plant, record: (a) pest species present (Y/N per target species); (b) pest density estimate: number of individuals per plant for aphids, caterpillars, and mobile pests; percentage leaf area damage for chewing pests; presence of root damage evidence for soil pests. (c) natural enemy presence at each plant: parasitised aphids (mummies visible — confirm from Profile 12 data); ladybird adults and larvae; lacewing larvae; parasitic wasp adults on aphid colonies. Compare pest density against the established economic action threshold for the pest species and crop type. Record: below threshold / at threshold / above threshold. Economic thresholds referenced from national or regional IPM guidance — not defined in this profile.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Field datasheet; hand lens (10×); regional crop pest identification guide; economic threshold reference table (from national IPM advisory service — e.g. AHDB Pest Bulletin for UK [geo]); camera.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with crop pest identification training for the specific pest groups targeted at programme setup. Economic threshold assessment requires a separate 1-hour briefing from an IPM agronomist. The combination of pest density count and natural enemy observation is the key skill requirement — the field team must record both simultaneously to generate the most ecologically valuable monitoring data.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During active crop growth — timing depends entirely on the specific pest group and crop. Aphid monitoring: from crop emergence through flowering. Soil pest monitoring: at drilling and post-emergence. Leaf pest monitoring: during vegetative growth. Seasonal timing must be confirmed from the national IPM calendar for the pest group and crop in the deployment region.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Standard crop field safety — be aware of machinery, chemical applications (re-entry intervals), and uneven ground. If surveying immediately after pesticide application, confirm re-entry interval has passed. Do not enter fields during pesticide application operations.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LEVELS 2 AND 3</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Full Level 2 and Level 3 protocols for this conditional profile are to be developed with specialist input following confirmation of regional deployment contexts. The Level 1 protocol provides the community observer entry point; Levels 2 and 3 will follow the pattern established in analogous universal profiles (Profile 21 for amphibians; Profiles 17–18 for aquatic groups). Draft protocols and references will be added at the next review stage.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PRIMARY 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Landis DA, Wratten SD, Gurr GM (2000) Habitat management to conserve natural enemies of arthropod pests in agriculture. Annual Review of Entomology 45:175–201.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https://doi.org/10.1146/annurev.ento.45.1.175</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Holland JM, Douma JC, Crowley L, James L, Kor L, Stevenson DRW, Smith BM (2017) Semi-natural habitats support biological control, pollination and soil conservation across arable farming systems. Ecology and Evolution 7:4871–4882.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https://doi.org/10.1002/ece3.3059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Wratten SD, Bowie MH, Hickman JM, Evans AM, Sedcole JR, Tylianakis JM (2003) Field boundaries as refugia for parasitic Hymenoptera: foraging movements and insect density. Agriculture, Ecosystems and Environment 95:297–304.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https://doi.org/10.1016/S0167-8809(02)00038-0</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120"/>
              <w:left w:type="dxa" w:w="180"/>
              <w:bottom w:type="dxa" w:w="120"/>
              <w:right w:type="dxa" w:w="180"/>
            </w:tcMar>
          </w:tcPr>
          <w:p>
            <w:pPr>
              <w:spacing w:after="80" w:before="0"/>
              <w:jc w:val="left"/>
            </w:pPr>
            <w:r>
              <w:rPr>
                <w:rFonts w:ascii="Arial" w:cs="Arial" w:eastAsia="Arial" w:hAnsi="Arial"/>
                <w:b/>
                <w:bCs/>
                <w:color w:val="FFFFFF"/>
                <w:sz w:val="14"/>
                <w:szCs w:val="14"/>
              </w:rPr>
              <w:t xml:space="preserve">END OF PROFILE 41 — Crop pest invertebrates (Conditional)</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7D3C98" w:sz="3"/>
          </w:tcBorders>
          <w:tcMar>
            <w:bottom w:type="dxa" w:w="60"/>
          </w:tcMar>
        </w:tcPr>
        <w:p>
          <w:pPr>
            <w:spacing w:after="80" w:before="0"/>
            <w:jc w:val="left"/>
          </w:pPr>
          <w:r>
            <w:rPr>
              <w:rFonts w:ascii="Arial" w:cs="Arial" w:eastAsia="Arial" w:hAnsi="Arial"/>
              <w:b w:val="false"/>
              <w:bCs w:val="false"/>
              <w:color w:val="7D3C98"/>
              <w:sz w:val="13"/>
              <w:szCs w:val="13"/>
            </w:rPr>
            <w:t xml:space="preserve">LAHMP — Profile 41 — Crop pest invertebrates [CONDITIONAL]</w:t>
          </w:r>
        </w:p>
      </w:tc>
      <w:tc>
        <w:tcPr>
          <w:tcBorders>
            <w:bottom w:val="single" w:color="7D3C98"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97E3461-63BC-41DC-A097-115136E2FE16}"/>
</file>

<file path=customXml/itemProps2.xml><?xml version="1.0" encoding="utf-8"?>
<ds:datastoreItem xmlns:ds="http://schemas.openxmlformats.org/officeDocument/2006/customXml" ds:itemID="{81C16A98-93BE-4CCB-8989-C7C230B551BF}"/>
</file>

<file path=customXml/itemProps3.xml><?xml version="1.0" encoding="utf-8"?>
<ds:datastoreItem xmlns:ds="http://schemas.openxmlformats.org/officeDocument/2006/customXml" ds:itemID="{2AA6B554-8198-4939-8D0B-D37153084CD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2026-04-12T17:42:37Z</dcterms:created>
  <dcterms:modified xsi:type="dcterms:W3CDTF">2026-04-12T17:42:37Z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