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Times New Roman" w:cs="Times New Roman" w:eastAsia="Times New Roman" w:hAnsi="Times New Roman"/>
          <w:b/>
          <w:bCs/>
          <w:caps/>
          <w:color w:val="1A2D4A"/>
          <w:sz w:val="28"/>
          <w:szCs w:val="28"/>
        </w:rPr>
        <w:t xml:space="preserve">CLINICAL TRIAL AGREEMENT ORDER</w:t>
      </w:r>
    </w:p>
    <w:p>
      <w:pPr>
        <w:spacing w:after="40" w:before="0"/>
        <w:jc w:val="center"/>
      </w:pPr>
      <w:r>
        <w:rPr>
          <w:rFonts w:ascii="Times New Roman" w:cs="Times New Roman" w:eastAsia="Times New Roman" w:hAnsi="Times New Roman"/>
          <w:color w:val="888888"/>
          <w:sz w:val="18"/>
          <w:szCs w:val="18"/>
        </w:rPr>
        <w:t xml:space="preserve">IRB No.: 51039  ·  Contract No.: SB-2024-LC3-001  ·  Rev. 8</w:t>
      </w:r>
    </w:p>
    <w:p>
      <w:pPr>
        <w:spacing w:after="24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20"/>
        <w:gridCol w:w="6480"/>
      </w:tblGrid>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Sponsor</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Samsung Biologics Co., Ltd., 300 Songdo Bio-daero, Yeonsu-gu, Incheon 21987, Korea</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Institution</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Ajou University Hospital, 164 Worldcup-ro, Yeongtong-gu, Suwon-si, Gyeonggi-do 16499, Korea</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Principal Investigator</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Jae-Ho Lee, MD, PhD  ·  Department of Hemato-Oncology, Ajou University Hospital</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CRO</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PharmaLink CRO Korea, 18F Gangnam Finance Center, 152 Teheran-ro, Gangnam-gu, Seoul 06236</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Study Title</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A Randomized, Double-Blind, Phase 3 Study of SB-LC-304 (Antibody-Drug Conjugate) Versus Docetaxel in Patients with Previously Treated Advanced Non-Small Cell Lung Cancer (NSCLC) — "LUMINOS-3"</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Protocol No.</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SB-LC-304-P3-KR-001</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IND No.</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IND-2024-51039-KR</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Effective Date</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Upon execution by all parties following IRB approval</w:t>
            </w:r>
          </w:p>
        </w:tc>
      </w:tr>
      <w:tr>
        <w:tc>
          <w:tcPr>
            <w:tcW w:type="dxa" w:w="2520"/>
            <w:tcBorders>
              <w:top w:val="single" w:color="CCCCCC" w:sz="4"/>
              <w:left w:val="single" w:color="CCCCCC" w:sz="4"/>
              <w:bottom w:val="single" w:color="CCCCCC" w:sz="4"/>
              <w:right w:val="single" w:color="CCCCCC" w:sz="4"/>
            </w:tcBorders>
            <w:shd w:fill="F0F4F8" w:val="clear"/>
            <w:tcMar>
              <w:top w:type="dxa" w:w="60"/>
              <w:left w:type="dxa" w:w="100"/>
              <w:bottom w:type="dxa" w:w="60"/>
              <w:right w:type="dxa" w:w="100"/>
            </w:tcMar>
          </w:tcPr>
          <w:p>
            <w:r>
              <w:rPr>
                <w:rFonts w:ascii="Times New Roman" w:cs="Times New Roman" w:eastAsia="Times New Roman" w:hAnsi="Times New Roman"/>
                <w:b/>
                <w:bCs/>
                <w:color w:val="1A2D4A"/>
                <w:sz w:val="18"/>
                <w:szCs w:val="18"/>
              </w:rPr>
              <w:t xml:space="preserve">Document Version</w:t>
            </w:r>
          </w:p>
        </w:tc>
        <w:tc>
          <w:tcPr>
            <w:tcW w:type="dxa" w:w="648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Times New Roman" w:cs="Times New Roman" w:eastAsia="Times New Roman" w:hAnsi="Times New Roman"/>
                <w:sz w:val="18"/>
                <w:szCs w:val="18"/>
              </w:rPr>
              <w:t xml:space="preserve">Draft v8  (Track Changes from v7)  —  2024.07.12</w:t>
            </w:r>
          </w:p>
        </w:tc>
      </w:tr>
    </w:tbl>
    <w:p>
      <w:pPr>
        <w:spacing w:after="200" w:before="0"/>
      </w:pPr>
      <w:r>
        <w:t xml:space="preserve"/>
      </w:r>
    </w:p>
    <w:p>
      <w:pPr>
        <w:pBdr>
          <w:bottom w:val="single" w:color="1A2D4A" w:sz="6"/>
        </w:pBdr>
        <w:spacing w:after="120" w:before="280"/>
      </w:pPr>
      <w:r>
        <w:rPr>
          <w:rFonts w:ascii="Times New Roman" w:cs="Times New Roman" w:eastAsia="Times New Roman" w:hAnsi="Times New Roman"/>
          <w:b/>
          <w:bCs/>
          <w:color w:val="1A2D4A"/>
          <w:sz w:val="26"/>
          <w:szCs w:val="26"/>
        </w:rPr>
        <w:t xml:space="preserve">1. GOVERNING TERMS &amp; EFFECTIVE DATE</w:t>
      </w:r>
    </w:p>
    <w:p>
      <w:pPr>
        <w:spacing w:after="80" w:before="160"/>
      </w:pPr>
      <w:r>
        <w:rPr>
          <w:rFonts w:ascii="Times New Roman" w:cs="Times New Roman" w:eastAsia="Times New Roman" w:hAnsi="Times New Roman"/>
          <w:b/>
          <w:bCs/>
          <w:color w:val="1A2D4A"/>
          <w:sz w:val="20"/>
          <w:szCs w:val="20"/>
        </w:rPr>
        <w:t xml:space="preserve">§ 1.1  Governing Terms</w:t>
      </w:r>
    </w:p>
    <w:p>
      <w:pPr>
        <w:spacing w:after="80" w:before="80" w:line="320" w:lineRule="auto"/>
      </w:pPr>
      <w:r>
        <w:rPr>
          <w:rFonts w:ascii="Times New Roman" w:cs="Times New Roman" w:eastAsia="Times New Roman" w:hAnsi="Times New Roman"/>
          <w:sz w:val="20"/>
          <w:szCs w:val="20"/>
        </w:rPr>
        <w:t xml:space="preserve">By executing this Order, the parties agree that this Order and the parties' performance hereunder shall be governed by the terms and conditions of the Master Clinical Trial Agreement (Contract No. SB-2024-LC3-001), which are incorporated by this reference as if fully set forth herein. In the event of any conflict between this Order and the Master Agreement, the terms of this Order shall prevail.</w:t>
      </w:r>
    </w:p>
    <w:p>
      <w:pPr>
        <w:spacing w:after="80" w:before="160"/>
      </w:pPr>
      <w:r>
        <w:rPr>
          <w:rFonts w:ascii="Times New Roman" w:cs="Times New Roman" w:eastAsia="Times New Roman" w:hAnsi="Times New Roman"/>
          <w:b/>
          <w:bCs/>
          <w:color w:val="1A2D4A"/>
          <w:sz w:val="20"/>
          <w:szCs w:val="20"/>
        </w:rPr>
        <w:t xml:space="preserve">§ 1.2  Effective Date</w:t>
      </w:r>
    </w:p>
    <w:p>
      <w:pPr>
        <w:spacing w:after="80" w:before="80" w:line="320" w:lineRule="auto"/>
      </w:pPr>
      <w:r>
        <w:rPr>
          <w:rFonts w:ascii="Times New Roman" w:cs="Times New Roman" w:eastAsia="Times New Roman" w:hAnsi="Times New Roman"/>
          <w:sz w:val="20"/>
          <w:szCs w:val="20"/>
        </w:rPr>
        <w:t xml:space="preserve">This Order shall become effective upon the date of the last signature affixed hereto ("Effective Date"), provided that Institutional Review Board (IRB) approval has been obtained and all regulatory requirements under the Pharmaceutical Affairs Law of the Republic of Korea have been satisfied. The anticipated study period runs from the Effective Date through 31 December 2027, subject to extension by mutual written agreement.</w:t>
      </w:r>
    </w:p>
    <w:p>
      <w:pPr>
        <w:spacing w:after="80" w:before="160"/>
      </w:pPr>
      <w:r>
        <w:rPr>
          <w:rFonts w:ascii="Times New Roman" w:cs="Times New Roman" w:eastAsia="Times New Roman" w:hAnsi="Times New Roman"/>
          <w:b/>
          <w:bCs/>
          <w:color w:val="1A2D4A"/>
          <w:sz w:val="20"/>
          <w:szCs w:val="20"/>
        </w:rPr>
        <w:t xml:space="preserve">§ 1.3  Applicable Law &amp; Regulatory Compliance</w:t>
      </w:r>
    </w:p>
    <w:p>
      <w:pPr>
        <w:spacing w:after="80" w:before="80" w:line="320" w:lineRule="auto"/>
      </w:pPr>
      <w:r>
        <w:rPr>
          <w:rFonts w:ascii="Times New Roman" w:cs="Times New Roman" w:eastAsia="Times New Roman" w:hAnsi="Times New Roman"/>
          <w:sz w:val="20"/>
          <w:szCs w:val="20"/>
        </w:rPr>
        <w:t xml:space="preserve">The Study shall be conducted in accordance with: (a) the Declaration of Helsinki (2013 revision); (b) the Korean Good Clinical Practice Guideline (KGCP), as amended; (c) the Pharmaceutical Affairs Law and its subordinate regulations; (d) all applicable Ministry of Food and Drug Safety (MFDS) guidelines; and (e) the Institution's Standard Operating Procedures (SOPs), whichever affords the greater protection to Study Subjects.</w:t>
      </w:r>
    </w:p>
    <w:p>
      <w:pPr>
        <w:pBdr>
          <w:bottom w:val="single" w:color="1A2D4A" w:sz="6"/>
        </w:pBdr>
        <w:spacing w:after="120" w:before="280"/>
      </w:pPr>
      <w:r>
        <w:rPr>
          <w:rFonts w:ascii="Times New Roman" w:cs="Times New Roman" w:eastAsia="Times New Roman" w:hAnsi="Times New Roman"/>
          <w:b/>
          <w:bCs/>
          <w:color w:val="1A2D4A"/>
          <w:sz w:val="26"/>
          <w:szCs w:val="26"/>
        </w:rPr>
        <w:t xml:space="preserve">2. STUDY CONDUCT</w:t>
      </w:r>
    </w:p>
    <w:p>
      <w:pPr>
        <w:spacing w:after="80" w:before="160"/>
      </w:pPr>
      <w:r>
        <w:rPr>
          <w:rFonts w:ascii="Times New Roman" w:cs="Times New Roman" w:eastAsia="Times New Roman" w:hAnsi="Times New Roman"/>
          <w:b/>
          <w:bCs/>
          <w:color w:val="1A2D4A"/>
          <w:sz w:val="20"/>
          <w:szCs w:val="20"/>
        </w:rPr>
        <w:t xml:space="preserve">§ 2.1  Protocol</w:t>
      </w:r>
    </w:p>
    <w:p>
      <w:pPr>
        <w:spacing w:after="80" w:before="80" w:line="320" w:lineRule="auto"/>
      </w:pPr>
      <w:r>
        <w:rPr>
          <w:rFonts w:ascii="Times New Roman" w:cs="Times New Roman" w:eastAsia="Times New Roman" w:hAnsi="Times New Roman"/>
          <w:sz w:val="20"/>
          <w:szCs w:val="20"/>
        </w:rPr>
        <w:t xml:space="preserve">The Study shall be conducted in strict accordance with Protocol No. SB-LC-304-P3-KR-001 entitled "LUMINOS-3," as may be amended from time to time by Sponsor upon prior written notice to Institution. The Principal Investigator shall ensure that all sub-investigators and study site staff comply with protocol requirements at all times. Sponsor meal and beverage expenses at Investigator Meetings shall not exceed KRW 50,000 per person per occasion in accordance with the Korean Fair Competition Code.</w:t>
      </w:r>
    </w:p>
    <w:p>
      <w:pPr>
        <w:spacing w:after="80" w:before="160"/>
      </w:pPr>
      <w:r>
        <w:rPr>
          <w:rFonts w:ascii="Times New Roman" w:cs="Times New Roman" w:eastAsia="Times New Roman" w:hAnsi="Times New Roman"/>
          <w:b/>
          <w:bCs/>
          <w:color w:val="1A2D4A"/>
          <w:sz w:val="20"/>
          <w:szCs w:val="20"/>
        </w:rPr>
        <w:t xml:space="preserve">§ 2.2  Data Protection</w:t>
      </w:r>
    </w:p>
    <w:p>
      <w:pPr>
        <w:spacing w:after="80" w:before="80" w:line="320" w:lineRule="auto"/>
      </w:pPr>
      <w:r>
        <w:rPr>
          <w:rFonts w:ascii="Times New Roman" w:cs="Times New Roman" w:eastAsia="Times New Roman" w:hAnsi="Times New Roman"/>
          <w:sz w:val="20"/>
          <w:szCs w:val="20"/>
        </w:rPr>
        <w:t xml:space="preserve">Subject to applicable law, Sponsor may collect and process personal data relating to Investigators, sub-investigators, and other study site personnel for the purpose of conducting the Study, maintaining regulatory submissions, and conducting audits. Sponsor shall implement appropriate technical and organizational measures to protect such data and shall notify affected personnel as required by the Personal Information Protection Act (PIPA) and applicable EU GDPR requirements where relevant.</w:t>
      </w:r>
    </w:p>
    <w:p>
      <w:pPr>
        <w:spacing w:after="80" w:before="160"/>
      </w:pPr>
      <w:r>
        <w:rPr>
          <w:rFonts w:ascii="Times New Roman" w:cs="Times New Roman" w:eastAsia="Times New Roman" w:hAnsi="Times New Roman"/>
          <w:b/>
          <w:bCs/>
          <w:color w:val="1A2D4A"/>
          <w:sz w:val="20"/>
          <w:szCs w:val="20"/>
        </w:rPr>
        <w:t xml:space="preserve">§ 2.3  Use of Electronic Data Capture (EDC)</w:t>
      </w:r>
    </w:p>
    <w:p>
      <w:pPr>
        <w:spacing w:after="80" w:before="80" w:line="320" w:lineRule="auto"/>
      </w:pPr>
      <w:r>
        <w:rPr>
          <w:rFonts w:ascii="Times New Roman" w:cs="Times New Roman" w:eastAsia="Times New Roman" w:hAnsi="Times New Roman"/>
          <w:sz w:val="20"/>
          <w:szCs w:val="20"/>
        </w:rPr>
        <w:t xml:space="preserve">Site agrees to enter all Study data into the Sponsor-designated EDC system (Medidata Rave) within 5 business days of the Subject visit or procedure generating such data, and to resolve all data queries issued by Sponsor or CRO within 5 business days of query issuance. Principal Investigator or designated sub-investigator shall apply electronic signature to all source documents within 90 calendar days of the Subject visit. Repeated failure to meet EDC timelines may result in additional monitoring visits at Institution's expense.</w:t>
      </w:r>
    </w:p>
    <w:p>
      <w:pPr>
        <w:spacing w:after="80" w:before="160"/>
      </w:pPr>
      <w:r>
        <w:rPr>
          <w:rFonts w:ascii="Times New Roman" w:cs="Times New Roman" w:eastAsia="Times New Roman" w:hAnsi="Times New Roman"/>
          <w:b/>
          <w:bCs/>
          <w:color w:val="1A2D4A"/>
          <w:sz w:val="20"/>
          <w:szCs w:val="20"/>
        </w:rPr>
        <w:t xml:space="preserve">§ 2.4  Safety Reporting</w:t>
      </w:r>
    </w:p>
    <w:p>
      <w:pPr>
        <w:spacing w:after="80" w:before="80" w:line="320" w:lineRule="auto"/>
      </w:pPr>
      <w:r>
        <w:rPr>
          <w:rFonts w:ascii="Times New Roman" w:cs="Times New Roman" w:eastAsia="Times New Roman" w:hAnsi="Times New Roman"/>
          <w:sz w:val="20"/>
          <w:szCs w:val="20"/>
        </w:rPr>
        <w:t xml:space="preserve">Institution shall report all Serious Adverse Events (SAEs) to Sponsor within 24 hours of the Principal Investigator's awareness, regardless of causality assessment. Expedited reports of Suspected Unexpected Serious Adverse Reactions (SUSARs) shall be submitted to MFDS within the timeframes prescribed by applicable regulations. Institution shall maintain complete SAE documentation and cooperate fully with Sponsor's pharmacovigilance team.</w:t>
      </w:r>
    </w:p>
    <w:p>
      <w:pPr>
        <w:pBdr>
          <w:bottom w:val="single" w:color="1A2D4A" w:sz="6"/>
        </w:pBdr>
        <w:spacing w:after="120" w:before="280"/>
      </w:pPr>
      <w:r>
        <w:rPr>
          <w:rFonts w:ascii="Times New Roman" w:cs="Times New Roman" w:eastAsia="Times New Roman" w:hAnsi="Times New Roman"/>
          <w:b/>
          <w:bCs/>
          <w:color w:val="1A2D4A"/>
          <w:sz w:val="26"/>
          <w:szCs w:val="26"/>
        </w:rPr>
        <w:t xml:space="preserve">3. REAGENTS, STUDY DRUGS &amp; SUPPLIES</w:t>
      </w:r>
    </w:p>
    <w:p>
      <w:pPr>
        <w:spacing w:after="80" w:before="160"/>
      </w:pPr>
      <w:r>
        <w:rPr>
          <w:rFonts w:ascii="Times New Roman" w:cs="Times New Roman" w:eastAsia="Times New Roman" w:hAnsi="Times New Roman"/>
          <w:b/>
          <w:bCs/>
          <w:color w:val="1A2D4A"/>
          <w:sz w:val="20"/>
          <w:szCs w:val="20"/>
        </w:rPr>
        <w:t xml:space="preserve">§ 3.1  Investigational Product</w:t>
      </w:r>
    </w:p>
    <w:p>
      <w:pPr>
        <w:spacing w:after="80" w:before="80" w:line="320" w:lineRule="auto"/>
      </w:pPr>
      <w:r>
        <w:rPr>
          <w:rFonts w:ascii="Times New Roman" w:cs="Times New Roman" w:eastAsia="Times New Roman" w:hAnsi="Times New Roman"/>
          <w:sz w:val="20"/>
          <w:szCs w:val="20"/>
        </w:rPr>
        <w:t xml:space="preserve">Sponsor shall supply SB-LC-304 Investigational Medicinal Product (IMP) and matching placebo at no cost to Institution or Study Subjects. Sponsor retains title to all IMP at all times. Institution shall store, handle, dispense, and account for all IMP strictly in accordance with the Investigator's Brochure, protocol, and applicable pharmacy guidelines. Any unused or returned IMP shall be reconciled and, unless otherwise directed, returned to Sponsor or destroyed per Sponsor's instructions.</w:t>
      </w:r>
    </w:p>
    <w:p>
      <w:pPr>
        <w:spacing w:after="80" w:before="160"/>
      </w:pPr>
      <w:r>
        <w:rPr>
          <w:rFonts w:ascii="Times New Roman" w:cs="Times New Roman" w:eastAsia="Times New Roman" w:hAnsi="Times New Roman"/>
          <w:b/>
          <w:bCs/>
          <w:color w:val="1A2D4A"/>
          <w:sz w:val="20"/>
          <w:szCs w:val="20"/>
        </w:rPr>
        <w:t xml:space="preserve">§ 3.2  Required Materials &amp; Reimbursement</w:t>
      </w:r>
    </w:p>
    <w:p>
      <w:pPr>
        <w:spacing w:after="80" w:before="80" w:line="320" w:lineRule="auto"/>
      </w:pPr>
      <w:r>
        <w:rPr>
          <w:rFonts w:ascii="Times New Roman" w:cs="Times New Roman" w:eastAsia="Times New Roman" w:hAnsi="Times New Roman"/>
          <w:sz w:val="20"/>
          <w:szCs w:val="20"/>
        </w:rPr>
        <w:t xml:space="preserve">Sponsor shall reimburse Institution for reasonable costs of non-IMP study materials (laboratory kits, patient diaries, imaging media) at the rates set forth in Exhibit B (Budget). Any materials procured by Institution outside the agreed list require prior written authorization from Sponsor's Clinical Operations team. Requests for additional cost reimbursement must be submitted within 30 days of cost incurrence.</w:t>
      </w:r>
    </w:p>
    <w:p>
      <w:pPr>
        <w:spacing w:after="80" w:before="160"/>
      </w:pPr>
      <w:r>
        <w:rPr>
          <w:rFonts w:ascii="Times New Roman" w:cs="Times New Roman" w:eastAsia="Times New Roman" w:hAnsi="Times New Roman"/>
          <w:b/>
          <w:bCs/>
          <w:color w:val="1A2D4A"/>
          <w:sz w:val="20"/>
          <w:szCs w:val="20"/>
        </w:rPr>
        <w:t xml:space="preserve">§ 3.3  Comparator Drug</w:t>
      </w:r>
    </w:p>
    <w:p>
      <w:pPr>
        <w:spacing w:after="80" w:before="80" w:line="320" w:lineRule="auto"/>
      </w:pPr>
      <w:r>
        <w:rPr>
          <w:rFonts w:ascii="Times New Roman" w:cs="Times New Roman" w:eastAsia="Times New Roman" w:hAnsi="Times New Roman"/>
          <w:sz w:val="20"/>
          <w:szCs w:val="20"/>
        </w:rPr>
        <w:t xml:space="preserve">Docetaxel (comparator arm) shall be procured and supplied by Institution through standard hospital pharmacy channels at Sponsor's expense per the unit costs specified in Exhibit B. Institution shall maintain accurate dispensing records and provide monthly reconciliation reports to Sponsor within 10 business days of each calendar month end.</w:t>
      </w:r>
    </w:p>
    <w:p>
      <w:pPr>
        <w:pBdr>
          <w:bottom w:val="single" w:color="1A2D4A" w:sz="6"/>
        </w:pBdr>
        <w:spacing w:after="120" w:before="280"/>
      </w:pPr>
      <w:r>
        <w:rPr>
          <w:rFonts w:ascii="Times New Roman" w:cs="Times New Roman" w:eastAsia="Times New Roman" w:hAnsi="Times New Roman"/>
          <w:b/>
          <w:bCs/>
          <w:color w:val="1A2D4A"/>
          <w:sz w:val="26"/>
          <w:szCs w:val="26"/>
        </w:rPr>
        <w:t xml:space="preserve">4. PERFORMANCE PERIOD &amp; ENROLLMENT</w:t>
      </w:r>
    </w:p>
    <w:p>
      <w:pPr>
        <w:spacing w:after="80" w:before="160"/>
      </w:pPr>
      <w:r>
        <w:rPr>
          <w:rFonts w:ascii="Times New Roman" w:cs="Times New Roman" w:eastAsia="Times New Roman" w:hAnsi="Times New Roman"/>
          <w:b/>
          <w:bCs/>
          <w:color w:val="1A2D4A"/>
          <w:sz w:val="20"/>
          <w:szCs w:val="20"/>
        </w:rPr>
        <w:t xml:space="preserve">§ 4.1  First Subject Enrollment</w:t>
      </w:r>
    </w:p>
    <w:p>
      <w:pPr>
        <w:spacing w:after="80" w:before="80" w:line="320" w:lineRule="auto"/>
      </w:pPr>
      <w:r>
        <w:rPr>
          <w:rFonts w:ascii="Times New Roman" w:cs="Times New Roman" w:eastAsia="Times New Roman" w:hAnsi="Times New Roman"/>
          <w:sz w:val="20"/>
          <w:szCs w:val="20"/>
        </w:rPr>
        <w:t xml:space="preserve">Site agrees to enroll the first Study Subject within </w:t>
      </w:r>
      <w:del w:id="101" w:author="박연구 (삼성바이오로직스)" w:date="2024-07-10T09:00:00Z">
        <w:r>
          <w:rPr>
            <w:rFonts w:ascii="Times New Roman" w:cs="Times New Roman" w:eastAsia="Times New Roman" w:hAnsi="Times New Roman"/>
            <w:sz w:val="20"/>
            <w:szCs w:val="20"/>
          </w:rPr>
          <w:delText>30</w:delText>
        </w:r>
      </w:del>
      <w:ins w:id="102" w:author="박연구 (삼성바이오로직스)" w:date="2024-07-10T09:00:00Z">
        <w:r>
          <w:rPr>
            <w:rFonts w:ascii="Times New Roman" w:cs="Times New Roman" w:eastAsia="Times New Roman" w:hAnsi="Times New Roman"/>
            <w:sz w:val="20"/>
            <w:szCs w:val="20"/>
          </w:rPr>
          <w:t>45</w:t>
        </w:r>
      </w:ins>
      <w:r>
        <w:rPr>
          <w:rFonts w:ascii="Times New Roman" w:cs="Times New Roman" w:eastAsia="Times New Roman" w:hAnsi="Times New Roman"/>
          <w:sz w:val="20"/>
          <w:szCs w:val="20"/>
        </w:rPr>
        <w:t xml:space="preserve"> calendar days of the Effective Date. Failure to enroll the first Subject within this period shall entitle Sponsor to terminate this Order upon 14 days' written notice, unless Site provides written justification satisfactory to Sponsor for the delay. Time to first enrollment shall be measured from the date of final IRB approval and execution of this Order by all parties.</w:t>
      </w:r>
    </w:p>
    <w:p>
      <w:pPr>
        <w:spacing w:after="80" w:before="160"/>
      </w:pPr>
      <w:r>
        <w:rPr>
          <w:rFonts w:ascii="Times New Roman" w:cs="Times New Roman" w:eastAsia="Times New Roman" w:hAnsi="Times New Roman"/>
          <w:b/>
          <w:bCs/>
          <w:color w:val="1A2D4A"/>
          <w:sz w:val="20"/>
          <w:szCs w:val="20"/>
        </w:rPr>
        <w:t xml:space="preserve">§ 4.2  Enrollment Target &amp; Timeline</w:t>
      </w:r>
    </w:p>
    <w:p>
      <w:pPr>
        <w:spacing w:after="80" w:before="80" w:line="320" w:lineRule="auto"/>
      </w:pPr>
      <w:r>
        <w:rPr>
          <w:rFonts w:ascii="Times New Roman" w:cs="Times New Roman" w:eastAsia="Times New Roman" w:hAnsi="Times New Roman"/>
          <w:sz w:val="20"/>
          <w:szCs w:val="20"/>
        </w:rPr>
        <w:t xml:space="preserve">Site agrees to enroll a minimum of 12 evaluable Study Subjects during the Enrollment Period, which shall commence on the Effective Date and continue through 31 March 2026 ("Enrollment Period"). Sponsor reserves the right to reallocate enrollment targets among participating sites if Site falls more than 30 days behind the agreed enrollment trajectory set forth in Exhibit C (Enrollment Milestones).</w:t>
      </w:r>
    </w:p>
    <w:p>
      <w:pPr>
        <w:spacing w:after="80" w:before="160"/>
      </w:pPr>
      <w:r>
        <w:rPr>
          <w:rFonts w:ascii="Times New Roman" w:cs="Times New Roman" w:eastAsia="Times New Roman" w:hAnsi="Times New Roman"/>
          <w:b/>
          <w:bCs/>
          <w:color w:val="1A2D4A"/>
          <w:sz w:val="20"/>
          <w:szCs w:val="20"/>
        </w:rPr>
        <w:t xml:space="preserve">§ 4.3  Screen Failure Management</w:t>
      </w:r>
    </w:p>
    <w:p>
      <w:pPr>
        <w:spacing w:after="80" w:before="80" w:line="320" w:lineRule="auto"/>
      </w:pPr>
      <w:r>
        <w:rPr>
          <w:rFonts w:ascii="Times New Roman" w:cs="Times New Roman" w:eastAsia="Times New Roman" w:hAnsi="Times New Roman"/>
          <w:sz w:val="20"/>
          <w:szCs w:val="20"/>
        </w:rPr>
        <w:t xml:space="preserve">Screen failures shall be documented in the EDC system within 5 business days of the screening visit. Sponsor will reimburse screen failure costs at 40% of the per-subject fee specified in Exhibit B for Subjects who complete screening procedures but do not meet eligibility criteria. Screen failure rate exceeding 40% shall trigger a protocol deviation review meeting between Sponsor, CRO, and Principal Investigator.</w:t>
      </w:r>
    </w:p>
    <w:p>
      <w:pPr>
        <w:pBdr>
          <w:bottom w:val="single" w:color="1A2D4A" w:sz="6"/>
        </w:pBdr>
        <w:spacing w:after="120" w:before="280"/>
      </w:pPr>
      <w:r>
        <w:rPr>
          <w:rFonts w:ascii="Times New Roman" w:cs="Times New Roman" w:eastAsia="Times New Roman" w:hAnsi="Times New Roman"/>
          <w:b/>
          <w:bCs/>
          <w:color w:val="1A2D4A"/>
          <w:sz w:val="26"/>
          <w:szCs w:val="26"/>
        </w:rPr>
        <w:t xml:space="preserve">5. COMPENSATION &amp; PAYMENT</w:t>
      </w:r>
    </w:p>
    <w:p>
      <w:pPr>
        <w:spacing w:after="80" w:before="160"/>
      </w:pPr>
      <w:r>
        <w:rPr>
          <w:rFonts w:ascii="Times New Roman" w:cs="Times New Roman" w:eastAsia="Times New Roman" w:hAnsi="Times New Roman"/>
          <w:b/>
          <w:bCs/>
          <w:color w:val="1A2D4A"/>
          <w:sz w:val="20"/>
          <w:szCs w:val="20"/>
        </w:rPr>
        <w:t xml:space="preserve">§ 5.1  Per-Subject Fees</w:t>
      </w:r>
    </w:p>
    <w:p>
      <w:pPr>
        <w:spacing w:after="80" w:before="80" w:line="320" w:lineRule="auto"/>
      </w:pPr>
      <w:r>
        <w:rPr>
          <w:rFonts w:ascii="Times New Roman" w:cs="Times New Roman" w:eastAsia="Times New Roman" w:hAnsi="Times New Roman"/>
          <w:sz w:val="20"/>
          <w:szCs w:val="20"/>
        </w:rPr>
        <w:t xml:space="preserve">Sponsor shall pay Institution per-subject fees in accordance with the Budget (Exhibit B), which shall constitute full compensation for all Study-related services, overhead, and institutional costs. Per-subject fees shall be invoiced upon completion of each Subject's protocol-specified visit milestones and shall be paid within 45 calendar days of Sponsor's receipt of a valid invoice. All invoices shall be submitted to Sponsor's Accounts Payable in the format specified in Exhibit D.</w:t>
      </w:r>
    </w:p>
    <w:p>
      <w:pPr>
        <w:spacing w:after="80" w:before="160"/>
      </w:pPr>
      <w:r>
        <w:rPr>
          <w:rFonts w:ascii="Times New Roman" w:cs="Times New Roman" w:eastAsia="Times New Roman" w:hAnsi="Times New Roman"/>
          <w:b/>
          <w:bCs/>
          <w:color w:val="1A2D4A"/>
          <w:sz w:val="20"/>
          <w:szCs w:val="20"/>
        </w:rPr>
        <w:t xml:space="preserve">§ 5.2  Start-Up &amp; Regulatory Fees</w:t>
      </w:r>
    </w:p>
    <w:p>
      <w:pPr>
        <w:spacing w:after="80" w:before="80" w:line="320" w:lineRule="auto"/>
      </w:pPr>
      <w:r>
        <w:rPr>
          <w:rFonts w:ascii="Times New Roman" w:cs="Times New Roman" w:eastAsia="Times New Roman" w:hAnsi="Times New Roman"/>
          <w:sz w:val="20"/>
          <w:szCs w:val="20"/>
        </w:rPr>
        <w:t xml:space="preserve">Sponsor shall pay a one-time site initiation fee of KRW 5,000,000 upon execution of this Order and satisfactory completion of Site Initiation Visit (SIV). IRB submission fees and MFDS notification fees shall be reimbursed at cost within 30 days of submission of supporting documentation. No markup shall be applied to pass-through regulatory fees.</w:t>
      </w:r>
    </w:p>
    <w:p>
      <w:pPr>
        <w:spacing w:after="80" w:before="160"/>
      </w:pPr>
      <w:r>
        <w:rPr>
          <w:rFonts w:ascii="Times New Roman" w:cs="Times New Roman" w:eastAsia="Times New Roman" w:hAnsi="Times New Roman"/>
          <w:b/>
          <w:bCs/>
          <w:color w:val="1A2D4A"/>
          <w:sz w:val="20"/>
          <w:szCs w:val="20"/>
        </w:rPr>
        <w:t xml:space="preserve">§ 5.3  Withholding &amp; Set-Off</w:t>
      </w:r>
    </w:p>
    <w:p>
      <w:pPr>
        <w:spacing w:after="80" w:before="80" w:line="320" w:lineRule="auto"/>
      </w:pPr>
      <w:r>
        <w:rPr>
          <w:rFonts w:ascii="Times New Roman" w:cs="Times New Roman" w:eastAsia="Times New Roman" w:hAnsi="Times New Roman"/>
          <w:sz w:val="20"/>
          <w:szCs w:val="20"/>
        </w:rPr>
        <w:t xml:space="preserve">Sponsor reserves the right to withhold payment of any amount in good-faith dispute pending resolution. Sponsor shall provide written notice of any disputed amount within 15 days of invoice receipt. Any undisputed portion shall be paid on schedule. Interest shall accrue on undisputed overdue amounts at the rate of 6% per annum from the due date.</w:t>
      </w:r>
    </w:p>
    <w:p>
      <w:pPr>
        <w:pBdr>
          <w:bottom w:val="single" w:color="1A2D4A" w:sz="6"/>
        </w:pBdr>
        <w:spacing w:after="120" w:before="280"/>
      </w:pPr>
      <w:r>
        <w:rPr>
          <w:rFonts w:ascii="Times New Roman" w:cs="Times New Roman" w:eastAsia="Times New Roman" w:hAnsi="Times New Roman"/>
          <w:b/>
          <w:bCs/>
          <w:color w:val="1A2D4A"/>
          <w:sz w:val="26"/>
          <w:szCs w:val="26"/>
        </w:rPr>
        <w:t xml:space="preserve">6. CONFIDENTIALITY &amp; INTELLECTUAL PROPERTY</w:t>
      </w:r>
    </w:p>
    <w:p>
      <w:pPr>
        <w:spacing w:after="80" w:before="160"/>
      </w:pPr>
      <w:r>
        <w:rPr>
          <w:rFonts w:ascii="Times New Roman" w:cs="Times New Roman" w:eastAsia="Times New Roman" w:hAnsi="Times New Roman"/>
          <w:b/>
          <w:bCs/>
          <w:color w:val="1A2D4A"/>
          <w:sz w:val="20"/>
          <w:szCs w:val="20"/>
        </w:rPr>
        <w:t xml:space="preserve">§ 6.1  Confidential Information</w:t>
      </w:r>
    </w:p>
    <w:p>
      <w:pPr>
        <w:spacing w:after="80" w:before="80" w:line="320" w:lineRule="auto"/>
      </w:pPr>
      <w:r>
        <w:rPr>
          <w:rFonts w:ascii="Times New Roman" w:cs="Times New Roman" w:eastAsia="Times New Roman" w:hAnsi="Times New Roman"/>
          <w:sz w:val="20"/>
          <w:szCs w:val="20"/>
        </w:rPr>
        <w:t xml:space="preserve">Each party agrees to maintain in strict confidence all Confidential Information received from the other party and to use such information solely for the purpose of performing its obligations under this Order. Confidential Information shall not be disclosed to any third party without prior written consent of the disclosing party. This obligation shall survive termination of this Order for a period of 10 years.</w:t>
      </w:r>
    </w:p>
    <w:p>
      <w:pPr>
        <w:spacing w:after="80" w:before="160"/>
      </w:pPr>
      <w:r>
        <w:rPr>
          <w:rFonts w:ascii="Times New Roman" w:cs="Times New Roman" w:eastAsia="Times New Roman" w:hAnsi="Times New Roman"/>
          <w:b/>
          <w:bCs/>
          <w:color w:val="1A2D4A"/>
          <w:sz w:val="20"/>
          <w:szCs w:val="20"/>
        </w:rPr>
        <w:t xml:space="preserve">§ 6.2  Intellectual Property</w:t>
      </w:r>
    </w:p>
    <w:p>
      <w:pPr>
        <w:spacing w:after="80" w:before="80" w:line="320" w:lineRule="auto"/>
      </w:pPr>
      <w:r>
        <w:rPr>
          <w:rFonts w:ascii="Times New Roman" w:cs="Times New Roman" w:eastAsia="Times New Roman" w:hAnsi="Times New Roman"/>
          <w:sz w:val="20"/>
          <w:szCs w:val="20"/>
        </w:rPr>
        <w:t xml:space="preserve">All Study Data, results, and inventions arising from the Study that are generated solely by Institution personnel in the performance of this Order shall be jointly owned by Sponsor and Institution, with Sponsor retaining an exclusive, royalty-free license for commercial exploitation. Sponsor retains all rights to its Background IP. Institution shall promptly disclose any invention arising from the Study to Sponsor in writing.</w:t>
      </w:r>
    </w:p>
    <w:p>
      <w:pPr>
        <w:spacing w:after="80" w:before="160"/>
      </w:pPr>
      <w:r>
        <w:rPr>
          <w:rFonts w:ascii="Times New Roman" w:cs="Times New Roman" w:eastAsia="Times New Roman" w:hAnsi="Times New Roman"/>
          <w:b/>
          <w:bCs/>
          <w:color w:val="1A2D4A"/>
          <w:sz w:val="20"/>
          <w:szCs w:val="20"/>
        </w:rPr>
        <w:t xml:space="preserve">§ 6.3  Publications</w:t>
      </w:r>
    </w:p>
    <w:p>
      <w:pPr>
        <w:spacing w:after="80" w:before="80" w:line="320" w:lineRule="auto"/>
      </w:pPr>
      <w:r>
        <w:rPr>
          <w:rFonts w:ascii="Times New Roman" w:cs="Times New Roman" w:eastAsia="Times New Roman" w:hAnsi="Times New Roman"/>
          <w:sz w:val="20"/>
          <w:szCs w:val="20"/>
        </w:rPr>
        <w:t xml:space="preserve">Institution and Principal Investigator shall have the right to publish Study results following Sponsor's written review, which shall be completed within 60 calendar days of submission of the proposed manuscript. Sponsor may request a delay of up to an additional 90 days for the purpose of filing patent applications. Sponsor shall not have the right to suppress publication of Study results; however, Sponsor may request removal of Confidential Information that is not necessary for scientific integrity.</w:t>
      </w:r>
    </w:p>
    <w:p>
      <w:pPr>
        <w:pBdr>
          <w:bottom w:val="single" w:color="1A2D4A" w:sz="6"/>
        </w:pBdr>
        <w:spacing w:after="120" w:before="280"/>
      </w:pPr>
      <w:r>
        <w:rPr>
          <w:rFonts w:ascii="Times New Roman" w:cs="Times New Roman" w:eastAsia="Times New Roman" w:hAnsi="Times New Roman"/>
          <w:b/>
          <w:bCs/>
          <w:color w:val="1A2D4A"/>
          <w:sz w:val="26"/>
          <w:szCs w:val="26"/>
        </w:rPr>
        <w:t xml:space="preserve">7. INDEMNIFICATION &amp; INSURANCE</w:t>
      </w:r>
    </w:p>
    <w:p>
      <w:pPr>
        <w:spacing w:after="80" w:before="160"/>
      </w:pPr>
      <w:r>
        <w:rPr>
          <w:rFonts w:ascii="Times New Roman" w:cs="Times New Roman" w:eastAsia="Times New Roman" w:hAnsi="Times New Roman"/>
          <w:b/>
          <w:bCs/>
          <w:color w:val="1A2D4A"/>
          <w:sz w:val="20"/>
          <w:szCs w:val="20"/>
        </w:rPr>
        <w:t xml:space="preserve">§ 7.1  Sponsor Indemnification</w:t>
      </w:r>
    </w:p>
    <w:p>
      <w:pPr>
        <w:spacing w:after="80" w:before="80" w:line="320" w:lineRule="auto"/>
      </w:pPr>
      <w:r>
        <w:rPr>
          <w:rFonts w:ascii="Times New Roman" w:cs="Times New Roman" w:eastAsia="Times New Roman" w:hAnsi="Times New Roman"/>
          <w:sz w:val="20"/>
          <w:szCs w:val="20"/>
        </w:rPr>
        <w:t xml:space="preserve">Sponsor shall defend, indemnify, and hold harmless Institution, its affiliates, officers, directors, employees, and agents from and against any claims, losses, or liabilities arising from: (a) the use of IMP in accordance with the protocol; (b) Sponsor's gross negligence or willful misconduct; or (c) any breach by Sponsor of this Order. This indemnification obligation shall not apply to claims arising from Institution's own negligence, misconduct, or breach.</w:t>
      </w:r>
    </w:p>
    <w:p>
      <w:pPr>
        <w:spacing w:after="80" w:before="160"/>
      </w:pPr>
      <w:r>
        <w:rPr>
          <w:rFonts w:ascii="Times New Roman" w:cs="Times New Roman" w:eastAsia="Times New Roman" w:hAnsi="Times New Roman"/>
          <w:b/>
          <w:bCs/>
          <w:color w:val="1A2D4A"/>
          <w:sz w:val="20"/>
          <w:szCs w:val="20"/>
        </w:rPr>
        <w:t xml:space="preserve">§ 7.2  Insurance</w:t>
      </w:r>
    </w:p>
    <w:p>
      <w:pPr>
        <w:spacing w:after="80" w:before="80" w:line="320" w:lineRule="auto"/>
      </w:pPr>
      <w:r>
        <w:rPr>
          <w:rFonts w:ascii="Times New Roman" w:cs="Times New Roman" w:eastAsia="Times New Roman" w:hAnsi="Times New Roman"/>
          <w:sz w:val="20"/>
          <w:szCs w:val="20"/>
        </w:rPr>
        <w:t xml:space="preserve">Sponsor shall maintain, at its sole expense, comprehensive clinical trial liability insurance with a minimum coverage of USD 10,000,000 per occurrence throughout the term of this Order and for a tail period of 5 years following Study completion. Institution shall maintain appropriate professional liability and general liability insurance covering its obligations under this Order.</w:t>
      </w:r>
    </w:p>
    <w:p>
      <w:pPr>
        <w:pBdr>
          <w:bottom w:val="single" w:color="1A2D4A" w:sz="6"/>
        </w:pBdr>
        <w:spacing w:after="120" w:before="280"/>
      </w:pPr>
      <w:r>
        <w:rPr>
          <w:rFonts w:ascii="Times New Roman" w:cs="Times New Roman" w:eastAsia="Times New Roman" w:hAnsi="Times New Roman"/>
          <w:b/>
          <w:bCs/>
          <w:color w:val="1A2D4A"/>
          <w:sz w:val="26"/>
          <w:szCs w:val="26"/>
        </w:rPr>
        <w:t xml:space="preserve">8. SIGNATURES</w:t>
      </w:r>
    </w:p>
    <w:p>
      <w:pPr>
        <w:spacing w:after="80" w:before="80" w:line="320" w:lineRule="auto"/>
      </w:pPr>
      <w:r>
        <w:rPr>
          <w:rFonts w:ascii="Times New Roman" w:cs="Times New Roman" w:eastAsia="Times New Roman" w:hAnsi="Times New Roman"/>
          <w:sz w:val="20"/>
          <w:szCs w:val="20"/>
        </w:rPr>
        <w:t xml:space="preserve">By signing below, the authorized representatives of the parties confirm their agreement to the terms and conditions of this Clinical Trial Agreement Order.</w:t>
      </w:r>
    </w:p>
    <w:p>
      <w:pPr>
        <w:spacing w:after="0" w:before="40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600"/>
        <w:gridCol w:w="4200"/>
      </w:tblGrid>
      <w:tr>
        <w:tc>
          <w:tcPr>
            <w:tcW w:type="dxa" w:w="4200"/>
            <w:tcBorders>
              <w:top w:val="none" w:color="FFFFFF" w:sz="0"/>
              <w:left w:val="none" w:color="FFFFFF" w:sz="0"/>
              <w:bottom w:val="none" w:color="FFFFFF" w:sz="0"/>
              <w:right w:val="none" w:color="FFFFFF" w:sz="0"/>
            </w:tcBorders>
          </w:tcPr>
          <w:p>
            <w:pPr>
              <w:pBdr>
                <w:bottom w:val="single" w:color="888888" w:sz="8"/>
              </w:pBdr>
              <w:spacing w:after="80"/>
            </w:pPr>
            <w:r>
              <w:rPr>
                <w:sz w:val="20"/>
                <w:szCs w:val="20"/>
              </w:rPr>
              <w:t xml:space="preserve">                                          </w:t>
            </w:r>
          </w:p>
          <w:p>
            <w:r>
              <w:rPr>
                <w:rFonts w:ascii="Times New Roman" w:cs="Times New Roman" w:eastAsia="Times New Roman" w:hAnsi="Times New Roman"/>
                <w:color w:val="555555"/>
                <w:sz w:val="17"/>
                <w:szCs w:val="17"/>
              </w:rPr>
              <w:t xml:space="preserve">Authorized Representative, Samsung Biologics Co., Ltd.</w:t>
            </w:r>
          </w:p>
          <w:p>
            <w:r>
              <w:rPr>
                <w:rFonts w:ascii="Times New Roman" w:cs="Times New Roman" w:eastAsia="Times New Roman" w:hAnsi="Times New Roman"/>
                <w:sz w:val="18"/>
                <w:szCs w:val="18"/>
              </w:rPr>
              <w:t xml:space="preserve">Name:  ________________________________</w:t>
            </w:r>
          </w:p>
          <w:p>
            <w:r>
              <w:rPr>
                <w:rFonts w:ascii="Times New Roman" w:cs="Times New Roman" w:eastAsia="Times New Roman" w:hAnsi="Times New Roman"/>
                <w:sz w:val="18"/>
                <w:szCs w:val="18"/>
              </w:rPr>
              <w:t xml:space="preserve">Title:   ________________________________</w:t>
            </w:r>
          </w:p>
          <w:p>
            <w:r>
              <w:rPr>
                <w:rFonts w:ascii="Times New Roman" w:cs="Times New Roman" w:eastAsia="Times New Roman" w:hAnsi="Times New Roman"/>
                <w:sz w:val="18"/>
                <w:szCs w:val="18"/>
              </w:rPr>
              <w:t xml:space="preserve">Date:  ________________________________</w:t>
            </w:r>
          </w:p>
        </w:tc>
        <w:tc>
          <w:tcPr>
            <w:tcW w:type="dxa" w:w="600"/>
            <w:tcBorders>
              <w:top w:val="none" w:color="FFFFFF" w:sz="0"/>
              <w:left w:val="none" w:color="FFFFFF" w:sz="0"/>
              <w:bottom w:val="none" w:color="FFFFFF" w:sz="0"/>
              <w:right w:val="none" w:color="FFFFFF" w:sz="0"/>
            </w:tcBorders>
          </w:tcPr>
          <w:p/>
        </w:tc>
        <w:tc>
          <w:tcPr>
            <w:tcW w:type="dxa" w:w="4200"/>
            <w:tcBorders>
              <w:top w:val="none" w:color="FFFFFF" w:sz="0"/>
              <w:left w:val="none" w:color="FFFFFF" w:sz="0"/>
              <w:bottom w:val="none" w:color="FFFFFF" w:sz="0"/>
              <w:right w:val="none" w:color="FFFFFF" w:sz="0"/>
            </w:tcBorders>
          </w:tcPr>
          <w:p>
            <w:pPr>
              <w:pBdr>
                <w:bottom w:val="single" w:color="888888" w:sz="8"/>
              </w:pBdr>
              <w:spacing w:after="80"/>
            </w:pPr>
            <w:r>
              <w:rPr>
                <w:sz w:val="20"/>
                <w:szCs w:val="20"/>
              </w:rPr>
              <w:t xml:space="preserve">                                          </w:t>
            </w:r>
          </w:p>
          <w:p>
            <w:r>
              <w:rPr>
                <w:rFonts w:ascii="Times New Roman" w:cs="Times New Roman" w:eastAsia="Times New Roman" w:hAnsi="Times New Roman"/>
                <w:color w:val="555555"/>
                <w:sz w:val="17"/>
                <w:szCs w:val="17"/>
              </w:rPr>
              <w:t xml:space="preserve">Authorized Representative, Ajou University Hospital</w:t>
            </w:r>
          </w:p>
          <w:p>
            <w:r>
              <w:rPr>
                <w:rFonts w:ascii="Times New Roman" w:cs="Times New Roman" w:eastAsia="Times New Roman" w:hAnsi="Times New Roman"/>
                <w:sz w:val="18"/>
                <w:szCs w:val="18"/>
              </w:rPr>
              <w:t xml:space="preserve">Name:  ________________________________</w:t>
            </w:r>
          </w:p>
          <w:p>
            <w:r>
              <w:rPr>
                <w:rFonts w:ascii="Times New Roman" w:cs="Times New Roman" w:eastAsia="Times New Roman" w:hAnsi="Times New Roman"/>
                <w:sz w:val="18"/>
                <w:szCs w:val="18"/>
              </w:rPr>
              <w:t xml:space="preserve">Title:   ________________________________</w:t>
            </w:r>
          </w:p>
          <w:p>
            <w:r>
              <w:rPr>
                <w:rFonts w:ascii="Times New Roman" w:cs="Times New Roman" w:eastAsia="Times New Roman" w:hAnsi="Times New Roman"/>
                <w:sz w:val="18"/>
                <w:szCs w:val="18"/>
              </w:rPr>
              <w:t xml:space="preserve">Date:  ________________________________</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120"/>
      <w:jc w:val="center"/>
    </w:pPr>
    <w:r>
      <w:rPr>
        <w:rFonts w:ascii="Times New Roman" w:cs="Times New Roman" w:eastAsia="Times New Roman" w:hAnsi="Times New Roman"/>
        <w:color w:val="888888"/>
        <w:sz w:val="16"/>
        <w:szCs w:val="16"/>
      </w:rPr>
      <w:t xml:space="preserve">Page </w:t>
    </w:r>
    <w:r>
      <w:rPr>
        <w:rFonts w:ascii="Times New Roman" w:cs="Times New Roman" w:eastAsia="Times New Roman" w:hAnsi="Times New Roman"/>
        <w:color w:val="888888"/>
        <w:sz w:val="16"/>
        <w:szCs w:val="16"/>
      </w:rPr>
      <w:fldChar w:fldCharType="begin"/>
      <w:instrText xml:space="preserve">PAGE</w:instrText>
      <w:fldChar w:fldCharType="separate"/>
      <w:fldChar w:fldCharType="end"/>
    </w:r>
    <w:r>
      <w:rPr>
        <w:rFonts w:ascii="Times New Roman" w:cs="Times New Roman" w:eastAsia="Times New Roman" w:hAnsi="Times New Roman"/>
        <w:color w:val="888888"/>
        <w:sz w:val="16"/>
        <w:szCs w:val="16"/>
      </w:rPr>
      <w:t xml:space="preserve"> of </w:t>
    </w:r>
    <w:r>
      <w:rPr>
        <w:rFonts w:ascii="Times New Roman" w:cs="Times New Roman" w:eastAsia="Times New Roman" w:hAnsi="Times New Roman"/>
        <w:color w:val="888888"/>
        <w:sz w:val="16"/>
        <w:szCs w:val="16"/>
      </w:rPr>
      <w:fldChar w:fldCharType="begin"/>
      <w:instrText xml:space="preserve">NUMPAGES</w:instrText>
      <w:fldChar w:fldCharType="separate"/>
      <w:fldChar w:fldCharType="end"/>
    </w:r>
    <w:r>
      <w:rPr>
        <w:rFonts w:ascii="Times New Roman" w:cs="Times New Roman" w:eastAsia="Times New Roman" w:hAnsi="Times New Roman"/>
        <w:color w:val="888888"/>
        <w:sz w:val="16"/>
        <w:szCs w:val="16"/>
      </w:rPr>
      <w:t xml:space="preserve">  |  Samsung Biologics × Ajou University Hospital  |  PROPRIETARY &amp;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120"/>
      <w:jc w:val="right"/>
    </w:pPr>
    <w:r>
      <w:rPr>
        <w:rFonts w:ascii="Times New Roman" w:cs="Times New Roman" w:eastAsia="Times New Roman" w:hAnsi="Times New Roman"/>
        <w:color w:val="888888"/>
        <w:sz w:val="16"/>
        <w:szCs w:val="16"/>
      </w:rPr>
      <w:t xml:space="preserve">CONFIDENTIAL  |  CTA Order #SB-2024-LC3-001  |  Draft v8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2D4A"/>
        <w:sz w:val="20"/>
        <w:szCs w:val="20"/>
      </w:rPr>
    </w:rPrDefault>
    <w:pPrDefault>
      <w:pPr>
        <w:spacing w:line="32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2026-07-12T09:47:20.378Z</dcterms:created>
  <dcterms:modified xsi:type="dcterms:W3CDTF">2026-07-12T09:47:20.393Z</dcterms:modified>
</cp:coreProperties>
</file>

<file path=docProps/custom.xml><?xml version="1.0" encoding="utf-8"?>
<Properties xmlns="http://schemas.openxmlformats.org/officeDocument/2006/custom-properties" xmlns:vt="http://schemas.openxmlformats.org/officeDocument/2006/docPropsVTypes"/>
</file>