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jc w:val="center"/>
      </w:pPr>
      <w:r>
        <w:rPr>
          <w:rFonts w:ascii="Times New Roman" w:cs="Times New Roman" w:eastAsia="Times New Roman" w:hAnsi="Times New Roman"/>
          <w:b/>
          <w:bCs/>
          <w:caps/>
          <w:color w:val="1A2D4A"/>
          <w:sz w:val="28"/>
          <w:szCs w:val="28"/>
        </w:rPr>
        <w:t xml:space="preserve">CLINICAL TRIAL AGREEMENT ORDER</w:t>
      </w:r>
    </w:p>
    <w:p>
      <w:pPr>
        <w:spacing w:after="280" w:before="0"/>
        <w:jc w:val="center"/>
      </w:pPr>
      <w:r>
        <w:rPr>
          <w:rFonts w:ascii="Times New Roman" w:cs="Times New Roman" w:eastAsia="Times New Roman" w:hAnsi="Times New Roman"/>
          <w:color w:val="888888"/>
          <w:sz w:val="18"/>
          <w:szCs w:val="18"/>
        </w:rPr>
        <w:t xml:space="preserve">IRB No.: 51039  ·  Contract No.: SB-2024-LC3-001  ·  Rev. 8</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20"/>
        <w:gridCol w:w="6480"/>
      </w:tblGrid>
      <w:tr>
        <w:tc>
          <w:tcPr>
            <w:tcW w:type="dxa" w:w="2520"/>
            <w:tcBorders>
              <w:top w:val="single" w:color="CCCCCC" w:sz="4"/>
              <w:left w:val="single" w:color="CCCCCC" w:sz="4"/>
              <w:bottom w:val="single" w:color="CCCCCC" w:sz="4"/>
              <w:right w:val="single" w:color="CCCCCC" w:sz="4"/>
            </w:tcBorders>
            <w:shd w:fill="F0F4F8" w:val="clear"/>
            <w:tcMar>
              <w:top w:type="dxa" w:w="60"/>
              <w:left w:type="dxa" w:w="100"/>
              <w:bottom w:type="dxa" w:w="60"/>
              <w:right w:type="dxa" w:w="100"/>
            </w:tcMar>
          </w:tcPr>
          <w:p>
            <w:r>
              <w:rPr>
                <w:rFonts w:ascii="Times New Roman" w:cs="Times New Roman" w:eastAsia="Times New Roman" w:hAnsi="Times New Roman"/>
                <w:b/>
                <w:bCs/>
                <w:color w:val="1A2D4A"/>
                <w:sz w:val="18"/>
                <w:szCs w:val="18"/>
              </w:rPr>
              <w:t xml:space="preserve">Sponsor</w:t>
            </w:r>
          </w:p>
        </w:tc>
        <w:tc>
          <w:tcPr>
            <w:tcW w:type="dxa" w:w="648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Times New Roman" w:cs="Times New Roman" w:eastAsia="Times New Roman" w:hAnsi="Times New Roman"/>
                <w:sz w:val="18"/>
                <w:szCs w:val="18"/>
              </w:rPr>
              <w:t xml:space="preserve">Samsung Biologics Co., Ltd., 300 Songdo Bio-daero, Yeonsu-gu, Incheon 21987, Korea</w:t>
            </w:r>
          </w:p>
        </w:tc>
      </w:tr>
      <w:tr>
        <w:tc>
          <w:tcPr>
            <w:tcW w:type="dxa" w:w="2520"/>
            <w:tcBorders>
              <w:top w:val="single" w:color="CCCCCC" w:sz="4"/>
              <w:left w:val="single" w:color="CCCCCC" w:sz="4"/>
              <w:bottom w:val="single" w:color="CCCCCC" w:sz="4"/>
              <w:right w:val="single" w:color="CCCCCC" w:sz="4"/>
            </w:tcBorders>
            <w:shd w:fill="F0F4F8" w:val="clear"/>
            <w:tcMar>
              <w:top w:type="dxa" w:w="60"/>
              <w:left w:type="dxa" w:w="100"/>
              <w:bottom w:type="dxa" w:w="60"/>
              <w:right w:type="dxa" w:w="100"/>
            </w:tcMar>
          </w:tcPr>
          <w:p>
            <w:r>
              <w:rPr>
                <w:rFonts w:ascii="Times New Roman" w:cs="Times New Roman" w:eastAsia="Times New Roman" w:hAnsi="Times New Roman"/>
                <w:b/>
                <w:bCs/>
                <w:color w:val="1A2D4A"/>
                <w:sz w:val="18"/>
                <w:szCs w:val="18"/>
              </w:rPr>
              <w:t xml:space="preserve">Institution</w:t>
            </w:r>
          </w:p>
        </w:tc>
        <w:tc>
          <w:tcPr>
            <w:tcW w:type="dxa" w:w="648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Times New Roman" w:cs="Times New Roman" w:eastAsia="Times New Roman" w:hAnsi="Times New Roman"/>
                <w:sz w:val="18"/>
                <w:szCs w:val="18"/>
              </w:rPr>
              <w:t xml:space="preserve">Ajou University Hospital, 164 Worldcup-ro, Yeongtong-gu, Suwon-si, Gyeonggi-do 16499, Korea</w:t>
            </w:r>
          </w:p>
        </w:tc>
      </w:tr>
      <w:tr>
        <w:tc>
          <w:tcPr>
            <w:tcW w:type="dxa" w:w="2520"/>
            <w:tcBorders>
              <w:top w:val="single" w:color="CCCCCC" w:sz="4"/>
              <w:left w:val="single" w:color="CCCCCC" w:sz="4"/>
              <w:bottom w:val="single" w:color="CCCCCC" w:sz="4"/>
              <w:right w:val="single" w:color="CCCCCC" w:sz="4"/>
            </w:tcBorders>
            <w:shd w:fill="F0F4F8" w:val="clear"/>
            <w:tcMar>
              <w:top w:type="dxa" w:w="60"/>
              <w:left w:type="dxa" w:w="100"/>
              <w:bottom w:type="dxa" w:w="60"/>
              <w:right w:type="dxa" w:w="100"/>
            </w:tcMar>
          </w:tcPr>
          <w:p>
            <w:r>
              <w:rPr>
                <w:rFonts w:ascii="Times New Roman" w:cs="Times New Roman" w:eastAsia="Times New Roman" w:hAnsi="Times New Roman"/>
                <w:b/>
                <w:bCs/>
                <w:color w:val="1A2D4A"/>
                <w:sz w:val="18"/>
                <w:szCs w:val="18"/>
              </w:rPr>
              <w:t xml:space="preserve">Principal Investigator</w:t>
            </w:r>
          </w:p>
        </w:tc>
        <w:tc>
          <w:tcPr>
            <w:tcW w:type="dxa" w:w="648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Times New Roman" w:cs="Times New Roman" w:eastAsia="Times New Roman" w:hAnsi="Times New Roman"/>
                <w:sz w:val="18"/>
                <w:szCs w:val="18"/>
              </w:rPr>
              <w:t xml:space="preserve">Jae-Ho Lee, MD, PhD  ·  Dept. of Hemato-Oncology, Ajou University Hospital</w:t>
            </w:r>
          </w:p>
        </w:tc>
      </w:tr>
      <w:tr>
        <w:tc>
          <w:tcPr>
            <w:tcW w:type="dxa" w:w="2520"/>
            <w:tcBorders>
              <w:top w:val="single" w:color="CCCCCC" w:sz="4"/>
              <w:left w:val="single" w:color="CCCCCC" w:sz="4"/>
              <w:bottom w:val="single" w:color="CCCCCC" w:sz="4"/>
              <w:right w:val="single" w:color="CCCCCC" w:sz="4"/>
            </w:tcBorders>
            <w:shd w:fill="F0F4F8" w:val="clear"/>
            <w:tcMar>
              <w:top w:type="dxa" w:w="60"/>
              <w:left w:type="dxa" w:w="100"/>
              <w:bottom w:type="dxa" w:w="60"/>
              <w:right w:type="dxa" w:w="100"/>
            </w:tcMar>
          </w:tcPr>
          <w:p>
            <w:r>
              <w:rPr>
                <w:rFonts w:ascii="Times New Roman" w:cs="Times New Roman" w:eastAsia="Times New Roman" w:hAnsi="Times New Roman"/>
                <w:b/>
                <w:bCs/>
                <w:color w:val="1A2D4A"/>
                <w:sz w:val="18"/>
                <w:szCs w:val="18"/>
              </w:rPr>
              <w:t xml:space="preserve">CRO</w:t>
            </w:r>
          </w:p>
        </w:tc>
        <w:tc>
          <w:tcPr>
            <w:tcW w:type="dxa" w:w="648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Times New Roman" w:cs="Times New Roman" w:eastAsia="Times New Roman" w:hAnsi="Times New Roman"/>
                <w:sz w:val="18"/>
                <w:szCs w:val="18"/>
              </w:rPr>
              <w:t xml:space="preserve">PharmaLink CRO Korea, 18F Gangnam Finance Center, 152 Teheran-ro, Gangnam-gu, Seoul 06236</w:t>
            </w:r>
          </w:p>
        </w:tc>
      </w:tr>
      <w:tr>
        <w:tc>
          <w:tcPr>
            <w:tcW w:type="dxa" w:w="2520"/>
            <w:tcBorders>
              <w:top w:val="single" w:color="CCCCCC" w:sz="4"/>
              <w:left w:val="single" w:color="CCCCCC" w:sz="4"/>
              <w:bottom w:val="single" w:color="CCCCCC" w:sz="4"/>
              <w:right w:val="single" w:color="CCCCCC" w:sz="4"/>
            </w:tcBorders>
            <w:shd w:fill="F0F4F8" w:val="clear"/>
            <w:tcMar>
              <w:top w:type="dxa" w:w="60"/>
              <w:left w:type="dxa" w:w="100"/>
              <w:bottom w:type="dxa" w:w="60"/>
              <w:right w:type="dxa" w:w="100"/>
            </w:tcMar>
          </w:tcPr>
          <w:p>
            <w:r>
              <w:rPr>
                <w:rFonts w:ascii="Times New Roman" w:cs="Times New Roman" w:eastAsia="Times New Roman" w:hAnsi="Times New Roman"/>
                <w:b/>
                <w:bCs/>
                <w:color w:val="1A2D4A"/>
                <w:sz w:val="18"/>
                <w:szCs w:val="18"/>
              </w:rPr>
              <w:t xml:space="preserve">Study Title</w:t>
            </w:r>
          </w:p>
        </w:tc>
        <w:tc>
          <w:tcPr>
            <w:tcW w:type="dxa" w:w="648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Times New Roman" w:cs="Times New Roman" w:eastAsia="Times New Roman" w:hAnsi="Times New Roman"/>
                <w:sz w:val="18"/>
                <w:szCs w:val="18"/>
              </w:rPr>
              <w:t xml:space="preserve">A Randomized, Double-Blind, Phase 3 Study of SB-LC-304 (ADC) vs. Docetaxel in Previously Treated Advanced NSCLC — "LUMINOS-3"</w:t>
            </w:r>
          </w:p>
        </w:tc>
      </w:tr>
      <w:tr>
        <w:tc>
          <w:tcPr>
            <w:tcW w:type="dxa" w:w="2520"/>
            <w:tcBorders>
              <w:top w:val="single" w:color="CCCCCC" w:sz="4"/>
              <w:left w:val="single" w:color="CCCCCC" w:sz="4"/>
              <w:bottom w:val="single" w:color="CCCCCC" w:sz="4"/>
              <w:right w:val="single" w:color="CCCCCC" w:sz="4"/>
            </w:tcBorders>
            <w:shd w:fill="F0F4F8" w:val="clear"/>
            <w:tcMar>
              <w:top w:type="dxa" w:w="60"/>
              <w:left w:type="dxa" w:w="100"/>
              <w:bottom w:type="dxa" w:w="60"/>
              <w:right w:type="dxa" w:w="100"/>
            </w:tcMar>
          </w:tcPr>
          <w:p>
            <w:r>
              <w:rPr>
                <w:rFonts w:ascii="Times New Roman" w:cs="Times New Roman" w:eastAsia="Times New Roman" w:hAnsi="Times New Roman"/>
                <w:b/>
                <w:bCs/>
                <w:color w:val="1A2D4A"/>
                <w:sz w:val="18"/>
                <w:szCs w:val="18"/>
              </w:rPr>
              <w:t xml:space="preserve">Protocol No.</w:t>
            </w:r>
          </w:p>
        </w:tc>
        <w:tc>
          <w:tcPr>
            <w:tcW w:type="dxa" w:w="648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Times New Roman" w:cs="Times New Roman" w:eastAsia="Times New Roman" w:hAnsi="Times New Roman"/>
                <w:sz w:val="18"/>
                <w:szCs w:val="18"/>
              </w:rPr>
              <w:t xml:space="preserve">SB-LC-304-P3-KR-001</w:t>
            </w:r>
          </w:p>
        </w:tc>
      </w:tr>
      <w:tr>
        <w:tc>
          <w:tcPr>
            <w:tcW w:type="dxa" w:w="2520"/>
            <w:tcBorders>
              <w:top w:val="single" w:color="CCCCCC" w:sz="4"/>
              <w:left w:val="single" w:color="CCCCCC" w:sz="4"/>
              <w:bottom w:val="single" w:color="CCCCCC" w:sz="4"/>
              <w:right w:val="single" w:color="CCCCCC" w:sz="4"/>
            </w:tcBorders>
            <w:shd w:fill="F0F4F8" w:val="clear"/>
            <w:tcMar>
              <w:top w:type="dxa" w:w="60"/>
              <w:left w:type="dxa" w:w="100"/>
              <w:bottom w:type="dxa" w:w="60"/>
              <w:right w:type="dxa" w:w="100"/>
            </w:tcMar>
          </w:tcPr>
          <w:p>
            <w:r>
              <w:rPr>
                <w:rFonts w:ascii="Times New Roman" w:cs="Times New Roman" w:eastAsia="Times New Roman" w:hAnsi="Times New Roman"/>
                <w:b/>
                <w:bCs/>
                <w:color w:val="1A2D4A"/>
                <w:sz w:val="18"/>
                <w:szCs w:val="18"/>
              </w:rPr>
              <w:t xml:space="preserve">Effective Date</w:t>
            </w:r>
          </w:p>
        </w:tc>
        <w:tc>
          <w:tcPr>
            <w:tcW w:type="dxa" w:w="648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Times New Roman" w:cs="Times New Roman" w:eastAsia="Times New Roman" w:hAnsi="Times New Roman"/>
                <w:sz w:val="18"/>
                <w:szCs w:val="18"/>
              </w:rPr>
              <w:t xml:space="preserve">Upon execution by all parties following IRB approval</w:t>
            </w:r>
          </w:p>
        </w:tc>
      </w:tr>
      <w:tr>
        <w:tc>
          <w:tcPr>
            <w:tcW w:type="dxa" w:w="2520"/>
            <w:tcBorders>
              <w:top w:val="single" w:color="CCCCCC" w:sz="4"/>
              <w:left w:val="single" w:color="CCCCCC" w:sz="4"/>
              <w:bottom w:val="single" w:color="CCCCCC" w:sz="4"/>
              <w:right w:val="single" w:color="CCCCCC" w:sz="4"/>
            </w:tcBorders>
            <w:shd w:fill="F0F4F8" w:val="clear"/>
            <w:tcMar>
              <w:top w:type="dxa" w:w="60"/>
              <w:left w:type="dxa" w:w="100"/>
              <w:bottom w:type="dxa" w:w="60"/>
              <w:right w:type="dxa" w:w="100"/>
            </w:tcMar>
          </w:tcPr>
          <w:p>
            <w:r>
              <w:rPr>
                <w:rFonts w:ascii="Times New Roman" w:cs="Times New Roman" w:eastAsia="Times New Roman" w:hAnsi="Times New Roman"/>
                <w:b/>
                <w:bCs/>
                <w:color w:val="1A2D4A"/>
                <w:sz w:val="18"/>
                <w:szCs w:val="18"/>
              </w:rPr>
              <w:t xml:space="preserve">Document Version</w:t>
            </w:r>
          </w:p>
        </w:tc>
        <w:tc>
          <w:tcPr>
            <w:tcW w:type="dxa" w:w="648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Times New Roman" w:cs="Times New Roman" w:eastAsia="Times New Roman" w:hAnsi="Times New Roman"/>
                <w:sz w:val="18"/>
                <w:szCs w:val="18"/>
              </w:rPr>
              <w:t xml:space="preserve">Draft v8  (Tracked Changes from v1–v7)  —  2024.07.12</w:t>
            </w:r>
          </w:p>
        </w:tc>
      </w:tr>
    </w:tbl>
    <w:p>
      <w:pPr>
        <w:spacing w:after="200" w:before="0"/>
      </w:pPr>
      <w:r>
        <w:t xml:space="preserve"/>
      </w:r>
    </w:p>
    <w:p>
      <w:pPr>
        <w:pBdr>
          <w:bottom w:val="single" w:color="1A2D4A" w:sz="6"/>
        </w:pBdr>
        <w:spacing w:after="120" w:before="320"/>
      </w:pPr>
      <w:r>
        <w:rPr>
          <w:rFonts w:ascii="Times New Roman" w:cs="Times New Roman" w:eastAsia="Times New Roman" w:hAnsi="Times New Roman"/>
          <w:b/>
          <w:bCs/>
          <w:color w:val="1A2D4A"/>
          <w:sz w:val="26"/>
          <w:szCs w:val="26"/>
        </w:rPr>
        <w:t xml:space="preserve">1. GOVERNING TERMS &amp; EFFECTIVE DATE</w:t>
      </w:r>
    </w:p>
    <w:p>
      <w:pPr>
        <w:spacing w:after="80" w:before="180"/>
      </w:pPr>
      <w:r>
        <w:rPr>
          <w:rFonts w:ascii="Times New Roman" w:cs="Times New Roman" w:eastAsia="Times New Roman" w:hAnsi="Times New Roman"/>
          <w:b/>
          <w:bCs/>
          <w:color w:val="1A2D4A"/>
          <w:sz w:val="20"/>
          <w:szCs w:val="20"/>
        </w:rPr>
        <w:t xml:space="preserve">§ 1.1  Governing Terms</w:t>
      </w:r>
    </w:p>
    <w:p>
      <w:pPr>
        <w:spacing w:after="80" w:before="80" w:line="320" w:lineRule="auto"/>
      </w:pPr>
      <w:r>
        <w:rPr>
          <w:rFonts w:ascii="Times New Roman" w:cs="Times New Roman" w:eastAsia="Times New Roman" w:hAnsi="Times New Roman"/>
          <w:sz w:val="20"/>
          <w:szCs w:val="20"/>
        </w:rPr>
        <w:t xml:space="preserve">By executing this Order, the parties agree that this Order and the parties' performance hereunder shall be governed by the terms and conditions of the Master Clinical Trial Agreement (Contract No. SB-2024-LC3-001). In the event of any conflict between this Order and the Master Agreement, the terms of this Order shall prevail.</w:t>
      </w:r>
    </w:p>
    <w:p>
      <w:pPr>
        <w:spacing w:after="80" w:before="180"/>
      </w:pPr>
      <w:r>
        <w:rPr>
          <w:rFonts w:ascii="Times New Roman" w:cs="Times New Roman" w:eastAsia="Times New Roman" w:hAnsi="Times New Roman"/>
          <w:b/>
          <w:bCs/>
          <w:color w:val="1A2D4A"/>
          <w:sz w:val="20"/>
          <w:szCs w:val="20"/>
        </w:rPr>
        <w:t xml:space="preserve">§ 1.2  Effective Date &amp; Study Period</w:t>
      </w:r>
    </w:p>
    <w:p>
      <w:pPr>
        <w:spacing w:after="80" w:before="80" w:line="320" w:lineRule="auto"/>
      </w:pPr>
      <w:r>
        <w:rPr>
          <w:rFonts w:ascii="Times New Roman" w:cs="Times New Roman" w:eastAsia="Times New Roman" w:hAnsi="Times New Roman"/>
          <w:sz w:val="20"/>
          <w:szCs w:val="20"/>
        </w:rPr>
        <w:t xml:space="preserve">This Order shall become effective upon the date of the last signature affixed hereto. The anticipated study period runs from the Effective Date through </w:t>
      </w:r>
      <w:del w:id="201" w:author="정담당 (아주대병원)" w:date="2024-03-26T09:00:00Z">
        <w:r>
          <w:rPr>
            <w:rFonts w:ascii="Times New Roman" w:cs="Times New Roman" w:hAnsi="Times New Roman"/>
            <w:sz w:val="20"/>
            <w:szCs w:val="20"/>
          </w:rPr>
          <w:delText xml:space="preserve">31 December 2027</w:delText>
        </w:r>
      </w:del>
      <w:ins w:id="211" w:author="정담당 (아주대병원)" w:date="2024-03-26T09:00:00Z">
        <w:r>
          <w:rPr>
            <w:rFonts w:ascii="Times New Roman" w:cs="Times New Roman" w:hAnsi="Times New Roman"/>
            <w:sz w:val="20"/>
            <w:szCs w:val="20"/>
          </w:rPr>
          <w:t xml:space="preserve">30 June 2028</w:t>
        </w:r>
      </w:ins>
      <w:r>
        <w:rPr>
          <w:rFonts w:ascii="Times New Roman" w:cs="Times New Roman" w:hAnsi="Times New Roman"/>
          <w:sz w:val="20"/>
          <w:szCs w:val="20"/>
        </w:rPr>
        <w:t xml:space="preserve">, subject to extension by mutual written agreement.</w:t>
      </w:r>
    </w:p>
    <w:p>
      <w:pPr>
        <w:spacing w:after="80" w:before="180"/>
      </w:pPr>
      <w:r>
        <w:rPr>
          <w:rFonts w:ascii="Times New Roman" w:cs="Times New Roman" w:eastAsia="Times New Roman" w:hAnsi="Times New Roman"/>
          <w:b/>
          <w:bCs/>
          <w:color w:val="1A2D4A"/>
          <w:sz w:val="20"/>
          <w:szCs w:val="20"/>
        </w:rPr>
        <w:t xml:space="preserve">§ 1.3  Applicable Law</w:t>
      </w:r>
    </w:p>
    <w:p>
      <w:pPr>
        <w:spacing w:after="80" w:before="80" w:line="320" w:lineRule="auto"/>
      </w:pPr>
      <w:r>
        <w:rPr>
          <w:rFonts w:ascii="Times New Roman" w:cs="Times New Roman" w:eastAsia="Times New Roman" w:hAnsi="Times New Roman"/>
          <w:sz w:val="20"/>
          <w:szCs w:val="20"/>
        </w:rPr>
        <w:t xml:space="preserve">The Study shall be conducted in accordance with: (a) the Declaration of Helsinki (2013 revision); (b) the Korean GCP Guideline; (c) the Pharmaceutical Affairs Law; (d) all applicable MFDS guidelines; and (e) the Institution's SOPs, whichever affords the greater protection to Study Subjects.</w:t>
      </w:r>
    </w:p>
    <w:p>
      <w:pPr>
        <w:pBdr>
          <w:bottom w:val="single" w:color="1A2D4A" w:sz="6"/>
        </w:pBdr>
        <w:spacing w:after="120" w:before="320"/>
      </w:pPr>
      <w:r>
        <w:rPr>
          <w:rFonts w:ascii="Times New Roman" w:cs="Times New Roman" w:eastAsia="Times New Roman" w:hAnsi="Times New Roman"/>
          <w:b/>
          <w:bCs/>
          <w:color w:val="1A2D4A"/>
          <w:sz w:val="26"/>
          <w:szCs w:val="26"/>
        </w:rPr>
        <w:t xml:space="preserve">2. STUDY CONDUCT</w:t>
      </w:r>
    </w:p>
    <w:p>
      <w:pPr>
        <w:spacing w:after="80" w:before="180"/>
      </w:pPr>
      <w:r>
        <w:rPr>
          <w:rFonts w:ascii="Times New Roman" w:cs="Times New Roman" w:eastAsia="Times New Roman" w:hAnsi="Times New Roman"/>
          <w:b/>
          <w:bCs/>
          <w:color w:val="1A2D4A"/>
          <w:sz w:val="20"/>
          <w:szCs w:val="20"/>
        </w:rPr>
        <w:t xml:space="preserve">§ 2.1  Protocol</w:t>
      </w:r>
    </w:p>
    <w:p>
      <w:pPr>
        <w:spacing w:after="80" w:before="80" w:line="320" w:lineRule="auto"/>
      </w:pPr>
      <w:r>
        <w:rPr>
          <w:rFonts w:ascii="Times New Roman" w:cs="Times New Roman" w:eastAsia="Times New Roman" w:hAnsi="Times New Roman"/>
          <w:sz w:val="20"/>
          <w:szCs w:val="20"/>
        </w:rPr>
        <w:t xml:space="preserve">The Study shall be conducted in strict accordance with Protocol No. SB-LC-304-P3-KR-001 entitled "LUMINOS-3." The Principal Investigator shall ensure all study site staff comply with protocol requirements at all times. Sponsor meal and beverage expenses at Investigator Meetings shall not exceed KRW 50,000 per person per occasion.</w:t>
      </w:r>
    </w:p>
    <w:p>
      <w:pPr>
        <w:spacing w:after="80" w:before="180"/>
      </w:pPr>
      <w:r>
        <w:rPr>
          <w:rFonts w:ascii="Times New Roman" w:cs="Times New Roman" w:eastAsia="Times New Roman" w:hAnsi="Times New Roman"/>
          <w:b/>
          <w:bCs/>
          <w:color w:val="1A2D4A"/>
          <w:sz w:val="20"/>
          <w:szCs w:val="20"/>
        </w:rPr>
        <w:t xml:space="preserve">§ 2.2  Data Protection</w:t>
      </w:r>
    </w:p>
    <w:p>
      <w:pPr>
        <w:spacing w:after="80" w:before="80" w:line="320" w:lineRule="auto"/>
      </w:pPr>
      <w:r>
        <w:rPr>
          <w:rFonts w:ascii="Times New Roman" w:cs="Times New Roman" w:eastAsia="Times New Roman" w:hAnsi="Times New Roman"/>
          <w:sz w:val="20"/>
          <w:szCs w:val="20"/>
        </w:rPr>
        <w:t xml:space="preserve">Subject to applicable law, Sponsor may collect and process personal data relating to Investigators and other study site personnel for the purpose of conducting the Study. Sponsor shall implement appropriate measures to protect such data as required by the Personal Information Protection Act (PIPA).</w:t>
      </w:r>
    </w:p>
    <w:p>
      <w:pPr>
        <w:spacing w:after="80" w:before="180"/>
      </w:pPr>
      <w:r>
        <w:rPr>
          <w:rFonts w:ascii="Times New Roman" w:cs="Times New Roman" w:eastAsia="Times New Roman" w:hAnsi="Times New Roman"/>
          <w:b/>
          <w:bCs/>
          <w:color w:val="1A2D4A"/>
          <w:sz w:val="20"/>
          <w:szCs w:val="20"/>
        </w:rPr>
        <w:t xml:space="preserve">§ 2.3  Use of Electronic Data Capture (EDC)</w:t>
      </w:r>
    </w:p>
    <w:p>
      <w:pPr>
        <w:spacing w:after="80" w:before="80" w:line="320" w:lineRule="auto"/>
      </w:pPr>
      <w:r>
        <w:rPr>
          <w:rFonts w:ascii="Times New Roman" w:cs="Times New Roman" w:eastAsia="Times New Roman" w:hAnsi="Times New Roman"/>
          <w:sz w:val="20"/>
          <w:szCs w:val="20"/>
        </w:rPr>
        <w:t xml:space="preserve">Site agrees to enter all Study data into the Medidata Rave EDC system within </w:t>
      </w:r>
      <w:del w:id="202" w:author="정담당 (아주대병원)" w:date="2024-03-11T09:00:00Z">
        <w:r>
          <w:rPr>
            <w:rFonts w:ascii="Times New Roman" w:cs="Times New Roman" w:hAnsi="Times New Roman"/>
            <w:sz w:val="20"/>
            <w:szCs w:val="20"/>
          </w:rPr>
          <w:delText xml:space="preserve">5</w:delText>
        </w:r>
      </w:del>
      <w:ins w:id="212" w:author="정담당 (아주대병원)" w:date="2024-03-11T09:00:00Z">
        <w:r>
          <w:rPr>
            <w:rFonts w:ascii="Times New Roman" w:cs="Times New Roman" w:hAnsi="Times New Roman"/>
            <w:sz w:val="20"/>
            <w:szCs w:val="20"/>
          </w:rPr>
          <w:t xml:space="preserve">7</w:t>
        </w:r>
      </w:ins>
      <w:r>
        <w:rPr>
          <w:rFonts w:ascii="Times New Roman" w:cs="Times New Roman" w:hAnsi="Times New Roman"/>
          <w:sz w:val="20"/>
          <w:szCs w:val="20"/>
        </w:rPr>
        <w:t xml:space="preserve"> business days of the Subject visit, and to resolve all data queries within 5 business days of query issuance. Principal Investigator shall apply electronic signature within 90 calendar days of the Subject visit.</w:t>
      </w:r>
    </w:p>
    <w:p>
      <w:pPr>
        <w:spacing w:after="80" w:before="180"/>
      </w:pPr>
      <w:r>
        <w:rPr>
          <w:rFonts w:ascii="Times New Roman" w:cs="Times New Roman" w:eastAsia="Times New Roman" w:hAnsi="Times New Roman"/>
          <w:b/>
          <w:bCs/>
          <w:color w:val="1A2D4A"/>
          <w:sz w:val="20"/>
          <w:szCs w:val="20"/>
        </w:rPr>
        <w:t xml:space="preserve">§ 2.4  Safety Reporting</w:t>
      </w:r>
    </w:p>
    <w:p>
      <w:pPr>
        <w:spacing w:after="80" w:before="80" w:line="320" w:lineRule="auto"/>
      </w:pPr>
      <w:r>
        <w:rPr>
          <w:rFonts w:ascii="Times New Roman" w:cs="Times New Roman" w:eastAsia="Times New Roman" w:hAnsi="Times New Roman"/>
          <w:sz w:val="20"/>
          <w:szCs w:val="20"/>
        </w:rPr>
        <w:t xml:space="preserve">Institution shall report all Serious Adverse Events (SAEs) to Sponsor within </w:t>
      </w:r>
      <w:del w:id="203" w:author="정담당 (아주대병원)" w:date="2024-03-26T09:00:00Z">
        <w:r>
          <w:rPr>
            <w:rFonts w:ascii="Times New Roman" w:cs="Times New Roman" w:hAnsi="Times New Roman"/>
            <w:sz w:val="20"/>
            <w:szCs w:val="20"/>
          </w:rPr>
          <w:delText xml:space="preserve">24</w:delText>
        </w:r>
      </w:del>
      <w:ins w:id="213" w:author="정담당 (아주대병원)" w:date="2024-03-26T09:00:00Z">
        <w:r>
          <w:rPr>
            <w:rFonts w:ascii="Times New Roman" w:cs="Times New Roman" w:hAnsi="Times New Roman"/>
            <w:sz w:val="20"/>
            <w:szCs w:val="20"/>
          </w:rPr>
          <w:t xml:space="preserve">48</w:t>
        </w:r>
      </w:ins>
      <w:r>
        <w:rPr>
          <w:rFonts w:ascii="Times New Roman" w:cs="Times New Roman" w:hAnsi="Times New Roman"/>
          <w:sz w:val="20"/>
          <w:szCs w:val="20"/>
        </w:rPr>
        <w:t xml:space="preserve"> hours of the Principal Investigator's awareness, regardless of causality assessment. SUSARs shall be submitted to MFDS within the timeframes prescribed by applicable regulations.</w:t>
      </w:r>
    </w:p>
    <w:p>
      <w:pPr>
        <w:pBdr>
          <w:bottom w:val="single" w:color="1A2D4A" w:sz="6"/>
        </w:pBdr>
        <w:spacing w:after="120" w:before="320"/>
      </w:pPr>
      <w:r>
        <w:rPr>
          <w:rFonts w:ascii="Times New Roman" w:cs="Times New Roman" w:eastAsia="Times New Roman" w:hAnsi="Times New Roman"/>
          <w:b/>
          <w:bCs/>
          <w:color w:val="1A2D4A"/>
          <w:sz w:val="26"/>
          <w:szCs w:val="26"/>
        </w:rPr>
        <w:t xml:space="preserve">3. REAGENTS, STUDY DRUGS &amp; SUPPLIES</w:t>
      </w:r>
    </w:p>
    <w:p>
      <w:pPr>
        <w:spacing w:after="80" w:before="180"/>
      </w:pPr>
      <w:r>
        <w:rPr>
          <w:rFonts w:ascii="Times New Roman" w:cs="Times New Roman" w:eastAsia="Times New Roman" w:hAnsi="Times New Roman"/>
          <w:b/>
          <w:bCs/>
          <w:color w:val="1A2D4A"/>
          <w:sz w:val="20"/>
          <w:szCs w:val="20"/>
        </w:rPr>
        <w:t xml:space="preserve">§ 3.1  Investigational Product</w:t>
      </w:r>
    </w:p>
    <w:p>
      <w:pPr>
        <w:spacing w:after="80" w:before="80" w:line="320" w:lineRule="auto"/>
      </w:pPr>
      <w:r>
        <w:rPr>
          <w:rFonts w:ascii="Times New Roman" w:cs="Times New Roman" w:eastAsia="Times New Roman" w:hAnsi="Times New Roman"/>
          <w:sz w:val="20"/>
          <w:szCs w:val="20"/>
        </w:rPr>
        <w:t xml:space="preserve">Sponsor shall supply SB-LC-304 IMP and matching placebo at no cost to Institution or Study Subjects. Sponsor retains title to all IMP at all times. Institution shall handle and account for all IMP in accordance with the Investigator's Brochure and applicable pharmacy guidelines.</w:t>
      </w:r>
    </w:p>
    <w:p>
      <w:pPr>
        <w:spacing w:after="80" w:before="180"/>
      </w:pPr>
      <w:r>
        <w:rPr>
          <w:rFonts w:ascii="Times New Roman" w:cs="Times New Roman" w:eastAsia="Times New Roman" w:hAnsi="Times New Roman"/>
          <w:b/>
          <w:bCs/>
          <w:color w:val="1A2D4A"/>
          <w:sz w:val="20"/>
          <w:szCs w:val="20"/>
        </w:rPr>
        <w:t xml:space="preserve">§ 3.2  Required Materials &amp; Reimbursement</w:t>
      </w:r>
    </w:p>
    <w:p>
      <w:pPr>
        <w:spacing w:after="80" w:before="80" w:line="320" w:lineRule="auto"/>
      </w:pPr>
      <w:r>
        <w:rPr>
          <w:rFonts w:ascii="Times New Roman" w:cs="Times New Roman" w:eastAsia="Times New Roman" w:hAnsi="Times New Roman"/>
          <w:sz w:val="20"/>
          <w:szCs w:val="20"/>
        </w:rPr>
        <w:t xml:space="preserve">Sponsor shall reimburse Institution for reasonable costs of non-IMP study materials at the rates set forth in Exhibit B. </w:t>
      </w:r>
      <w:ins w:id="220" w:author="정담당 (아주대병원)" w:date="2024-03-11T09:00:00Z">
        <w:r>
          <w:rPr>
            <w:rFonts w:ascii="Times New Roman" w:cs="Times New Roman" w:hAnsi="Times New Roman"/>
            <w:sz w:val="20"/>
            <w:szCs w:val="20"/>
          </w:rPr>
          <w:t xml:space="preserve">All reimbursable costs are subject to a 15% institutional overhead surcharge as agreed per IRB administrative fee schedule. </w:t>
        </w:r>
      </w:ins>
      <w:r>
        <w:rPr>
          <w:rFonts w:ascii="Times New Roman" w:cs="Times New Roman" w:hAnsi="Times New Roman"/>
          <w:sz w:val="20"/>
          <w:szCs w:val="20"/>
        </w:rPr>
        <w:t xml:space="preserve">Requests for reimbursement must be submitted within </w:t>
      </w:r>
      <w:del w:id="204" w:author="박연구 (삼성바이오로직스)" w:date="2024-04-14T09:00:00Z">
        <w:r>
          <w:rPr>
            <w:rFonts w:ascii="Times New Roman" w:cs="Times New Roman" w:hAnsi="Times New Roman"/>
            <w:sz w:val="20"/>
            <w:szCs w:val="20"/>
          </w:rPr>
          <w:delText xml:space="preserve">30</w:delText>
        </w:r>
      </w:del>
      <w:ins w:id="214" w:author="박연구 (삼성바이오로직스)" w:date="2024-04-14T09:00:00Z">
        <w:r>
          <w:rPr>
            <w:rFonts w:ascii="Times New Roman" w:cs="Times New Roman" w:hAnsi="Times New Roman"/>
            <w:sz w:val="20"/>
            <w:szCs w:val="20"/>
          </w:rPr>
          <w:t xml:space="preserve">14</w:t>
        </w:r>
      </w:ins>
      <w:r>
        <w:rPr>
          <w:rFonts w:ascii="Times New Roman" w:cs="Times New Roman" w:hAnsi="Times New Roman"/>
          <w:sz w:val="20"/>
          <w:szCs w:val="20"/>
        </w:rPr>
        <w:t xml:space="preserve"> days of cost incurrence and are subject to Sponsor's prior written approval.</w:t>
      </w:r>
    </w:p>
    <w:p>
      <w:pPr>
        <w:spacing w:after="80" w:before="180"/>
      </w:pPr>
      <w:r>
        <w:rPr>
          <w:rFonts w:ascii="Times New Roman" w:cs="Times New Roman" w:eastAsia="Times New Roman" w:hAnsi="Times New Roman"/>
          <w:b/>
          <w:bCs/>
          <w:color w:val="1A2D4A"/>
          <w:sz w:val="20"/>
          <w:szCs w:val="20"/>
        </w:rPr>
        <w:t xml:space="preserve">§ 3.3  Comparator Drug</w:t>
      </w:r>
    </w:p>
    <w:p>
      <w:pPr>
        <w:spacing w:after="80" w:before="80" w:line="320" w:lineRule="auto"/>
      </w:pPr>
      <w:r>
        <w:rPr>
          <w:rFonts w:ascii="Times New Roman" w:cs="Times New Roman" w:eastAsia="Times New Roman" w:hAnsi="Times New Roman"/>
          <w:sz w:val="20"/>
          <w:szCs w:val="20"/>
        </w:rPr>
        <w:t xml:space="preserve">Docetaxel (comparator arm) shall be procured and supplied by Institution through standard hospital pharmacy channels at Sponsor's expense per the unit costs in Exhibit B. Institution shall maintain accurate dispensing records and provide monthly reconciliation reports within 10 business days of each month end.</w:t>
      </w:r>
    </w:p>
    <w:p>
      <w:pPr>
        <w:pBdr>
          <w:bottom w:val="single" w:color="1A2D4A" w:sz="6"/>
        </w:pBdr>
        <w:spacing w:after="120" w:before="320"/>
      </w:pPr>
      <w:r>
        <w:rPr>
          <w:rFonts w:ascii="Times New Roman" w:cs="Times New Roman" w:eastAsia="Times New Roman" w:hAnsi="Times New Roman"/>
          <w:b/>
          <w:bCs/>
          <w:color w:val="1A2D4A"/>
          <w:sz w:val="26"/>
          <w:szCs w:val="26"/>
        </w:rPr>
        <w:t xml:space="preserve">4. PERFORMANCE PERIOD &amp; ENROLLMENT</w:t>
      </w:r>
    </w:p>
    <w:p>
      <w:pPr>
        <w:spacing w:after="80" w:before="180"/>
      </w:pPr>
      <w:r>
        <w:rPr>
          <w:rFonts w:ascii="Times New Roman" w:cs="Times New Roman" w:eastAsia="Times New Roman" w:hAnsi="Times New Roman"/>
          <w:b/>
          <w:bCs/>
          <w:color w:val="1A2D4A"/>
          <w:sz w:val="20"/>
          <w:szCs w:val="20"/>
        </w:rPr>
        <w:t xml:space="preserve">§ 4.1  First Subject Enrollment</w:t>
      </w:r>
    </w:p>
    <w:p>
      <w:pPr>
        <w:spacing w:after="80" w:before="80" w:line="320" w:lineRule="auto"/>
      </w:pPr>
      <w:r>
        <w:rPr>
          <w:rFonts w:ascii="Times New Roman" w:cs="Times New Roman" w:eastAsia="Times New Roman" w:hAnsi="Times New Roman"/>
          <w:sz w:val="20"/>
          <w:szCs w:val="20"/>
        </w:rPr>
        <w:t xml:space="preserve">Site agrees to enroll the first Study Subject within </w:t>
      </w:r>
      <w:del w:id="206" w:author="박연구 (삼성바이오로직스)" w:date="2024-07-10T09:00:00Z">
        <w:r>
          <w:rPr>
            <w:rFonts w:ascii="Times New Roman" w:cs="Times New Roman" w:hAnsi="Times New Roman"/>
            <w:sz w:val="20"/>
            <w:szCs w:val="20"/>
          </w:rPr>
          <w:delText xml:space="preserve">30</w:delText>
        </w:r>
      </w:del>
      <w:ins w:id="216" w:author="박연구 (삼성바이오로직스)" w:date="2024-07-10T09:00:00Z">
        <w:r>
          <w:rPr>
            <w:rFonts w:ascii="Times New Roman" w:cs="Times New Roman" w:hAnsi="Times New Roman"/>
            <w:sz w:val="20"/>
            <w:szCs w:val="20"/>
          </w:rPr>
          <w:t xml:space="preserve">45</w:t>
        </w:r>
      </w:ins>
      <w:r>
        <w:rPr>
          <w:rFonts w:ascii="Times New Roman" w:cs="Times New Roman" w:hAnsi="Times New Roman"/>
          <w:sz w:val="20"/>
          <w:szCs w:val="20"/>
        </w:rPr>
        <w:t xml:space="preserve"> calendar days of the Effective Date. Failure to enroll within this period shall entitle Sponsor to terminate this Order upon 14 days' written notice, unless Site provides written justification satisfactory to Sponsor.</w:t>
      </w:r>
    </w:p>
    <w:p>
      <w:pPr>
        <w:spacing w:after="80" w:before="180"/>
      </w:pPr>
      <w:r>
        <w:rPr>
          <w:rFonts w:ascii="Times New Roman" w:cs="Times New Roman" w:eastAsia="Times New Roman" w:hAnsi="Times New Roman"/>
          <w:b/>
          <w:bCs/>
          <w:color w:val="1A2D4A"/>
          <w:sz w:val="20"/>
          <w:szCs w:val="20"/>
        </w:rPr>
        <w:t xml:space="preserve">§ 4.2  Enrollment Target</w:t>
      </w:r>
    </w:p>
    <w:p>
      <w:pPr>
        <w:spacing w:after="80" w:before="80" w:line="320" w:lineRule="auto"/>
      </w:pPr>
      <w:r>
        <w:rPr>
          <w:rFonts w:ascii="Times New Roman" w:cs="Times New Roman" w:eastAsia="Times New Roman" w:hAnsi="Times New Roman"/>
          <w:sz w:val="20"/>
          <w:szCs w:val="20"/>
        </w:rPr>
        <w:t xml:space="preserve">Site agrees to enroll a minimum of </w:t>
      </w:r>
      <w:del w:id="207" w:author="정담당 (아주대병원)" w:date="2024-03-26T09:00:00Z">
        <w:r>
          <w:rPr>
            <w:rFonts w:ascii="Times New Roman" w:cs="Times New Roman" w:hAnsi="Times New Roman"/>
            <w:sz w:val="20"/>
            <w:szCs w:val="20"/>
          </w:rPr>
          <w:delText xml:space="preserve">12</w:delText>
        </w:r>
      </w:del>
      <w:ins w:id="217" w:author="정담당 (아주대병원)" w:date="2024-03-26T09:00:00Z">
        <w:r>
          <w:rPr>
            <w:rFonts w:ascii="Times New Roman" w:cs="Times New Roman" w:hAnsi="Times New Roman"/>
            <w:sz w:val="20"/>
            <w:szCs w:val="20"/>
          </w:rPr>
          <w:t xml:space="preserve">8</w:t>
        </w:r>
      </w:ins>
      <w:r>
        <w:rPr>
          <w:rFonts w:ascii="Times New Roman" w:cs="Times New Roman" w:hAnsi="Times New Roman"/>
          <w:sz w:val="20"/>
          <w:szCs w:val="20"/>
        </w:rPr>
        <w:t xml:space="preserve"> evaluable Study Subjects during the Enrollment Period through 31 March 2026. Sponsor reserves the right to reallocate enrollment targets among participating sites if Site falls more than 30 days behind the agreed trajectory.</w:t>
      </w:r>
    </w:p>
    <w:p>
      <w:pPr>
        <w:spacing w:after="80" w:before="180"/>
      </w:pPr>
      <w:r>
        <w:rPr>
          <w:rFonts w:ascii="Times New Roman" w:cs="Times New Roman" w:eastAsia="Times New Roman" w:hAnsi="Times New Roman"/>
          <w:b/>
          <w:bCs/>
          <w:color w:val="1A2D4A"/>
          <w:sz w:val="20"/>
          <w:szCs w:val="20"/>
        </w:rPr>
        <w:t xml:space="preserve">§ 4.3  Screen Failure Management</w:t>
      </w:r>
    </w:p>
    <w:p>
      <w:pPr>
        <w:spacing w:after="80" w:before="80" w:line="320" w:lineRule="auto"/>
      </w:pPr>
      <w:r>
        <w:rPr>
          <w:rFonts w:ascii="Times New Roman" w:cs="Times New Roman" w:eastAsia="Times New Roman" w:hAnsi="Times New Roman"/>
          <w:sz w:val="20"/>
          <w:szCs w:val="20"/>
        </w:rPr>
        <w:t xml:space="preserve">Screen failures shall be documented in the EDC system within 5 business days of the screening visit. Sponsor will reimburse screen failure costs at 40% of the per-subject fee for Subjects who complete screening but do not meet eligibility criteria.</w:t>
      </w:r>
    </w:p>
    <w:p>
      <w:pPr>
        <w:pBdr>
          <w:bottom w:val="single" w:color="1A2D4A" w:sz="6"/>
        </w:pBdr>
        <w:spacing w:after="120" w:before="320"/>
      </w:pPr>
      <w:r>
        <w:rPr>
          <w:rFonts w:ascii="Times New Roman" w:cs="Times New Roman" w:eastAsia="Times New Roman" w:hAnsi="Times New Roman"/>
          <w:b/>
          <w:bCs/>
          <w:color w:val="1A2D4A"/>
          <w:sz w:val="26"/>
          <w:szCs w:val="26"/>
        </w:rPr>
        <w:t xml:space="preserve">5. COMPENSATION &amp; PAYMENT</w:t>
      </w:r>
    </w:p>
    <w:p>
      <w:pPr>
        <w:spacing w:after="80" w:before="180"/>
      </w:pPr>
      <w:r>
        <w:rPr>
          <w:rFonts w:ascii="Times New Roman" w:cs="Times New Roman" w:eastAsia="Times New Roman" w:hAnsi="Times New Roman"/>
          <w:b/>
          <w:bCs/>
          <w:color w:val="1A2D4A"/>
          <w:sz w:val="20"/>
          <w:szCs w:val="20"/>
        </w:rPr>
        <w:t xml:space="preserve">§ 5.1  Per-Subject Fees</w:t>
      </w:r>
    </w:p>
    <w:p>
      <w:pPr>
        <w:spacing w:after="80" w:before="80" w:line="320" w:lineRule="auto"/>
      </w:pPr>
      <w:r>
        <w:rPr>
          <w:rFonts w:ascii="Times New Roman" w:cs="Times New Roman" w:eastAsia="Times New Roman" w:hAnsi="Times New Roman"/>
          <w:sz w:val="20"/>
          <w:szCs w:val="20"/>
        </w:rPr>
        <w:t xml:space="preserve">Sponsor shall pay Institution per-subject fees in accordance with Exhibit B, which shall constitute full compensation for all Study-related services. Per-subject fees shall be paid within </w:t>
      </w:r>
      <w:del w:id="208" w:author="정담당 (아주대병원)" w:date="2024-03-11T09:00:00Z">
        <w:r>
          <w:rPr>
            <w:rFonts w:ascii="Times New Roman" w:cs="Times New Roman" w:hAnsi="Times New Roman"/>
            <w:sz w:val="20"/>
            <w:szCs w:val="20"/>
          </w:rPr>
          <w:delText xml:space="preserve">45</w:delText>
        </w:r>
      </w:del>
      <w:ins w:id="218" w:author="정담당 (아주대병원)" w:date="2024-03-11T09:00:00Z">
        <w:r>
          <w:rPr>
            <w:rFonts w:ascii="Times New Roman" w:cs="Times New Roman" w:hAnsi="Times New Roman"/>
            <w:sz w:val="20"/>
            <w:szCs w:val="20"/>
          </w:rPr>
          <w:t xml:space="preserve">60</w:t>
        </w:r>
      </w:ins>
      <w:r>
        <w:rPr>
          <w:rFonts w:ascii="Times New Roman" w:cs="Times New Roman" w:hAnsi="Times New Roman"/>
          <w:sz w:val="20"/>
          <w:szCs w:val="20"/>
        </w:rPr>
        <w:t xml:space="preserve"> calendar days of Sponsor's receipt of a valid invoice. All invoices shall be submitted in the format specified in Exhibit D.</w:t>
      </w:r>
    </w:p>
    <w:p>
      <w:pPr>
        <w:spacing w:after="80" w:before="180"/>
      </w:pPr>
      <w:r>
        <w:rPr>
          <w:rFonts w:ascii="Times New Roman" w:cs="Times New Roman" w:eastAsia="Times New Roman" w:hAnsi="Times New Roman"/>
          <w:b/>
          <w:bCs/>
          <w:color w:val="1A2D4A"/>
          <w:sz w:val="20"/>
          <w:szCs w:val="20"/>
        </w:rPr>
        <w:t xml:space="preserve">§ 5.2  Start-Up &amp; Regulatory Fees</w:t>
      </w:r>
    </w:p>
    <w:p>
      <w:pPr>
        <w:spacing w:after="80" w:before="80" w:line="320" w:lineRule="auto"/>
      </w:pPr>
      <w:r>
        <w:rPr>
          <w:rFonts w:ascii="Times New Roman" w:cs="Times New Roman" w:eastAsia="Times New Roman" w:hAnsi="Times New Roman"/>
          <w:sz w:val="20"/>
          <w:szCs w:val="20"/>
        </w:rPr>
        <w:t xml:space="preserve">Sponsor shall pay a one-time site initiation fee of KRW </w:t>
      </w:r>
      <w:del w:id="209" w:author="정담당 (아주대병원)" w:date="2024-03-11T09:00:00Z">
        <w:r>
          <w:rPr>
            <w:rFonts w:ascii="Times New Roman" w:cs="Times New Roman" w:hAnsi="Times New Roman"/>
            <w:sz w:val="20"/>
            <w:szCs w:val="20"/>
          </w:rPr>
          <w:delText xml:space="preserve">5,000,000</w:delText>
        </w:r>
      </w:del>
      <w:ins w:id="219" w:author="정담당 (아주대병원)" w:date="2024-03-11T09:00:00Z">
        <w:r>
          <w:rPr>
            <w:rFonts w:ascii="Times New Roman" w:cs="Times New Roman" w:hAnsi="Times New Roman"/>
            <w:sz w:val="20"/>
            <w:szCs w:val="20"/>
          </w:rPr>
          <w:t xml:space="preserve">8,000,000</w:t>
        </w:r>
      </w:ins>
      <w:r>
        <w:rPr>
          <w:rFonts w:ascii="Times New Roman" w:cs="Times New Roman" w:hAnsi="Times New Roman"/>
          <w:sz w:val="20"/>
          <w:szCs w:val="20"/>
        </w:rPr>
        <w:t xml:space="preserve"> upon execution and satisfactory completion of the Site Initiation Visit (SIV). IRB submission fees and MFDS notification fees shall be reimbursed at cost within 30 days of submission of supporting documentation.</w:t>
      </w:r>
    </w:p>
    <w:p>
      <w:pPr>
        <w:spacing w:after="80" w:before="180"/>
      </w:pPr>
      <w:r>
        <w:rPr>
          <w:rFonts w:ascii="Times New Roman" w:cs="Times New Roman" w:eastAsia="Times New Roman" w:hAnsi="Times New Roman"/>
          <w:b/>
          <w:bCs/>
          <w:color w:val="1A2D4A"/>
          <w:sz w:val="20"/>
          <w:szCs w:val="20"/>
        </w:rPr>
        <w:t xml:space="preserve">§ 5.3  Withholding &amp; Set-Off</w:t>
      </w:r>
    </w:p>
    <w:p>
      <w:pPr>
        <w:spacing w:after="80" w:before="80" w:line="320" w:lineRule="auto"/>
      </w:pPr>
      <w:r>
        <w:rPr>
          <w:rFonts w:ascii="Times New Roman" w:cs="Times New Roman" w:eastAsia="Times New Roman" w:hAnsi="Times New Roman"/>
          <w:sz w:val="20"/>
          <w:szCs w:val="20"/>
        </w:rPr>
        <w:t xml:space="preserve">Sponsor reserves the right to withhold payment of any amount in good-faith dispute. Sponsor shall provide written notice of any disputed amount within 15 days of invoice receipt. Interest shall accrue on undisputed overdue amounts at 6% per annum from the due date.</w:t>
      </w:r>
    </w:p>
    <w:p>
      <w:pPr>
        <w:pBdr>
          <w:bottom w:val="single" w:color="1A2D4A" w:sz="6"/>
        </w:pBdr>
        <w:spacing w:after="120" w:before="320"/>
      </w:pPr>
      <w:r>
        <w:rPr>
          <w:rFonts w:ascii="Times New Roman" w:cs="Times New Roman" w:eastAsia="Times New Roman" w:hAnsi="Times New Roman"/>
          <w:b/>
          <w:bCs/>
          <w:color w:val="1A2D4A"/>
          <w:sz w:val="26"/>
          <w:szCs w:val="26"/>
        </w:rPr>
        <w:t xml:space="preserve">6. CONFIDENTIALITY &amp; INTELLECTUAL PROPERTY</w:t>
      </w:r>
    </w:p>
    <w:p>
      <w:pPr>
        <w:spacing w:after="80" w:before="180"/>
      </w:pPr>
      <w:r>
        <w:rPr>
          <w:rFonts w:ascii="Times New Roman" w:cs="Times New Roman" w:eastAsia="Times New Roman" w:hAnsi="Times New Roman"/>
          <w:b/>
          <w:bCs/>
          <w:color w:val="1A2D4A"/>
          <w:sz w:val="20"/>
          <w:szCs w:val="20"/>
        </w:rPr>
        <w:t xml:space="preserve">§ 6.1  Confidential Information</w:t>
      </w:r>
    </w:p>
    <w:p>
      <w:pPr>
        <w:spacing w:after="80" w:before="80" w:line="320" w:lineRule="auto"/>
      </w:pPr>
      <w:r>
        <w:rPr>
          <w:rFonts w:ascii="Times New Roman" w:cs="Times New Roman" w:eastAsia="Times New Roman" w:hAnsi="Times New Roman"/>
          <w:sz w:val="20"/>
          <w:szCs w:val="20"/>
        </w:rPr>
        <w:t xml:space="preserve">Each party agrees to maintain in strict confidence all Confidential Information received from the other party. This obligation shall survive termination of this Order for a period of </w:t>
      </w:r>
      <w:del w:id="210" w:author="정담당 (아주대병원)" w:date="2024-03-11T09:00:00Z">
        <w:r>
          <w:rPr>
            <w:rFonts w:ascii="Times New Roman" w:cs="Times New Roman" w:hAnsi="Times New Roman"/>
            <w:sz w:val="20"/>
            <w:szCs w:val="20"/>
          </w:rPr>
          <w:delText xml:space="preserve">10</w:delText>
        </w:r>
      </w:del>
      <w:ins w:id="220" w:author="정담당 (아주대병원)" w:date="2024-03-11T09:00:00Z">
        <w:r>
          <w:rPr>
            <w:rFonts w:ascii="Times New Roman" w:cs="Times New Roman" w:hAnsi="Times New Roman"/>
            <w:sz w:val="20"/>
            <w:szCs w:val="20"/>
          </w:rPr>
          <w:t xml:space="preserve">5</w:t>
        </w:r>
      </w:ins>
      <w:r>
        <w:rPr>
          <w:rFonts w:ascii="Times New Roman" w:cs="Times New Roman" w:hAnsi="Times New Roman"/>
          <w:sz w:val="20"/>
          <w:szCs w:val="20"/>
        </w:rPr>
        <w:t xml:space="preserve"> years. Confidential Information shall not be disclosed to any third party without prior written consent of the disclosing party.</w:t>
      </w:r>
    </w:p>
    <w:p>
      <w:pPr>
        <w:spacing w:after="80" w:before="180"/>
      </w:pPr>
      <w:r>
        <w:rPr>
          <w:rFonts w:ascii="Times New Roman" w:cs="Times New Roman" w:eastAsia="Times New Roman" w:hAnsi="Times New Roman"/>
          <w:b/>
          <w:bCs/>
          <w:color w:val="1A2D4A"/>
          <w:sz w:val="20"/>
          <w:szCs w:val="20"/>
        </w:rPr>
        <w:t xml:space="preserve">§ 6.2  Intellectual Property</w:t>
      </w:r>
    </w:p>
    <w:p>
      <w:pPr>
        <w:spacing w:after="80" w:before="80" w:line="320" w:lineRule="auto"/>
      </w:pPr>
      <w:r>
        <w:rPr>
          <w:rFonts w:ascii="Times New Roman" w:cs="Times New Roman" w:eastAsia="Times New Roman" w:hAnsi="Times New Roman"/>
          <w:sz w:val="20"/>
          <w:szCs w:val="20"/>
        </w:rPr>
        <w:t xml:space="preserve">All Study Data and inventions arising from the Study shall be jointly owned by Sponsor and Institution, with Sponsor retaining an exclusive, royalty-free license for commercial exploitation. Institution shall promptly disclose any invention arising from the Study to Sponsor in writing.</w:t>
      </w:r>
    </w:p>
    <w:p>
      <w:pPr>
        <w:spacing w:after="80" w:before="180"/>
      </w:pPr>
      <w:r>
        <w:rPr>
          <w:rFonts w:ascii="Times New Roman" w:cs="Times New Roman" w:eastAsia="Times New Roman" w:hAnsi="Times New Roman"/>
          <w:b/>
          <w:bCs/>
          <w:color w:val="1A2D4A"/>
          <w:sz w:val="20"/>
          <w:szCs w:val="20"/>
        </w:rPr>
        <w:t xml:space="preserve">§ 6.3  Publications</w:t>
      </w:r>
    </w:p>
    <w:p>
      <w:pPr>
        <w:spacing w:after="80" w:before="80" w:line="320" w:lineRule="auto"/>
      </w:pPr>
      <w:r>
        <w:rPr>
          <w:rFonts w:ascii="Times New Roman" w:cs="Times New Roman" w:eastAsia="Times New Roman" w:hAnsi="Times New Roman"/>
          <w:sz w:val="20"/>
          <w:szCs w:val="20"/>
        </w:rPr>
        <w:t xml:space="preserve">Institution and Principal Investigator shall have the right to publish Study results following Sponsor's written review, which shall be completed within </w:t>
      </w:r>
      <w:del w:id="211" w:author="박연구 (삼성바이오로직스)" w:date="2024-04-14T09:00:00Z">
        <w:r>
          <w:rPr>
            <w:rFonts w:ascii="Times New Roman" w:cs="Times New Roman" w:hAnsi="Times New Roman"/>
            <w:sz w:val="20"/>
            <w:szCs w:val="20"/>
          </w:rPr>
          <w:delText xml:space="preserve">60</w:delText>
        </w:r>
      </w:del>
      <w:ins w:id="221" w:author="박연구 (삼성바이오로직스)" w:date="2024-04-14T09:00:00Z">
        <w:r>
          <w:rPr>
            <w:rFonts w:ascii="Times New Roman" w:cs="Times New Roman" w:hAnsi="Times New Roman"/>
            <w:sz w:val="20"/>
            <w:szCs w:val="20"/>
          </w:rPr>
          <w:t xml:space="preserve">45</w:t>
        </w:r>
      </w:ins>
      <w:r>
        <w:rPr>
          <w:rFonts w:ascii="Times New Roman" w:cs="Times New Roman" w:hAnsi="Times New Roman"/>
          <w:sz w:val="20"/>
          <w:szCs w:val="20"/>
        </w:rPr>
        <w:t xml:space="preserve"> calendar days of submission of the proposed manuscript. Sponsor may request a delay of up to 90 additional days for patent filings.</w:t>
      </w:r>
    </w:p>
    <w:p>
      <w:pPr>
        <w:pBdr>
          <w:bottom w:val="single" w:color="1A2D4A" w:sz="6"/>
        </w:pBdr>
        <w:spacing w:after="120" w:before="320"/>
      </w:pPr>
      <w:r>
        <w:rPr>
          <w:rFonts w:ascii="Times New Roman" w:cs="Times New Roman" w:eastAsia="Times New Roman" w:hAnsi="Times New Roman"/>
          <w:b/>
          <w:bCs/>
          <w:color w:val="1A2D4A"/>
          <w:sz w:val="26"/>
          <w:szCs w:val="26"/>
        </w:rPr>
        <w:t xml:space="preserve">7. INDEMNIFICATION &amp; INSURANCE</w:t>
      </w:r>
    </w:p>
    <w:p>
      <w:pPr>
        <w:spacing w:after="80" w:before="180"/>
      </w:pPr>
      <w:r>
        <w:rPr>
          <w:rFonts w:ascii="Times New Roman" w:cs="Times New Roman" w:eastAsia="Times New Roman" w:hAnsi="Times New Roman"/>
          <w:b/>
          <w:bCs/>
          <w:color w:val="1A2D4A"/>
          <w:sz w:val="20"/>
          <w:szCs w:val="20"/>
        </w:rPr>
        <w:t xml:space="preserve">§ 7.1  Sponsor Indemnification</w:t>
      </w:r>
    </w:p>
    <w:p>
      <w:pPr>
        <w:spacing w:after="80" w:before="80" w:line="320" w:lineRule="auto"/>
      </w:pPr>
      <w:r>
        <w:rPr>
          <w:rFonts w:ascii="Times New Roman" w:cs="Times New Roman" w:eastAsia="Times New Roman" w:hAnsi="Times New Roman"/>
          <w:sz w:val="20"/>
          <w:szCs w:val="20"/>
        </w:rPr>
        <w:t xml:space="preserve">Sponsor shall defend, indemnify, and hold harmless Institution from claims arising from: (a) the use of IMP in accordance with the protocol; (b) Sponsor's gross negligence or willful misconduct; or (c) any breach by Sponsor of this Order. This indemnification shall not apply to claims arising from Institution's own negligence or breach.</w:t>
      </w:r>
    </w:p>
    <w:p>
      <w:pPr>
        <w:spacing w:after="80" w:before="180"/>
      </w:pPr>
      <w:r>
        <w:rPr>
          <w:rFonts w:ascii="Times New Roman" w:cs="Times New Roman" w:eastAsia="Times New Roman" w:hAnsi="Times New Roman"/>
          <w:b/>
          <w:bCs/>
          <w:color w:val="1A2D4A"/>
          <w:sz w:val="20"/>
          <w:szCs w:val="20"/>
        </w:rPr>
        <w:t xml:space="preserve">§ 7.2  Insurance</w:t>
      </w:r>
    </w:p>
    <w:p>
      <w:pPr>
        <w:spacing w:after="80" w:before="80" w:line="320" w:lineRule="auto"/>
      </w:pPr>
      <w:r>
        <w:rPr>
          <w:rFonts w:ascii="Times New Roman" w:cs="Times New Roman" w:eastAsia="Times New Roman" w:hAnsi="Times New Roman"/>
          <w:sz w:val="20"/>
          <w:szCs w:val="20"/>
        </w:rPr>
        <w:t xml:space="preserve">Sponsor shall maintain comprehensive clinical trial liability insurance with minimum coverage of USD 10,000,000 per occurrence throughout the term of this Order and for a tail period of 5 years following Study completion.</w:t>
      </w:r>
    </w:p>
    <w:p>
      <w:pPr>
        <w:pBdr>
          <w:bottom w:val="single" w:color="1A2D4A" w:sz="6"/>
        </w:pBdr>
        <w:spacing w:after="120" w:before="320"/>
      </w:pPr>
      <w:r>
        <w:rPr>
          <w:rFonts w:ascii="Times New Roman" w:cs="Times New Roman" w:eastAsia="Times New Roman" w:hAnsi="Times New Roman"/>
          <w:b/>
          <w:bCs/>
          <w:color w:val="1A2D4A"/>
          <w:sz w:val="26"/>
          <w:szCs w:val="26"/>
        </w:rPr>
        <w:t xml:space="preserve">8. SIGNATURES</w:t>
      </w:r>
    </w:p>
    <w:p>
      <w:pPr>
        <w:spacing w:after="80" w:before="80" w:line="320" w:lineRule="auto"/>
      </w:pPr>
      <w:r>
        <w:rPr>
          <w:rFonts w:ascii="Times New Roman" w:cs="Times New Roman" w:eastAsia="Times New Roman" w:hAnsi="Times New Roman"/>
          <w:sz w:val="20"/>
          <w:szCs w:val="20"/>
        </w:rPr>
        <w:t xml:space="preserve">By signing below, the authorized representatives of the parties confirm their agreement to the terms and conditions of this Clinical Trial Agreement Order.</w:t>
      </w:r>
    </w:p>
    <w:p>
      <w:pPr>
        <w:spacing w:after="0" w:before="36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200"/>
        <w:gridCol w:w="600"/>
        <w:gridCol w:w="4200"/>
      </w:tblGrid>
      <w:tr>
        <w:tc>
          <w:tcPr>
            <w:tcW w:type="dxa" w:w="4200"/>
            <w:tcBorders>
              <w:top w:val="none" w:color="FFFFFF" w:sz="0"/>
              <w:left w:val="none" w:color="FFFFFF" w:sz="0"/>
              <w:bottom w:val="none" w:color="FFFFFF" w:sz="0"/>
              <w:right w:val="none" w:color="FFFFFF" w:sz="0"/>
            </w:tcBorders>
          </w:tcPr>
          <w:p>
            <w:pPr>
              <w:pBdr>
                <w:bottom w:val="single" w:color="888888" w:sz="8"/>
              </w:pBdr>
              <w:spacing w:after="80"/>
            </w:pPr>
            <w:r>
              <w:rPr>
                <w:sz w:val="20"/>
                <w:szCs w:val="20"/>
              </w:rPr>
              <w:t xml:space="preserve">                                          </w:t>
            </w:r>
          </w:p>
          <w:p>
            <w:r>
              <w:rPr>
                <w:rFonts w:ascii="Times New Roman" w:cs="Times New Roman" w:eastAsia="Times New Roman" w:hAnsi="Times New Roman"/>
                <w:color w:val="555555"/>
                <w:sz w:val="17"/>
                <w:szCs w:val="17"/>
              </w:rPr>
              <w:t xml:space="preserve">Authorized Representative, Samsung Biologics Co., Ltd.</w:t>
            </w:r>
          </w:p>
          <w:p>
            <w:r>
              <w:rPr>
                <w:rFonts w:ascii="Times New Roman" w:cs="Times New Roman" w:eastAsia="Times New Roman" w:hAnsi="Times New Roman"/>
                <w:sz w:val="18"/>
                <w:szCs w:val="18"/>
              </w:rPr>
              <w:t xml:space="preserve">Name:  ________________________________</w:t>
            </w:r>
          </w:p>
          <w:p>
            <w:r>
              <w:rPr>
                <w:rFonts w:ascii="Times New Roman" w:cs="Times New Roman" w:eastAsia="Times New Roman" w:hAnsi="Times New Roman"/>
                <w:sz w:val="18"/>
                <w:szCs w:val="18"/>
              </w:rPr>
              <w:t xml:space="preserve">Title:   ________________________________</w:t>
            </w:r>
          </w:p>
          <w:p>
            <w:r>
              <w:rPr>
                <w:rFonts w:ascii="Times New Roman" w:cs="Times New Roman" w:eastAsia="Times New Roman" w:hAnsi="Times New Roman"/>
                <w:sz w:val="18"/>
                <w:szCs w:val="18"/>
              </w:rPr>
              <w:t xml:space="preserve">Date:  ________________________________</w:t>
            </w:r>
          </w:p>
        </w:tc>
        <w:tc>
          <w:tcPr>
            <w:tcW w:type="dxa" w:w="600"/>
            <w:tcBorders>
              <w:top w:val="none" w:color="FFFFFF" w:sz="0"/>
              <w:left w:val="none" w:color="FFFFFF" w:sz="0"/>
              <w:bottom w:val="none" w:color="FFFFFF" w:sz="0"/>
              <w:right w:val="none" w:color="FFFFFF" w:sz="0"/>
            </w:tcBorders>
          </w:tcPr>
          <w:p/>
        </w:tc>
        <w:tc>
          <w:tcPr>
            <w:tcW w:type="dxa" w:w="4200"/>
            <w:tcBorders>
              <w:top w:val="none" w:color="FFFFFF" w:sz="0"/>
              <w:left w:val="none" w:color="FFFFFF" w:sz="0"/>
              <w:bottom w:val="none" w:color="FFFFFF" w:sz="0"/>
              <w:right w:val="none" w:color="FFFFFF" w:sz="0"/>
            </w:tcBorders>
          </w:tcPr>
          <w:p>
            <w:pPr>
              <w:pBdr>
                <w:bottom w:val="single" w:color="888888" w:sz="8"/>
              </w:pBdr>
              <w:spacing w:after="80"/>
            </w:pPr>
            <w:r>
              <w:rPr>
                <w:sz w:val="20"/>
                <w:szCs w:val="20"/>
              </w:rPr>
              <w:t xml:space="preserve">                                          </w:t>
            </w:r>
          </w:p>
          <w:p>
            <w:r>
              <w:rPr>
                <w:rFonts w:ascii="Times New Roman" w:cs="Times New Roman" w:eastAsia="Times New Roman" w:hAnsi="Times New Roman"/>
                <w:color w:val="555555"/>
                <w:sz w:val="17"/>
                <w:szCs w:val="17"/>
              </w:rPr>
              <w:t xml:space="preserve">Authorized Representative, Ajou University Hospital</w:t>
            </w:r>
          </w:p>
          <w:p>
            <w:r>
              <w:rPr>
                <w:rFonts w:ascii="Times New Roman" w:cs="Times New Roman" w:eastAsia="Times New Roman" w:hAnsi="Times New Roman"/>
                <w:sz w:val="18"/>
                <w:szCs w:val="18"/>
              </w:rPr>
              <w:t xml:space="preserve">Name:  ________________________________</w:t>
            </w:r>
          </w:p>
          <w:p>
            <w:r>
              <w:rPr>
                <w:rFonts w:ascii="Times New Roman" w:cs="Times New Roman" w:eastAsia="Times New Roman" w:hAnsi="Times New Roman"/>
                <w:sz w:val="18"/>
                <w:szCs w:val="18"/>
              </w:rPr>
              <w:t xml:space="preserve">Title:   ________________________________</w:t>
            </w:r>
          </w:p>
          <w:p>
            <w:r>
              <w:rPr>
                <w:rFonts w:ascii="Times New Roman" w:cs="Times New Roman" w:eastAsia="Times New Roman" w:hAnsi="Times New Roman"/>
                <w:sz w:val="18"/>
                <w:szCs w:val="18"/>
              </w:rPr>
              <w:t xml:space="preserve">Date:  ________________________________</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pBdr>
      <w:spacing w:before="120"/>
      <w:jc w:val="center"/>
    </w:pPr>
    <w:r>
      <w:rPr>
        <w:rFonts w:ascii="Times New Roman" w:cs="Times New Roman" w:eastAsia="Times New Roman" w:hAnsi="Times New Roman"/>
        <w:color w:val="888888"/>
        <w:sz w:val="16"/>
        <w:szCs w:val="16"/>
      </w:rPr>
      <w:t xml:space="preserve">Page </w:t>
    </w:r>
    <w:r>
      <w:rPr>
        <w:rFonts w:ascii="Times New Roman" w:cs="Times New Roman" w:eastAsia="Times New Roman" w:hAnsi="Times New Roman"/>
        <w:color w:val="888888"/>
        <w:sz w:val="16"/>
        <w:szCs w:val="16"/>
      </w:rPr>
      <w:fldChar w:fldCharType="begin"/>
      <w:instrText xml:space="preserve">PAGE</w:instrText>
      <w:fldChar w:fldCharType="separate"/>
      <w:fldChar w:fldCharType="end"/>
    </w:r>
    <w:r>
      <w:rPr>
        <w:rFonts w:ascii="Times New Roman" w:cs="Times New Roman" w:eastAsia="Times New Roman" w:hAnsi="Times New Roman"/>
        <w:color w:val="888888"/>
        <w:sz w:val="16"/>
        <w:szCs w:val="16"/>
      </w:rPr>
      <w:t xml:space="preserve"> of </w:t>
    </w:r>
    <w:r>
      <w:rPr>
        <w:rFonts w:ascii="Times New Roman" w:cs="Times New Roman" w:eastAsia="Times New Roman" w:hAnsi="Times New Roman"/>
        <w:color w:val="888888"/>
        <w:sz w:val="16"/>
        <w:szCs w:val="16"/>
      </w:rPr>
      <w:fldChar w:fldCharType="begin"/>
      <w:instrText xml:space="preserve">NUMPAGES</w:instrText>
      <w:fldChar w:fldCharType="separate"/>
      <w:fldChar w:fldCharType="end"/>
    </w:r>
    <w:r>
      <w:rPr>
        <w:rFonts w:ascii="Times New Roman" w:cs="Times New Roman" w:eastAsia="Times New Roman" w:hAnsi="Times New Roman"/>
        <w:color w:val="888888"/>
        <w:sz w:val="16"/>
        <w:szCs w:val="16"/>
      </w:rPr>
      <w:t xml:space="preserve">  |  Samsung Biologics x Ajou University Hospital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pBdr>
      <w:spacing w:after="120"/>
      <w:jc w:val="right"/>
    </w:pPr>
    <w:r>
      <w:rPr>
        <w:rFonts w:ascii="Times New Roman" w:cs="Times New Roman" w:eastAsia="Times New Roman" w:hAnsi="Times New Roman"/>
        <w:color w:val="888888"/>
        <w:sz w:val="16"/>
        <w:szCs w:val="16"/>
      </w:rPr>
      <w:t xml:space="preserve">CONFIDENTIAL  |  CTA Order #SB-2024-LC3-001  |  Draft v8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2026-07-12T10:05:33.194Z</dcterms:created>
  <dcterms:modified xsi:type="dcterms:W3CDTF">2026-07-12T10:05:33.246Z</dcterms:modified>
</cp:coreProperties>
</file>

<file path=docProps/custom.xml><?xml version="1.0" encoding="utf-8"?>
<Properties xmlns="http://schemas.openxmlformats.org/officeDocument/2006/custom-properties" xmlns:vt="http://schemas.openxmlformats.org/officeDocument/2006/docPropsVTypes"/>
</file>