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NeST-Com: Fixed-Budget</w:t>
        <w:br/>
        <w:t>Next-Scale Token Communication</w:t>
      </w:r>
    </w:p>
    <w:p>
      <w:r>
        <w:t>WCL 修订大纲与实际图表｜2026年10月21日</w:t>
      </w:r>
    </w:p>
    <w:p>
      <w:r>
        <w:t>本稿给出段落任务和内容要点，尚未扩写完整论文。主证据沿用已公开冻结版本；本轮唯一新增实验为已完成的 ARPC 解码敏感性。其结果单列，未替换 common500 主曲线。</w:t>
      </w:r>
    </w:p>
    <w:p>
      <w:pPr>
        <w:pStyle w:val="Heading1"/>
      </w:pPr>
      <w:r>
        <w:t>I. Introduction</w:t>
      </w:r>
    </w:p>
    <w:p>
      <w:r>
        <w:rPr>
          <w:b/>
        </w:rPr>
        <w:t>段落 1：问题与评价目标。</w:t>
      </w:r>
      <w:r>
        <w:t>建立逐图固定复符号预算 N、给定信道条件下的图像通信问题。说明像素保真、感知相似性、语义表征一致性和处理时间是需要同时考察的取舍，不把四个相关指标称为四个独立证据。</w:t>
      </w:r>
    </w:p>
    <w:p>
      <w:r>
        <w:rPr>
          <w:b/>
        </w:rPr>
        <w:t>段落 2：相关工作与有限技术缺口。</w:t>
      </w:r>
      <w:r>
        <w:t>介绍连续潜空间 JSCC、SwinJSCC 及数字源信道分离。加入 Ada-TokenCom：它已将自回归 token、算术编码与头部 token 传输／尾部生成结合，并进行源率与 MCS 适配。TONIC 可简述为任务导向的 token 保护与接收补全工作。技术缺口限定为 next-scale 多尺度表示的端点粒度与逐图硬预算匹配，不把“发送一部分、生成其余”本身宣称为首创。</w:t>
      </w:r>
    </w:p>
    <w:p>
      <w:r>
        <w:rPr>
          <w:b/>
        </w:rPr>
        <w:t>段落 3：本工作的连贯设计及证据。</w:t>
      </w:r>
      <w:r>
        <w:t>将尺度内前缀、实际终止熵码长适配、前缀约束重建作为一套完整方法。WHOLE/PARTIAL 对照验证内部机制；五方法 common500 展示系统表现；N2048 和 ARPC 解码敏感性说明方法边界。避免预设全面优越。</w:t>
      </w:r>
    </w:p>
    <w:p>
      <w:pPr>
        <w:pStyle w:val="Heading1"/>
      </w:pPr>
      <w:r>
        <w:t>II.A. System Model and Multiscale Representation</w:t>
      </w:r>
    </w:p>
    <w:p>
      <w:r>
        <w:rPr>
          <w:b/>
        </w:rPr>
        <w:t>段落任务。</w:t>
      </w:r>
      <w:r>
        <w:t>定义 x、冻结 tokenizer、多尺度离散 token、共享 VAR 先验与 Dc。N1024 为 68 头部 + 956 正文复符号，AWGN，标称 Es = 2。源图 256×256。载荷包含实际终止、长度、CRC 与对齐；不能把源位数与符号数混为一谈。引用 Fig.1(a)。</w:t>
      </w:r>
    </w:p>
    <w:p>
      <w:r>
        <w:rPr>
          <w:b/>
        </w:rPr>
        <w:t>表示与接收可用信息。</w:t>
      </w:r>
      <w:r>
        <w:t>区分完整尺度 1…m 与下一尺度按固定 raster 顺序的 K 个 token。RX 仅有实际收到的付费 profile、合法码流及共享模型；原图、未传 token 和 TX CDF 不可作为接收端输入。</w:t>
      </w:r>
    </w:p>
    <w:p>
      <w:r>
        <w:t>修订结构：II 为完整方法；III.B 用五方法评价系统，III.C 用 WHOLE/PARTIAL 检验机制，III.D 与 III.E 分别说明预算扩展和处理成本。</w:t>
      </w:r>
    </w:p>
    <w:p>
      <w:r>
        <w:br w:type="page"/>
      </w:r>
    </w:p>
    <w:p>
      <w:pPr>
        <w:pStyle w:val="Heading1"/>
      </w:pPr>
      <w:r>
        <w:t>II. Proposed NeST-Com Framework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547104" cy="35798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47104" cy="3579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t>Fig.1. 从用户确认的系统图源文件重排。主链路保留 AWGN；接收端区分已传 token 的熵解码和未传表示的生成。10 dB 的熵码流容量利用率与 Table I 同定义。</w:t>
      </w:r>
    </w:p>
    <w:p>
      <w:pPr>
        <w:pStyle w:val="Heading1"/>
      </w:pPr>
      <w:r>
        <w:t>II.B. Budget-Adaptive Within-Scale Prefix Transmission</w:t>
      </w:r>
    </w:p>
    <w:p>
      <w:r>
        <w:rPr>
          <w:b/>
        </w:rPr>
        <w:t>段落 1：端点与冻结策略。</w:t>
      </w:r>
      <w:r>
        <w:t>按实际候选表说明 WHOLE 和 PARTIAL 的合法端点及 SNR 对应冻结策略；不要把图中 m=7、K=75 的解释性示例写成所有图统一配置。calibration 选择与测试人口分离，19 dB 使用已完成 T1-C 的 m10 修正。</w:t>
      </w:r>
    </w:p>
    <w:p>
      <w:r>
        <w:rPr>
          <w:b/>
        </w:rPr>
        <w:t>段落 2：实际码长适配。</w:t>
      </w:r>
      <w:r>
        <w:t>将终止算术码长 Lterm 纳入核心约束 Lterm + 13 + 16 ≤ k；头部和正文总符号数固定。按照现有合法端点顺序实际回退，装不下或拒收仍保留分母。不能用估计熵或整段码长差替代实际已终止的流。</w:t>
      </w:r>
    </w:p>
    <w:p>
      <w:r>
        <w:rPr>
          <w:b/>
        </w:rPr>
        <w:t>机制解释。</w:t>
      </w:r>
      <w:r>
        <w:t>容量利用率定义为 Lterm/(k−13−16)，不是 token 数比例，也不是每符号频谱效率。10 dB 的 WHOLE 77.70%、PARTIAL 95.21% 与 Fig.1 和 Table I 同源同定义。</w:t>
      </w:r>
    </w:p>
    <w:p>
      <w:pPr>
        <w:pStyle w:val="Heading1"/>
      </w:pPr>
      <w:r>
        <w:t>II.C. Prefix-Constrained Reconstruction</w:t>
      </w:r>
    </w:p>
    <w:p>
      <w:r>
        <w:rPr>
          <w:b/>
        </w:rPr>
        <w:t>段落 1：恢复和生成的顺序。</w:t>
      </w:r>
      <w:r>
        <w:t>先用共享先验和已解码上下文恢复实际传输 token；在边界尺度预测所有位置，再覆盖真实收到的位置，合并后推进状态并生成更细尺度，最后码本查找、聚合和冻结 Dc 解码。引用 Fig.1(b)。</w:t>
      </w:r>
    </w:p>
    <w:p>
      <w:r>
        <w:rPr>
          <w:b/>
        </w:rPr>
        <w:t>段落 2：约束与失败。</w:t>
      </w:r>
      <w:r>
        <w:t>仅收到的 token 可以覆盖预测。保持现有采样方式、生成种子与接收拒收规则；源解码失败输出真实规定结果。明确熵解码恢复已传信息与生成未传表示的区别。不得将干净前缀图当作无线性能证据。</w:t>
      </w:r>
    </w:p>
    <w:p>
      <w:r>
        <w:br w:type="page"/>
      </w:r>
    </w:p>
    <w:p>
      <w:pPr>
        <w:pStyle w:val="Heading1"/>
      </w:pPr>
      <w:r>
        <w:t>III. Experimental Results</w:t>
      </w:r>
    </w:p>
    <w:p>
      <w:pPr>
        <w:pStyle w:val="Heading1"/>
      </w:pPr>
      <w:r>
        <w:t>III.A. Experimental Setup</w:t>
      </w:r>
    </w:p>
    <w:p>
      <w:r>
        <w:rPr>
          <w:b/>
        </w:rPr>
        <w:t>段落 1：主比较与版本。</w:t>
      </w:r>
      <w:r>
        <w:t>Fig.2 使用 N1024、4/10/19 dB、原 common500。五方法为 entropy-coded NeST-Com、Latent JSCC 最终100k、SwinJSCC adapted 最终200k、现有 adaptive BPG + LDPC、adapted ARPC + LDPC。NeST 19 dB 用当前 T1-C PARTIAL；不混入旧 raw 或旧检查点。</w:t>
      </w:r>
    </w:p>
    <w:p>
      <w:r>
        <w:rPr>
          <w:b/>
        </w:rPr>
        <w:t>段落 2：评价与统计。</w:t>
      </w:r>
      <w:r>
        <w:t>PSNR、LPIPS-Alex、DreamSim、CLIP-I；CLIP-I 是 OpenAI CLIP ViT-L/14 的图像—图像余弦，224 输入、冻结浮点预处理、FP32，不做 softmax 或百分比变换。三次原噪声先按每源平均，500 源等权；点位 CI 沿用既有 source-bootstrap。差异读直接来源配对 CI；历史方法噪声命名空间不同。</w:t>
      </w:r>
    </w:p>
    <w:p>
      <w:r>
        <w:rPr>
          <w:b/>
        </w:rPr>
        <w:t>段落 3：人口边界。</w:t>
      </w:r>
      <w:r>
        <w:t>common500 主图、matched100 的 N2048／敏感性、fixed development 示例与计时分别报告。灰图、回退和失败输出按原协议保留。DISTS、DINO-L、agreement、MS-SSIM 完整结果仍归档；不借删指标制造一致优势。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547104" cy="19796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7104" cy="1979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t>Fig.2. common500、N1024、4/10/19 dB 的五方法主结果。每源先平均三次原有噪声，误差棒为来源级逐工作点95% CI。LPIPS为AlexNet；CLIP-I为ViT-L/14图像—图像余弦。</w:t>
      </w:r>
    </w:p>
    <w:p>
      <w:pPr>
        <w:pStyle w:val="Heading1"/>
      </w:pPr>
      <w:r>
        <w:t>III.B. Comparison With Existing Methods</w:t>
      </w:r>
    </w:p>
    <w:p>
      <w:r>
        <w:rPr>
          <w:b/>
        </w:rPr>
        <w:t>段落 1：主性能。</w:t>
      </w:r>
      <w:r>
        <w:t>引用 Fig.2，分别描述像素、感知距离与语义表征一致性。保留 NeST 并非所有工作点 PSNR 最高、4 dB LPIPS 不如 Latent JSCC、LPIPS 与 DreamSim 排序存在差异。不能用曲线 CI 重叠判显著性，也不能把 CLIP 差异归因于未经消融的 caption 条件。</w:t>
      </w:r>
    </w:p>
    <w:p>
      <w:r>
        <w:br w:type="page"/>
      </w:r>
    </w:p>
    <w:p>
      <w:pPr>
        <w:pStyle w:val="Heading1"/>
      </w:pPr>
      <w:r>
        <w:t>III.B. Qualitative comparison and decoder sensitivity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547104" cy="46070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7104" cy="4607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t>Fig.3. 既有 development 展示：Pastries95 与 Shopping cart75，N1024、10 dB。各行使用相同 ROI 和2.667倍相对放大；标注为整幅 PSNR (dB) / LPIPS-Alex，使用实际该次重建的原生浮点分数。</w:t>
      </w:r>
    </w:p>
    <w:p>
      <w:r>
        <w:rPr>
          <w:b/>
        </w:rPr>
        <w:t>段落 2：可视化。</w:t>
      </w:r>
      <w:r>
        <w:t>引用 Fig.3 的 Pastries95 与 Shopping cart75，描述实际可见的糕点轮廓、表面纹理、购物车网格与把手等；使用统一 ROI 比较局部细节，同时保留完整视野。明确两个案例是既有选定 development 示例，不外推总体优劣。</w:t>
      </w:r>
    </w:p>
    <w:p>
      <w:r>
        <w:rPr>
          <w:b/>
        </w:rPr>
        <w:t>段落 3：ARPC 解码敏感性（本轮已完成）。</w:t>
      </w:r>
      <w:r>
        <w:t>matched100、N1024、同一900个接收事件。原采样 τ=.5 复用；显式 argmax 与预定低温 τ=.25 只改变未传尺度生成。19 dB 两种设置四项均改善，贪心 ΔPSNR=+0.150 [0.087,0.207] dB、ΔDreamSim=−0.0143 [−0.0206,−0.0084]；4 dB 两者 LPIPS 和 DreamSim 均变差。10 dB 低温的 PSNR/LPIPS 改善，但贪心四项 CI 跨零。全设置都报告，不用子集替换 common500 主曲线。</w:t>
      </w:r>
    </w:p>
    <w:p>
      <w:r>
        <w:br w:type="page"/>
      </w:r>
    </w:p>
    <w:p>
      <w:pPr>
        <w:pStyle w:val="Heading1"/>
      </w:pPr>
      <w:r>
        <w:t>III.C. Effect of Within-Scale Endpoints</w:t>
      </w:r>
    </w:p>
    <w:p>
      <w:r>
        <w:rPr>
          <w:b/>
        </w:rPr>
        <w:t>段落 1：装载效率。</w:t>
      </w:r>
      <w:r>
        <w:t>引用 Table I，三个 SNR 的 PARTIAL 利用率均提高；10 dB 从77.70%提高到95.21%。利用率只报告真实均值，不把样本分位数当均值置信区间。</w:t>
      </w:r>
    </w:p>
    <w:p>
      <w:r>
        <w:rPr>
          <w:b/>
        </w:rPr>
        <w:t>段落 2：同先验机制检验。</w:t>
      </w:r>
      <w:r>
        <w:t>Δ=PARTIAL−WHOLE。三点 ΔPSNR 约+0.616、+0.701、+0.319 dB，ΔDreamSim 为−0.0207、−0.0240、−0.0030；直接配对区间分别全正／全负。说明合法尺度内端点改善预算匹配，不额外宣称唯一因果机制或新训练收益。</w:t>
      </w:r>
    </w:p>
    <w:p>
      <w:pPr>
        <w:pStyle w:val="Heading2"/>
      </w:pPr>
      <w:r>
        <w:t>Table I  N1024 within-scale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587"/>
        <w:gridCol w:w="1587"/>
        <w:gridCol w:w="3005"/>
        <w:gridCol w:w="3005"/>
      </w:tblGrid>
      <w:tr>
        <w:trPr>
          <w:cantSplit/>
          <w:tblHeader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DF2"/>
          </w:tcPr>
          <w:p>
            <w:pPr>
              <w:spacing w:after="40" w:before="40" w:line="252" w:lineRule="auto"/>
              <w:jc w:val="left"/>
            </w:pPr>
            <w:r>
              <w:rPr>
                <w:b/>
                <w:sz w:val="18"/>
              </w:rPr>
              <w:t>SNR (dB)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DF2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sz w:val="18"/>
              </w:rPr>
              <w:t>WHOLE</w:t>
              <w:br/>
              <w:t>util. (%)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DF2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sz w:val="18"/>
              </w:rPr>
              <w:t>PARTIAL</w:t>
              <w:br/>
              <w:t>util. (%)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DF2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sz w:val="18"/>
              </w:rPr>
              <w:t>ΔPSNR (dB)</w:t>
              <w:br/>
              <w:t>[95% CI]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DF2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sz w:val="18"/>
              </w:rPr>
              <w:t>ΔDreamSim</w:t>
              <w:br/>
              <w:t>[95% CI]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73.81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93.08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0.616</w:t>
              <w:br/>
              <w:t>[0.564, 0.673]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-0.0207</w:t>
              <w:br/>
              <w:t>[-0.0233, -0.0183]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lef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77.70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95.21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0.701</w:t>
              <w:br/>
              <w:t>[0.637, 0.766]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-0.0240</w:t>
              <w:br/>
              <w:t>[-0.0270, -0.0212]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left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85.24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94.73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0.319</w:t>
              <w:br/>
              <w:t>[0.290, 0.349]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-0.0030</w:t>
              <w:br/>
              <w:t>[-0.0037, -0.0024]</w:t>
            </w:r>
          </w:p>
        </w:tc>
      </w:tr>
    </w:tbl>
    <w:p>
      <w:pPr>
        <w:pStyle w:val="Caption"/>
      </w:pPr>
      <w:r>
        <w:t>Δ=PARTIAL−WHOLE，common500；直接来源配对区间。利用率=Lterm/(k−13−16)。</w:t>
      </w:r>
    </w:p>
    <w:p>
      <w:pPr>
        <w:pStyle w:val="Heading1"/>
      </w:pPr>
      <w:r>
        <w:t>III.D. Performance With a Larger Symbol Budget</w:t>
      </w:r>
    </w:p>
    <w:p>
      <w:r>
        <w:rPr>
          <w:b/>
        </w:rPr>
        <w:t>段落 1：有限预算扩展。</w:t>
      </w:r>
      <w:r>
        <w:t>引用 Table II。matched100、N2048；4/10 dB 为冻结 adaptive，19 dB 为 full representations。每源三噪声，每方法每条件300/300正确送达。表内报告 ΔPSNR 和 ΔDreamSim，均为 NeST−ARPC，不把三行画成同一配置曲线。</w:t>
      </w:r>
    </w:p>
    <w:p>
      <w:r>
        <w:rPr>
          <w:b/>
        </w:rPr>
        <w:t>段落 2：必须同时保留的边界。</w:t>
      </w:r>
      <w:r>
        <w:t>19 dB 的 NeST PSNR 更高、DreamSim 更低，但 DISTS 差为+0.0054，95% CI [+0.0024,+0.0086]，ARPC 的 DISTS 更好。保留这一指标取舍，不将 N1024 CLIP 填入 N2048 表。N2048 CLIP 本轮未启动。</w:t>
      </w:r>
    </w:p>
    <w:p>
      <w:pPr>
        <w:pStyle w:val="Heading2"/>
      </w:pPr>
      <w:r>
        <w:t>Table II  N2048 paired comparison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288"/>
        <w:gridCol w:w="3288"/>
      </w:tblGrid>
      <w:tr>
        <w:trPr>
          <w:cantSplit/>
          <w:tblHeader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DF2"/>
          </w:tcPr>
          <w:p>
            <w:pPr>
              <w:spacing w:after="40" w:before="40" w:line="252" w:lineRule="auto"/>
              <w:jc w:val="left"/>
            </w:pPr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DF2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sz w:val="18"/>
              </w:rPr>
              <w:t>ΔPSNR (dB)</w:t>
              <w:br/>
              <w:t>[95% CI]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DF2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sz w:val="18"/>
              </w:rPr>
              <w:t>ΔDreamSim</w:t>
              <w:br/>
              <w:t>[95% CI]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left"/>
            </w:pPr>
            <w:r>
              <w:rPr>
                <w:b w:val="0"/>
                <w:sz w:val="18"/>
              </w:rPr>
              <w:t>4 dB adaptive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3.779</w:t>
              <w:br/>
              <w:t>[3.493, 4.082]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-0.2658</w:t>
              <w:br/>
              <w:t>[-0.2933, -0.2386]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left"/>
            </w:pPr>
            <w:r>
              <w:rPr>
                <w:b w:val="0"/>
                <w:sz w:val="18"/>
              </w:rPr>
              <w:t>10 dB adaptive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3.877</w:t>
              <w:br/>
              <w:t>[3.688, 4.079]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-0.1174</w:t>
              <w:br/>
              <w:t>[-0.1309, -0.1049]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left"/>
            </w:pPr>
            <w:r>
              <w:rPr>
                <w:b w:val="0"/>
                <w:sz w:val="18"/>
              </w:rPr>
              <w:t>19 dB full representations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1.806</w:t>
              <w:br/>
              <w:t>[1.742, 1.871]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-0.0086</w:t>
              <w:br/>
              <w:t>[-0.0119, -0.0052]</w:t>
            </w:r>
          </w:p>
        </w:tc>
      </w:tr>
    </w:tbl>
    <w:p>
      <w:pPr>
        <w:pStyle w:val="Caption"/>
      </w:pPr>
      <w:r>
        <w:t>Δ=NeST−ARPC，matched100，每源三噪声；每方法每条件300/300送达。三行配置不同。正 ΔDISTS 表示 ARPC 更好。</w:t>
      </w:r>
    </w:p>
    <w:p>
      <w:r>
        <w:br w:type="page"/>
      </w:r>
    </w:p>
    <w:p>
      <w:pPr>
        <w:pStyle w:val="Heading1"/>
      </w:pPr>
      <w:r>
        <w:t>III.E. Computational Cost</w:t>
      </w:r>
    </w:p>
    <w:p>
      <w:r>
        <w:rPr>
          <w:b/>
        </w:rPr>
        <w:t>段落 1：测量口径。</w:t>
      </w:r>
      <w:r>
        <w:t>引用 Table III，仅取现有10 dB、16 development、batch1、每源3次预热+3次测量。相同 RTX PRO 6000 Blackwell GPU1 和6个CPU核心；保持原方法环境／精度和共享负载记录，不能声称独占或所有框架完全一致。</w:t>
      </w:r>
    </w:p>
    <w:p>
      <w:r>
        <w:rPr>
          <w:b/>
        </w:rPr>
        <w:t>段落 2：质量与处理时间。</w:t>
      </w:r>
      <w:r>
        <w:t>TX/RX/Total 为 software processing latency，单位 ms/image；Total=TX+RX。NeST 均值约220.89/398.82/619.71，连续基线约42–45 ms总计；ARPC约1520.30、BPG约2293.01 ms总计。说明生成式恢复与源码处理的实际成本，不称空口时延或端到端网络时延，不与历史 H800 六方法计时合并。</w:t>
      </w:r>
    </w:p>
    <w:p>
      <w:pPr>
        <w:pStyle w:val="Heading2"/>
      </w:pPr>
      <w:r>
        <w:t>Table III  Software processing latency at 10 dB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8"/>
        <w:gridCol w:w="2098"/>
        <w:gridCol w:w="2098"/>
        <w:gridCol w:w="2098"/>
      </w:tblGrid>
      <w:tr>
        <w:trPr>
          <w:cantSplit/>
          <w:tblHeader/>
        </w:trPr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DF2"/>
          </w:tcPr>
          <w:p>
            <w:pPr>
              <w:spacing w:after="40" w:before="40" w:line="252" w:lineRule="auto"/>
              <w:jc w:val="left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DF2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sz w:val="18"/>
              </w:rPr>
              <w:t>TX (ms)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DF2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sz w:val="18"/>
              </w:rPr>
              <w:t>RX (ms)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DF2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sz w:val="18"/>
              </w:rPr>
              <w:t>Total (ms)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left"/>
            </w:pPr>
            <w:r>
              <w:rPr>
                <w:b w:val="0"/>
                <w:sz w:val="18"/>
              </w:rPr>
              <w:t>NeST-Com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220.89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398.82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619.71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left"/>
            </w:pPr>
            <w:r>
              <w:rPr>
                <w:b w:val="0"/>
                <w:sz w:val="18"/>
              </w:rPr>
              <w:t>Latent JSCC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17.97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24.51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42.48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left"/>
            </w:pPr>
            <w:r>
              <w:rPr>
                <w:b w:val="0"/>
                <w:sz w:val="18"/>
              </w:rPr>
              <w:t>SwinJSCC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24.81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19.89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44.69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left"/>
            </w:pPr>
            <w:r>
              <w:rPr>
                <w:b w:val="0"/>
                <w:sz w:val="18"/>
              </w:rPr>
              <w:t>BPG + LDPC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2269.87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23.15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2293.01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left"/>
            </w:pPr>
            <w:r>
              <w:rPr>
                <w:b w:val="0"/>
                <w:sz w:val="18"/>
              </w:rPr>
              <w:t>ARPC + LDPC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719.12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801.18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8"/>
              </w:rPr>
              <w:t>1520.30</w:t>
            </w:r>
          </w:p>
        </w:tc>
      </w:tr>
    </w:tbl>
    <w:p>
      <w:pPr>
        <w:pStyle w:val="Caption"/>
      </w:pPr>
      <w:r>
        <w:t>RTX PRO 6000 Blackwell GPU1；同6个CPU核心；batch1；16 development，每源3次预热+3次测量。Total=TX+RX，不含空口；保留原框架、精度和共享负载记录。</w:t>
      </w:r>
    </w:p>
    <w:p>
      <w:pPr>
        <w:pStyle w:val="Heading1"/>
      </w:pPr>
      <w:r>
        <w:t>IV. Conclusion</w:t>
      </w:r>
    </w:p>
    <w:p>
      <w:r>
        <w:rPr>
          <w:b/>
        </w:rPr>
        <w:t>段落任务。</w:t>
      </w:r>
      <w:r>
        <w:t>回扣完整 next-scale token 通信方法：尺度内端点、真实终止码长和前缀约束重建共同适应固定符号预算。总结已观察到的质量与处理成本取舍，并明确低 SNR 感知差异、生成解码敏感性和大预算完整表示边界。不给出全面优于所有方法或所有指标的结论。</w:t>
      </w:r>
    </w:p>
    <w:p>
      <w:pPr>
        <w:pStyle w:val="Heading1"/>
      </w:pPr>
      <w:r>
        <w:t>交付边界与核验入口</w:t>
      </w:r>
    </w:p>
    <w:p>
      <w:r>
        <w:t>已完成：三图三表、中文大纲、Word与LaTeX骨架，以及全部预定 ARPC 敏感性设置。原采样900逻辑帧复用；新生成592个独特结果，覆盖1800逻辑帧；无新信道、无训练、无新增bootstrap索引。</w:t>
      </w:r>
    </w:p>
    <w:p>
      <w:r>
        <w:t>不在本轮：完整论文正文、N2048 CLIP、main common500 策略或检查点替换。所有主图60个均值和CI、Fig.3图片与分数、表格原始精度均有逐项追溯。</w:t>
      </w:r>
    </w:p>
    <w:p>
      <w:r>
        <w:t>详细敏感性：sensitivity/REPORT.md；全部原始精度表格：CSV；完整英文图注：captions.md。公开基线 a5f8ceb0233b0e1f599ee8bb902c1a094d47119d。</w:t>
      </w:r>
    </w:p>
    <w:p>
      <w:pPr>
        <w:pStyle w:val="Heading1"/>
      </w:pPr>
      <w:r>
        <w:t>相关工作核对来源</w:t>
      </w:r>
    </w:p>
    <w:p>
      <w:r>
        <w:t>Ada-TokenCom（率自适应 token 编码与生成）：https://arxiv.org/abs/2608.28086</w:t>
        <w:br/>
        <w:t>TONIC（任务导向 token 通信）：https://arxiv.org/abs/2605.21553</w:t>
      </w:r>
    </w:p>
    <w:sectPr w:rsidR="00FC693F" w:rsidRPr="0006063C" w:rsidSect="00034616">
      <w:footerReference w:type="default" r:id="rId9"/>
      <w:pgSz w:w="12240" w:h="15840"/>
      <w:pgMar w:top="737" w:right="794" w:bottom="737" w:left="79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 xml:space="preserve">NeST-Com · WCL revision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/>
      <w:b w:val="0"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