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NeST-Com: Fixed-Budget Next-Scale Token Communication</w:t>
      </w:r>
    </w:p>
    <w:p>
      <w:pPr>
        <w:pStyle w:val="Author"/>
        <w:widowControl/>
      </w:pPr>
      <w:r>
        <w:t xml:space="preserve">Anonymous Authors</w:t>
      </w:r>
    </w:p>
    <w:p>
      <w:pPr>
        <w:pStyle w:val="AbstractTitle"/>
        <w:widowControl/>
      </w:pPr>
      <w:r>
        <w:t xml:space="preserve">Abstract</w:t>
      </w:r>
    </w:p>
    <w:p>
      <w:pPr>
        <w:pStyle w:val="Abstract"/>
        <w:widowControl/>
      </w:pPr>
      <w:r>
        <w:t xml:space="preserve">Next-scale residual tokens provide a coarse-to-fine image description, but whole-scale endpoints can underfill fixed digital frames. NeST-Com fits independently terminated, entropy-coded within-scale prefixes to fixed frames and uses received tokens for residual reconstruction and finer-scale conditioning. With shared model components, it improves PSNR over whole-scale transmission by 0.32–0.70 dB at 1024 symbols and 0.39–0.79 dB at 512 symbols. At 1024 symbols and 10 dB, source-bit utilization increases from 77.70% to 95.21%. Comparisons with existing systems show favorable low-budget source reconstruction and metric-dependent perceptual tradeoffs.</w:t>
      </w:r>
    </w:p>
    <w:p>
      <w:pPr>
        <w:pStyle w:val="Heading4"/>
        <w:keepNext/>
        <w:widowControl/>
      </w:pPr>
      <w:bookmarkStart w:id="9" w:name="_d21f678b956c97f92bde1205b50ecfabad824a4"/>
      <w:r>
        <w:t xml:space="preserve">Index terms</w:t>
      </w:r>
      <w:bookmarkEnd w:id="9"/>
    </w:p>
    <w:p>
      <w:pPr>
        <w:pStyle w:val="FirstParagraph"/>
        <w:widowControl/>
      </w:pPr>
      <w:r>
        <w:t xml:space="preserve">Image communication, visual autoregressive models, fixed symbol budget, entropy coding.</w:t>
      </w:r>
    </w:p>
    <w:p>
      <w:pPr>
        <w:pStyle w:val="Heading1"/>
        <w:keepNext/>
        <w:widowControl/>
      </w:pPr>
      <w:bookmarkStart w:id="10" w:name="_f990d51b53e36c17355a6666bd6589b8aa26857"/>
      <w:r>
        <w:t xml:space="preserve">I. Introduction</w:t>
      </w:r>
      <w:bookmarkEnd w:id="10"/>
    </w:p>
    <w:p>
      <w:pPr>
        <w:pStyle w:val="FirstParagraph"/>
        <w:widowControl/>
      </w:pPr>
      <w:r>
        <w:t xml:space="preserve">A fixed per-image channel-symbol budget limits the source description available for reconstruction. Its useful content depends on image-dependent source-code length and the protection carried in the same frame. A generative receiver can complete untransmitted information, while the received description constrains that completion to the source image. The challenge is to retain as much useful source information as the frame permits and to use it throughout reconstruction.</w:t>
      </w:r>
    </w:p>
    <w:p>
      <w:pPr>
        <w:pStyle w:val="BodyText"/>
        <w:widowControl/>
      </w:pPr>
      <w:r>
        <w:t xml:space="preserve">Next-scale representations organize an image into complete coarse token maps followed by residual refinements. After resizing, each coarse map covers the full latent grid, providing a global description before finer maps add detail. Visual autoregressive modeling (VAR) reported state-of-the-art results in its original class-conditional ImageNet generation benchmarks [7], motivating its use as a completion prior. Digital coding and learned joint source–channel coding (JSCC) address limited channel resources [1, 2]; adapting progressive descriptions is a classical problem [3]. Recent token schemes include Ada-TokenCom’s prefix coding and tail generation [4], task-oriented TONIC [5], and next-scale progressive ARPC [6].</w:t>
      </w:r>
    </w:p>
    <w:p>
      <w:pPr>
        <w:pStyle w:val="BodyText"/>
        <w:widowControl/>
      </w:pPr>
      <w:r>
        <w:t xml:space="preserve">Whole-scale boundaries need not align with fixed frame capacity: a scale adds many tokens, and the terminated entropy-code length varies across images. Legal endpoints inside a scale can retain source tokens that would otherwise be excluded. VAR’s coarse-conditioned factorization lets both terminals construct matching probabilities for these positions from complete coarse maps. The delivered boundary tokens must then refine both residual accumulation and the context for predicting finer scales.</w:t>
      </w:r>
    </w:p>
    <w:p>
      <w:pPr>
        <w:pStyle w:val="BodyText"/>
        <w:widowControl/>
      </w:pPr>
      <w:r>
        <w:t xml:space="preserve">NeST-Com combines within-scale endpoints, independently terminated arithmetic streams, actual-length fitting, and prefix-constrained reconstruction. Using VAR’s known-token overwrite [7], it merges received positions with predictions and updates both the residual latent and finer-scale context. With shared model components, it improves PSNR over whole-scale transmission by 0.32–0.70 dB at 1024 symbols and 0.39–0.79 dB at 512 symbols. At 1024 symbols and 10 dB, source-bit utilization rises from 77.70% to 95.21%. Controlled experiments examine the endpoint and receiver designs, while complete-system comparisons show their reconstruction tradeoffs.</w:t>
      </w:r>
    </w:p>
    <w:p>
      <w:pPr>
        <w:pStyle w:val="Heading1"/>
        <w:keepNext/>
        <w:widowControl/>
      </w:pPr>
      <w:bookmarkStart w:id="11" w:name="_c24363a6fcedd79af385d1852e746ec32f16df2"/>
      <w:r>
        <w:t xml:space="preserve">II. Proposed NeST-Com Framework</w:t>
      </w:r>
      <w:bookmarkEnd w:id="11"/>
    </w:p>
    <w:p>
      <w:pPr>
        <w:pStyle w:val="Heading2"/>
        <w:keepNext/>
        <w:widowControl/>
      </w:pPr>
      <w:bookmarkStart w:id="12" w:name="_d42d77a22c16abf1dd4f7d6ffc29edc80581128"/>
      <w:r>
        <w:t xml:space="preserve">A. Next-Scale Representation and Digital Frame</w:t>
      </w:r>
      <w:bookmarkEnd w:id="12"/>
    </w:p>
    <w:p>
      <w:pPr>
        <w:pStyle w:val="FirstParagraph"/>
        <w:widowControl/>
      </w:pPr>
      <w:r>
        <w:t xml:space="preserve">We transmit</w:t>
      </w:r>
      <w:r>
        <w:t xml:space="preserve"> </w:t>
      </w:r>
      <m:oMath>
        <m:r>
          <m:t>x</m:t>
        </m:r>
        <m:r>
          <m:rPr>
            <m:sty m:val="p"/>
          </m:rPr>
          <m:t>∈</m:t>
        </m:r>
        <m:r>
          <m:rPr>
            <m:sty m:val="p"/>
          </m:rPr>
          <m:t>[</m:t>
        </m:r>
        <m:r>
          <m:t>0</m:t>
        </m:r>
        <m:r>
          <m:rPr>
            <m:sty m:val="p"/>
          </m:rPr>
          <m:t>,</m:t>
        </m:r>
        <m:r>
          <m:t>1</m:t>
        </m:r>
        <m:sSup>
          <m:e>
            <m:r>
              <m:rPr>
                <m:sty m:val="p"/>
              </m:rPr>
              <m:t>]</m:t>
            </m:r>
          </m:e>
          <m:sup>
            <m:r>
              <m:t>256</m:t>
            </m:r>
            <m:r>
              <m:rPr>
                <m:sty m:val="p"/>
              </m:rPr>
              <m:t>×</m:t>
            </m:r>
            <m:r>
              <m:t>256</m:t>
            </m:r>
            <m:r>
              <m:rPr>
                <m:sty m:val="p"/>
              </m:rPr>
              <m:t>×</m:t>
            </m:r>
            <m:r>
              <m:t>3</m:t>
            </m:r>
          </m:sup>
        </m:sSup>
      </m:oMath>
      <w:r>
        <w:t xml:space="preserve"> </w:t>
      </w:r>
      <w:r>
        <w:t xml:space="preserve">over complex AWGN,</w:t>
      </w:r>
    </w:p>
    <w:p>
      <w:pPr>
        <w:pStyle w:val="BodyText"/>
        <w:widowControl/>
      </w:pPr>
      <m:oMathPara>
        <m:oMathParaPr>
          <m:jc m:val="center"/>
        </m:oMathParaPr>
        <m:oMath>
          <m:r>
            <m:t>y</m:t>
          </m:r>
          <m:r>
            <m:rPr>
              <m:sty m:val="p"/>
            </m:rPr>
            <m:t>=</m:t>
          </m:r>
          <m:r>
            <m:t>s</m:t>
          </m:r>
          <m:r>
            <m:rPr>
              <m:sty m:val="p"/>
            </m:rPr>
            <m:t>+</m:t>
          </m:r>
          <m:r>
            <m:t>n</m:t>
          </m:r>
          <m:r>
            <m:rPr>
              <m:sty m:val="p"/>
            </m:rPr>
            <m:t>,</m:t>
          </m:r>
          <m:r>
            <m:t> </m:t>
          </m:r>
          <m:r>
            <m:t>n</m:t>
          </m:r>
          <m:r>
            <m:rPr>
              <m:sty m:val="p"/>
            </m:rPr>
            <m:t>∼</m:t>
          </m:r>
          <m:r>
            <m:rPr>
              <m:scr m:val="script"/>
              <m:sty m:val="p"/>
            </m:rPr>
            <m:t>C</m:t>
          </m:r>
          <m:r>
            <m:rPr>
              <m:scr m:val="script"/>
              <m:sty m:val="p"/>
            </m:rPr>
            <m:t>N</m:t>
          </m:r>
          <m:r>
            <m:rPr>
              <m:sty m:val="p"/>
            </m:rPr>
            <m:t>(</m:t>
          </m:r>
          <m:r>
            <m:t>0</m:t>
          </m:r>
          <m:r>
            <m:rPr>
              <m:sty m:val="p"/>
            </m:rPr>
            <m:t>,</m:t>
          </m:r>
          <m:sSup>
            <m:e>
              <m:r>
                <m:t>σ</m:t>
              </m:r>
            </m:e>
            <m:sup>
              <m:r>
                <m:t>2</m:t>
              </m:r>
            </m:sup>
          </m:sSup>
          <m:sSub>
            <m:e>
              <m:r>
                <m:t>I</m:t>
              </m:r>
            </m:e>
            <m:sub>
              <m:r>
                <m:t>N</m:t>
              </m:r>
            </m:sub>
          </m:sSub>
          <m:r>
            <m:rPr>
              <m:sty m:val="p"/>
            </m:rPr>
            <m:t>)</m:t>
          </m:r>
          <m:r>
            <m:rPr>
              <m:sty m:val="p"/>
            </m:rPr>
            <m:t>,</m:t>
          </m:r>
          <m:r>
            <m:t> </m:t>
          </m:r>
          <m:r>
            <m:rPr>
              <m:sty m:val="p"/>
            </m:rPr>
            <m:t>S</m:t>
          </m:r>
          <m:r>
            <m:rPr>
              <m:sty m:val="p"/>
            </m:rPr>
            <m:t>N</m:t>
          </m:r>
          <m:r>
            <m:rPr>
              <m:sty m:val="p"/>
            </m:rPr>
            <m:t>R</m:t>
          </m:r>
          <m:r>
            <m:rPr>
              <m:sty m:val="p"/>
            </m:rPr>
            <m:t>=</m:t>
          </m:r>
          <m:r>
            <m:t>10</m:t>
          </m:r>
          <m:sSub>
            <m:e>
              <m:r>
                <m:rPr>
                  <m:sty m:val="p"/>
                </m:rPr>
                <m:t>log</m:t>
              </m:r>
            </m:e>
            <m:sub>
              <m:r>
                <m:t>10</m:t>
              </m:r>
            </m:sub>
          </m:sSub>
          <m:r>
            <m:rPr>
              <m:sty m:val="p"/>
            </m:rPr>
            <m:t>(</m:t>
          </m:r>
          <m:sSub>
            <m:e>
              <m:r>
                <m:t>E</m:t>
              </m:r>
            </m:e>
            <m:sub>
              <m:r>
                <m:t>s</m:t>
              </m:r>
            </m:sub>
          </m:sSub>
          <m:r>
            <m:rPr>
              <m:sty m:val="p"/>
            </m:rPr>
            <m:t>/</m:t>
          </m:r>
          <m:sSup>
            <m:e>
              <m:r>
                <m:t>σ</m:t>
              </m:r>
            </m:e>
            <m:sup>
              <m:r>
                <m:t>2</m:t>
              </m:r>
            </m:sup>
          </m:sSup>
          <m:r>
            <m:rPr>
              <m:sty m:val="p"/>
            </m:rPr>
            <m:t>)</m:t>
          </m:r>
          <m:r>
            <m:rPr>
              <m:sty m:val="p"/>
            </m:rPr>
            <m:t>,</m:t>
          </m:r>
          <m:r>
            <m:t>  </m:t>
          </m:r>
          <m:r>
            <m:rPr>
              <m:nor/>
            </m:rPr>
            <m:t>(1)</m:t>
          </m:r>
        </m:oMath>
      </m:oMathPara>
    </w:p>
    <w:p>
      <w:pPr>
        <w:pStyle w:val="FirstParagraph"/>
        <w:widowControl/>
      </w:pPr>
      <w:r>
        <w:t xml:space="preserve">using</w:t>
      </w:r>
      <w:r>
        <w:t xml:space="preserve"> </w:t>
      </w:r>
      <m:oMath>
        <m:r>
          <m:t>N</m:t>
        </m:r>
      </m:oMath>
      <w:r>
        <w:t xml:space="preserve"> </w:t>
      </w:r>
      <w:r>
        <w:t xml:space="preserve">complex symbols per image and nominal</w:t>
      </w:r>
      <w:r>
        <w:t xml:space="preserve"> </w:t>
      </w:r>
      <m:oMath>
        <m:sSub>
          <m:e>
            <m:r>
              <m:t>E</m:t>
            </m:r>
          </m:e>
          <m:sub>
            <m:r>
              <m:t>s</m:t>
            </m:r>
          </m:sub>
        </m:sSub>
        <m:r>
          <m:rPr>
            <m:sty m:val="p"/>
          </m:rPr>
          <m:t>=</m:t>
        </m:r>
        <m:r>
          <m:t>2</m:t>
        </m:r>
      </m:oMath>
      <w:r>
        <w:t xml:space="preserve">. TX selects a frozen policy for the channel SNR; RX uses the true noise variance for LLRs. Digital constellations have average energy two without per-frame renormalization. Continuous JSCC data are normalized per image to average energy two, with required Swin side information paid within</w:t>
      </w:r>
      <w:r>
        <w:t xml:space="preserve"> </w:t>
      </w:r>
      <m:oMath>
        <m:r>
          <m:t>N</m:t>
        </m:r>
      </m:oMath>
      <w:r>
        <w:t xml:space="preserve">. A 12-bit profile ID, CRC16, and terminated rate-1/2 convolutional code occupy 68 rotated-BPSK symbols</w:t>
      </w:r>
      <w:r>
        <w:t xml:space="preserve"> </w:t>
      </w:r>
      <m:oMath>
        <m:r>
          <m:rPr>
            <m:sty m:val="p"/>
          </m:rPr>
          <m:t>{</m:t>
        </m:r>
        <m:r>
          <m:rPr>
            <m:sty m:val="p"/>
          </m:rPr>
          <m:t>±</m:t>
        </m:r>
        <m:r>
          <m:rPr>
            <m:sty m:val="p"/>
          </m:rPr>
          <m:t>(</m:t>
        </m:r>
        <m:r>
          <m:t>1</m:t>
        </m:r>
        <m:r>
          <m:rPr>
            <m:sty m:val="p"/>
          </m:rPr>
          <m:t>+</m:t>
        </m:r>
        <m:r>
          <m:t>j</m:t>
        </m:r>
        <m:r>
          <m:rPr>
            <m:sty m:val="p"/>
          </m:rPr>
          <m:t>)</m:t>
        </m:r>
        <m:r>
          <m:rPr>
            <m:sty m:val="p"/>
          </m:rPr>
          <m:t>}</m:t>
        </m:r>
      </m:oMath>
      <w:r>
        <w:t xml:space="preserve">. The remaining</w:t>
      </w:r>
      <w:r>
        <w:t xml:space="preserve"> </w:t>
      </w:r>
      <m:oMath>
        <m:r>
          <m:t>N</m:t>
        </m:r>
        <m:r>
          <m:rPr>
            <m:sty m:val="p"/>
          </m:rPr>
          <m:t>−</m:t>
        </m:r>
        <m:r>
          <m:t>68</m:t>
        </m:r>
      </m:oMath>
      <w:r>
        <w:t xml:space="preserve"> </w:t>
      </w:r>
      <w:r>
        <w:t xml:space="preserve">symbols carry the LDPC-coded body. After rate matching, a public frame-dependent scrambling mask is applied before QAM modulation and reversed at the receiver before LDPC decoding. The paid profile identifies the actual endpoint and MCS. Our main budget is</w:t>
      </w:r>
      <w:r>
        <w:t xml:space="preserve"> </w:t>
      </w:r>
      <m:oMath>
        <m:r>
          <m:t>N</m:t>
        </m:r>
        <m:r>
          <m:rPr>
            <m:sty m:val="p"/>
          </m:rPr>
          <m:t>=</m:t>
        </m:r>
        <m:r>
          <m:t>1024</m:t>
        </m:r>
      </m:oMath>
      <w:r>
        <w:t xml:space="preserve">; the reduced-budget experiment uses</w:t>
      </w:r>
      <w:r>
        <w:t xml:space="preserve"> </w:t>
      </w:r>
      <m:oMath>
        <m:r>
          <m:t>N</m:t>
        </m:r>
        <m:r>
          <m:rPr>
            <m:sty m:val="p"/>
          </m:rPr>
          <m:t>=</m:t>
        </m:r>
        <m:r>
          <m:t>512</m:t>
        </m:r>
      </m:oMath>
      <w:r>
        <w:t xml:space="preserve"> </w:t>
      </w:r>
      <w:r>
        <w:t xml:space="preserve">without increasing</w:t>
      </w:r>
      <w:r>
        <w:t xml:space="preserve"> </w:t>
      </w:r>
      <m:oMath>
        <m:sSub>
          <m:e>
            <m:r>
              <m:t>E</m:t>
            </m:r>
          </m:e>
          <m:sub>
            <m:r>
              <m:t>s</m:t>
            </m:r>
          </m:sub>
        </m:sSub>
      </m:oMath>
      <w:r>
        <w:t xml:space="preserve">.</w:t>
      </w:r>
    </w:p>
    <w:p>
      <w:pPr>
        <w:pStyle w:val="FirstParagraph"/>
        <w:widowControl/>
      </w:pPr>
      <w:r>
        <w:t xml:space="preserve">The frozen VAR tokenizer produces ten residual token maps</w:t>
      </w:r>
      <w:r>
        <w:t xml:space="preserve"> </w:t>
      </w:r>
      <m:oMath>
        <m:sSub>
          <m:e>
            <m:r>
              <m:t>q</m:t>
            </m:r>
          </m:e>
          <m:sub>
            <m:r>
              <m:t>s</m:t>
            </m:r>
          </m:sub>
        </m:sSub>
      </m:oMath>
      <w:r>
        <w:t xml:space="preserve">, with side lengths</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t>10</m:t>
        </m:r>
        <m:r>
          <m:rPr>
            <m:sty m:val="p"/>
          </m:rPr>
          <m:t>,</m:t>
        </m:r>
        <m:r>
          <m:t>13</m:t>
        </m:r>
        <m:r>
          <m:rPr>
            <m:sty m:val="p"/>
          </m:rPr>
          <m:t>,</m:t>
        </m:r>
        <m:r>
          <m:t>16</m:t>
        </m:r>
        <m:r>
          <m:rPr>
            <m:sty m:val="p"/>
          </m:rPr>
          <m:t>)</m:t>
        </m:r>
      </m:oMath>
      <w:r>
        <w:t xml:space="preserve"> </w:t>
      </w:r>
      <w:r>
        <w:t xml:space="preserve">and a 4096-entry codebook [7]. Let</w:t>
      </w:r>
      <w:r>
        <w:t xml:space="preserve"> </w:t>
      </w:r>
      <m:oMath>
        <m:sSub>
          <m:e>
            <m:r>
              <m:t>h</m:t>
            </m:r>
          </m:e>
          <m:sub>
            <m:r>
              <m:t>s</m:t>
            </m:r>
          </m:sub>
        </m:sSub>
      </m:oMath>
      <w:r>
        <w:t xml:space="preserve"> </w:t>
      </w:r>
      <w:r>
        <w:t xml:space="preserve">denote the side length,</w:t>
      </w:r>
      <w:r>
        <w:t xml:space="preserve"> </w:t>
      </w:r>
      <m:oMath>
        <m:sSub>
          <m:e>
            <m:r>
              <m:t>L</m:t>
            </m:r>
          </m:e>
          <m:sub>
            <m:r>
              <m:t>s</m:t>
            </m:r>
          </m:sub>
        </m:sSub>
        <m:r>
          <m:rPr>
            <m:sty m:val="p"/>
          </m:rPr>
          <m:t>=</m:t>
        </m:r>
        <m:sSubSup>
          <m:e>
            <m:r>
              <m:t>h</m:t>
            </m:r>
          </m:e>
          <m:sub>
            <m:r>
              <m:t>s</m:t>
            </m:r>
          </m:sub>
          <m:sup>
            <m:r>
              <m:t>2</m:t>
            </m:r>
          </m:sup>
        </m:sSubSup>
      </m:oMath>
      <w:r>
        <w:t xml:space="preserve"> </w:t>
      </w:r>
      <w:r>
        <w:t xml:space="preserve">the number of positions, and</w:t>
      </w:r>
      <w:r>
        <w:t xml:space="preserve"> </w:t>
      </w:r>
      <m:oMath>
        <m:sSub>
          <m:e>
            <m:r>
              <m:t>C</m:t>
            </m:r>
          </m:e>
          <m:sub>
            <m:r>
              <m:t>s</m:t>
            </m:r>
          </m:sub>
        </m:sSub>
      </m:oMath>
      <w:r>
        <w:t xml:space="preserve"> </w:t>
      </w:r>
      <w:r>
        <w:t xml:space="preserve">the scale-dependent codebook lookup, resizing, and residual transform. Complete coarse maps span the whole latent grid after resizing; the sum</w:t>
      </w:r>
      <w:r>
        <w:t xml:space="preserve"> </w:t>
      </w:r>
      <m:oMath>
        <m:sSub>
          <m:e>
            <m:r>
              <m:t>f</m:t>
            </m:r>
          </m:e>
          <m:sub>
            <m:r>
              <m:t>q</m:t>
            </m:r>
          </m:sub>
        </m:sSub>
        <m:r>
          <m:rPr>
            <m:sty m:val="p"/>
          </m:rPr>
          <m:t>=</m:t>
        </m:r>
        <m:nary>
          <m:naryPr>
            <m:chr m:val="∑"/>
            <m:limLoc m:val="undOvr"/>
            <m:subHide m:val="off"/>
            <m:supHide m:val="on"/>
          </m:naryPr>
          <m:sub>
            <m:r>
              <m:t>s</m:t>
            </m:r>
          </m:sub>
          <m:sup>
            <m:r>
              <m:t>​</m:t>
            </m:r>
          </m:sup>
          <m:e>
            <m:sSub>
              <m:e>
                <m:r>
                  <m:t>C</m:t>
                </m:r>
              </m:e>
              <m:sub>
                <m:r>
                  <m:t>s</m:t>
                </m:r>
              </m:sub>
            </m:sSub>
          </m:e>
        </m:nary>
        <m:r>
          <m:rPr>
            <m:sty m:val="p"/>
          </m:rPr>
          <m:t>(</m:t>
        </m:r>
        <m:sSub>
          <m:e>
            <m:r>
              <m:t>q</m:t>
            </m:r>
          </m:e>
          <m:sub>
            <m:r>
              <m:t>s</m:t>
            </m:r>
          </m:sub>
        </m:sSub>
        <m:r>
          <m:rPr>
            <m:sty m:val="p"/>
          </m:rPr>
          <m:t>)</m:t>
        </m:r>
      </m:oMath>
      <w:r>
        <w:t xml:space="preserve"> </w:t>
      </w:r>
      <w:r>
        <w:t xml:space="preserve">accumulates their residual refinements. Image decoder</w:t>
      </w:r>
      <w:r>
        <w:t xml:space="preserve"> </w:t>
      </w:r>
      <m:oMath>
        <m:sSub>
          <m:e>
            <m:r>
              <m:t>D</m:t>
            </m:r>
          </m:e>
          <m:sub>
            <m:r>
              <m:t>c</m:t>
            </m:r>
          </m:sub>
        </m:sSub>
      </m:oMath>
      <w:r>
        <w:t xml:space="preserve"> </w:t>
      </w:r>
      <w:r>
        <w:t xml:space="preserve">is adapted on 20 000 ImageNet training images using continuous, fully quantized, and prefix-completion-interpolated latents, then fixed. NeST-Com uses null-class conditioning. Its frozen VAR-d16 next-scale prior factorizes [7] as</w:t>
      </w:r>
    </w:p>
    <w:p>
      <w:pPr>
        <w:pStyle w:val="BodyText"/>
        <w:widowControl/>
      </w:pPr>
      <m:oMathPara>
        <m:oMathParaPr>
          <m:jc m:val="center"/>
        </m:oMathParaPr>
        <m:oMath>
          <m:sSub>
            <m:e>
              <m:r>
                <m:t>p</m:t>
              </m:r>
            </m:e>
            <m:sub>
              <m:r>
                <m:t>θ</m:t>
              </m:r>
            </m:sub>
          </m:sSub>
          <m:r>
            <m:rPr>
              <m:sty m:val="p"/>
            </m:rPr>
            <m:t>(</m:t>
          </m:r>
          <m:sSub>
            <m:e>
              <m:r>
                <m:t>q</m:t>
              </m:r>
            </m:e>
            <m:sub>
              <m:r>
                <m:t>s</m:t>
              </m:r>
            </m:sub>
          </m:sSub>
          <m:r>
            <m:rPr>
              <m:sty m:val="p"/>
            </m:rPr>
            <m:t>∣</m:t>
          </m:r>
          <m:sSub>
            <m:e>
              <m:r>
                <m:t>q</m:t>
              </m:r>
            </m:e>
            <m:sub>
              <m:r>
                <m:rPr>
                  <m:sty m:val="p"/>
                </m:rPr>
                <m:t>&lt;</m:t>
              </m:r>
              <m:r>
                <m:t>s</m:t>
              </m:r>
            </m:sub>
          </m:sSub>
          <m:r>
            <m:rPr>
              <m:sty m:val="p"/>
            </m:rPr>
            <m:t>)</m:t>
          </m:r>
          <m:r>
            <m:rPr>
              <m:sty m:val="p"/>
            </m:rPr>
            <m:t>=</m:t>
          </m:r>
          <m:nary>
            <m:naryPr>
              <m:chr m:val="∏"/>
              <m:limLoc m:val="undOvr"/>
              <m:subHide m:val="off"/>
              <m:supHide m:val="off"/>
            </m:naryPr>
            <m:sub>
              <m:r>
                <m:t>i</m:t>
              </m:r>
              <m:r>
                <m:rPr>
                  <m:sty m:val="p"/>
                </m:rPr>
                <m:t>=</m:t>
              </m:r>
              <m:r>
                <m:t>1</m:t>
              </m:r>
            </m:sub>
            <m:sup>
              <m:sSub>
                <m:e>
                  <m:r>
                    <m:t>L</m:t>
                  </m:r>
                </m:e>
                <m:sub>
                  <m:r>
                    <m:t>s</m:t>
                  </m:r>
                </m:sub>
              </m:sSub>
            </m:sup>
            <m:e>
              <m:sSub>
                <m:e>
                  <m:r>
                    <m:t>p</m:t>
                  </m:r>
                </m:e>
                <m:sub>
                  <m:r>
                    <m:t>θ</m:t>
                  </m:r>
                </m:sub>
              </m:sSub>
            </m:e>
          </m:nary>
          <m:r>
            <m:rPr>
              <m:sty m:val="p"/>
            </m:rPr>
            <m:t>(</m:t>
          </m:r>
          <m:sSub>
            <m:e>
              <m:r>
                <m:t>q</m:t>
              </m:r>
            </m:e>
            <m:sub>
              <m:r>
                <m:t>s</m:t>
              </m:r>
              <m:r>
                <m:rPr>
                  <m:sty m:val="p"/>
                </m:rPr>
                <m:t>,</m:t>
              </m:r>
              <m:r>
                <m:t>i</m:t>
              </m:r>
            </m:sub>
          </m:sSub>
          <m:r>
            <m:rPr>
              <m:sty m:val="p"/>
            </m:rPr>
            <m:t>∣</m:t>
          </m:r>
          <m:sSub>
            <m:e>
              <m:r>
                <m:t>q</m:t>
              </m:r>
            </m:e>
            <m:sub>
              <m:r>
                <m:rPr>
                  <m:sty m:val="p"/>
                </m:rPr>
                <m:t>&lt;</m:t>
              </m:r>
              <m:r>
                <m:t>s</m:t>
              </m:r>
            </m:sub>
          </m:sSub>
          <m:r>
            <m:rPr>
              <m:sty m:val="p"/>
            </m:rPr>
            <m:t>)</m:t>
          </m:r>
          <m:r>
            <m:rPr>
              <m:sty m:val="p"/>
            </m:rPr>
            <m:t>,</m:t>
          </m:r>
          <m:r>
            <m:t>  </m:t>
          </m:r>
          <m:r>
            <m:rPr>
              <m:nor/>
            </m:rPr>
            <m:t>(2)</m:t>
          </m:r>
        </m:oMath>
      </m:oMathPara>
    </w:p>
    <w:p>
      <w:pPr>
        <w:pStyle w:val="FirstParagraph"/>
        <w:widowControl/>
      </w:pPr>
      <w:r>
        <w:t xml:space="preserve">All positions in a scale thus obtain coding probabilities from the same complete coarse maps. Both terminals can construct identical cumulative distribution functions (CDFs) for arithmetic coding [8] of a transmitted within-scale subset (Fig. 1).</w:t>
      </w:r>
    </w:p>
    <w:bookmarkStart w:id="16" w:name="_25ca82cef3d9eee3515b7acaffb414681b5d686"/>
    <w:p>
      <w:pPr>
        <w:pStyle w:val="CaptionedFigure"/>
        <w:keepNext/>
        <w:widowControl/>
      </w:pPr>
      <w:r>
        <w:drawing>
          <wp:inline>
            <wp:extent cx="5943600" cy="2822379"/>
            <wp:effectExtent b="0" l="0" r="0" t="0"/>
            <wp:docPr descr="" title="" id="14" name="Picture"/>
            <a:graphic>
              <a:graphicData uri="http://schemas.openxmlformats.org/drawingml/2006/picture">
                <pic:pic>
                  <pic:nvPicPr>
                    <pic:cNvPr descr="C:/Users/11946/Documents/ChatGPT/comm/.research/nestcom_focused_20261029_v2/word_work/build_final2/figure1.png" id="15" name="Picture"/>
                    <pic:cNvPicPr>
                      <a:picLocks noChangeArrowheads="1" noChangeAspect="1"/>
                    </pic:cNvPicPr>
                  </pic:nvPicPr>
                  <pic:blipFill>
                    <a:blip r:embed="rId13"/>
                    <a:stretch>
                      <a:fillRect/>
                    </a:stretch>
                  </pic:blipFill>
                  <pic:spPr bwMode="auto">
                    <a:xfrm>
                      <a:off x="0" y="0"/>
                      <a:ext cx="5943600" cy="2822379"/>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1. NeST-Com: (a) The protected profile and body share the fixed noisy frame; both terminals reconstruct coding probabilities from the shared frozen VAR and known coarse tokens. (b) Independently terminated within-scale prefixes fit the body information capacity; bars are schematic for the same MCS. (c) Received tokens overwrite boundary predictions, and the merged map updates the residual latent and finer-scale context while unreceived positions retain their coarse-conditioned predictions.</w:t>
      </w:r>
    </w:p>
    <w:bookmarkEnd w:id="16"/>
    <w:p>
      <w:pPr>
        <w:pStyle w:val="Heading2"/>
        <w:keepNext/>
        <w:widowControl/>
      </w:pPr>
      <w:bookmarkStart w:id="17" w:name="_85eeeceefcfc47aee2eba40709c92df60361900"/>
      <w:r>
        <w:t xml:space="preserve">B. Within-Scale Endpoints and Actual-Length Fitting</w:t>
      </w:r>
      <w:bookmarkEnd w:id="17"/>
    </w:p>
    <w:p>
      <w:pPr>
        <w:pStyle w:val="FirstParagraph"/>
        <w:widowControl/>
      </w:pPr>
      <w:r>
        <w:t xml:space="preserve">An endpoint</w:t>
      </w:r>
      <w:r>
        <w:t xml:space="preserve"> </w:t>
      </w:r>
      <m:oMath>
        <m:r>
          <m:t>e</m:t>
        </m:r>
        <m:r>
          <m:rPr>
            <m:sty m:val="p"/>
          </m:rPr>
          <m:t>=</m:t>
        </m:r>
        <m:r>
          <m:rPr>
            <m:sty m:val="p"/>
          </m:rPr>
          <m:t>(</m:t>
        </m:r>
        <m:r>
          <m:t>m</m:t>
        </m:r>
        <m:r>
          <m:rPr>
            <m:sty m:val="p"/>
          </m:rPr>
          <m:t>,</m:t>
        </m:r>
        <m:r>
          <m:t>K</m:t>
        </m:r>
        <m:r>
          <m:rPr>
            <m:sty m:val="p"/>
          </m:rPr>
          <m:t>)</m:t>
        </m:r>
      </m:oMath>
      <w:r>
        <w:t xml:space="preserve"> </w:t>
      </w:r>
      <w:r>
        <w:t xml:space="preserve">retains complete coarse maps and</w:t>
      </w:r>
      <w:r>
        <w:t xml:space="preserve"> </w:t>
      </w:r>
      <m:oMath>
        <m:r>
          <m:t>K</m:t>
        </m:r>
      </m:oMath>
      <w:r>
        <w:t xml:space="preserve"> </w:t>
      </w:r>
      <w:r>
        <w:t xml:space="preserve">raster-ordered positions from the next map:</w:t>
      </w:r>
    </w:p>
    <w:p>
      <w:pPr>
        <w:pStyle w:val="BodyText"/>
        <w:widowControl/>
      </w:pPr>
      <m:oMathPara>
        <m:oMathParaPr>
          <m:jc m:val="center"/>
        </m:oMathParaPr>
        <m:oMath>
          <m:sSub>
            <m:e>
              <m:r>
                <m:t>π</m:t>
              </m:r>
            </m:e>
            <m:sub>
              <m:r>
                <m:t>e</m:t>
              </m:r>
            </m:sub>
          </m:sSub>
          <m:r>
            <m:rPr>
              <m:sty m:val="p"/>
            </m:rPr>
            <m:t>=</m:t>
          </m:r>
          <m:r>
            <m:rPr>
              <m:sty m:val="p"/>
            </m:rPr>
            <m:t>(</m:t>
          </m:r>
          <m:sSub>
            <m:e>
              <m:r>
                <m:t>q</m:t>
              </m:r>
            </m:e>
            <m:sub>
              <m:r>
                <m:t>1</m:t>
              </m:r>
            </m:sub>
          </m:sSub>
          <m:r>
            <m:rPr>
              <m:sty m:val="p"/>
            </m:rPr>
            <m:t>,</m:t>
          </m:r>
          <m:r>
            <m:rPr>
              <m:sty m:val="p"/>
            </m:rPr>
            <m:t>…</m:t>
          </m:r>
          <m:r>
            <m:rPr>
              <m:sty m:val="p"/>
            </m:rPr>
            <m:t>,</m:t>
          </m:r>
          <m:sSub>
            <m:e>
              <m:r>
                <m:t>q</m:t>
              </m:r>
            </m:e>
            <m:sub>
              <m:r>
                <m:t>m</m:t>
              </m:r>
            </m:sub>
          </m:sSub>
          <m:r>
            <m:rPr>
              <m:sty m:val="p"/>
            </m:rPr>
            <m:t>,</m:t>
          </m:r>
          <m:sSub>
            <m:e>
              <m:r>
                <m:t>q</m:t>
              </m:r>
            </m:e>
            <m:sub>
              <m:r>
                <m:t>m</m:t>
              </m:r>
              <m:r>
                <m:rPr>
                  <m:sty m:val="p"/>
                </m:rPr>
                <m:t>+</m:t>
              </m:r>
              <m:r>
                <m:t>1</m:t>
              </m:r>
              <m:r>
                <m:rPr>
                  <m:sty m:val="p"/>
                </m:rPr>
                <m:t>,</m:t>
              </m:r>
              <m:r>
                <m:t>1</m:t>
              </m:r>
              <m:r>
                <m:rPr>
                  <m:sty m:val="p"/>
                </m:rPr>
                <m:t>:</m:t>
              </m:r>
              <m:r>
                <m:t>K</m:t>
              </m:r>
            </m:sub>
          </m:sSub>
          <m:r>
            <m:rPr>
              <m:sty m:val="p"/>
            </m:rPr>
            <m:t>)</m:t>
          </m:r>
          <m:r>
            <m:rPr>
              <m:sty m:val="p"/>
            </m:rPr>
            <m:t>.</m:t>
          </m:r>
          <m:r>
            <m:t>  </m:t>
          </m:r>
          <m:r>
            <m:rPr>
              <m:nor/>
            </m:rPr>
            <m:t>(3)</m:t>
          </m:r>
        </m:oMath>
      </m:oMathPara>
    </w:p>
    <w:p>
      <w:pPr>
        <w:pStyle w:val="FirstParagraph"/>
        <w:widowControl/>
      </w:pPr>
      <w:r>
        <w:t xml:space="preserve">For</w:t>
      </w:r>
      <w:r>
        <w:t xml:space="preserve"> </w:t>
      </w:r>
      <m:oMath>
        <m:r>
          <m:t>K</m:t>
        </m:r>
        <m:r>
          <m:rPr>
            <m:sty m:val="p"/>
          </m:rPr>
          <m:t>=</m:t>
        </m:r>
        <m:r>
          <m:t>0</m:t>
        </m:r>
      </m:oMath>
      <w:r>
        <w:t xml:space="preserve">, the boundary tail is absent. WHOLE permits</w:t>
      </w:r>
      <w:r>
        <w:t xml:space="preserve"> </w:t>
      </w:r>
      <m:oMath>
        <m:r>
          <m:t>K</m:t>
        </m:r>
        <m:r>
          <m:rPr>
            <m:sty m:val="p"/>
          </m:rPr>
          <m:t>=</m:t>
        </m:r>
        <m:r>
          <m:t>0</m:t>
        </m:r>
      </m:oMath>
      <w:r>
        <w:t xml:space="preserve"> </w:t>
      </w:r>
      <w:r>
        <w:t xml:space="preserve">for</w:t>
      </w:r>
      <w:r>
        <w:t xml:space="preserve"> </w:t>
      </w:r>
      <m:oMath>
        <m:r>
          <m:t>m</m:t>
        </m:r>
        <m:r>
          <m:rPr>
            <m:sty m:val="p"/>
          </m:rPr>
          <m:t>=</m:t>
        </m:r>
        <m:r>
          <m:t>4</m:t>
        </m:r>
        <m:r>
          <m:rPr>
            <m:sty m:val="p"/>
          </m:rPr>
          <m:t>,</m:t>
        </m:r>
        <m:r>
          <m:rPr>
            <m:sty m:val="p"/>
          </m:rPr>
          <m:t>…</m:t>
        </m:r>
        <m:r>
          <m:rPr>
            <m:sty m:val="p"/>
          </m:rPr>
          <m:t>,</m:t>
        </m:r>
        <m:r>
          <m:t>10</m:t>
        </m:r>
      </m:oMath>
      <w:r>
        <w:t xml:space="preserve">. PARTIAL adds</w:t>
      </w:r>
      <w:r>
        <w:t xml:space="preserve"> </w:t>
      </w:r>
      <m:oMath>
        <m:r>
          <m:t>K</m:t>
        </m:r>
        <m:r>
          <m:rPr>
            <m:sty m:val="p"/>
          </m:rPr>
          <m:t>∈</m:t>
        </m:r>
        <m:r>
          <m:rPr>
            <m:sty m:val="p"/>
          </m:rPr>
          <m:t>{</m:t>
        </m:r>
        <m:r>
          <m:rPr>
            <m:sty m:val="p"/>
          </m:rPr>
          <m:t>⌊</m:t>
        </m:r>
        <m:sSub>
          <m:e>
            <m:r>
              <m:t>L</m:t>
            </m:r>
          </m:e>
          <m:sub>
            <m:r>
              <m:t>m</m:t>
            </m:r>
            <m:r>
              <m:rPr>
                <m:sty m:val="p"/>
              </m:rPr>
              <m:t>+</m:t>
            </m:r>
            <m:r>
              <m:t>1</m:t>
            </m:r>
          </m:sub>
        </m:sSub>
        <m:r>
          <m:rPr>
            <m:sty m:val="p"/>
          </m:rPr>
          <m:t>/</m:t>
        </m:r>
        <m:r>
          <m:t>4</m:t>
        </m:r>
        <m:r>
          <m:rPr>
            <m:sty m:val="p"/>
          </m:rPr>
          <m:t>⌋</m:t>
        </m:r>
        <m:r>
          <m:rPr>
            <m:sty m:val="p"/>
          </m:rPr>
          <m:t>,</m:t>
        </m:r>
        <m:r>
          <m:rPr>
            <m:sty m:val="p"/>
          </m:rPr>
          <m:t>⌊</m:t>
        </m:r>
        <m:sSub>
          <m:e>
            <m:r>
              <m:t>L</m:t>
            </m:r>
          </m:e>
          <m:sub>
            <m:r>
              <m:t>m</m:t>
            </m:r>
            <m:r>
              <m:rPr>
                <m:sty m:val="p"/>
              </m:rPr>
              <m:t>+</m:t>
            </m:r>
            <m:r>
              <m:t>1</m:t>
            </m:r>
          </m:sub>
        </m:sSub>
        <m:r>
          <m:rPr>
            <m:sty m:val="p"/>
          </m:rPr>
          <m:t>/</m:t>
        </m:r>
        <m:r>
          <m:t>2</m:t>
        </m:r>
        <m:r>
          <m:rPr>
            <m:sty m:val="p"/>
          </m:rPr>
          <m:t>⌋</m:t>
        </m:r>
        <m:r>
          <m:rPr>
            <m:sty m:val="p"/>
          </m:rPr>
          <m:t>,</m:t>
        </m:r>
        <m:r>
          <m:rPr>
            <m:sty m:val="p"/>
          </m:rPr>
          <m:t>⌊</m:t>
        </m:r>
        <m:r>
          <m:t>3</m:t>
        </m:r>
        <m:sSub>
          <m:e>
            <m:r>
              <m:t>L</m:t>
            </m:r>
          </m:e>
          <m:sub>
            <m:r>
              <m:t>m</m:t>
            </m:r>
            <m:r>
              <m:rPr>
                <m:sty m:val="p"/>
              </m:rPr>
              <m:t>+</m:t>
            </m:r>
            <m:r>
              <m:t>1</m:t>
            </m:r>
          </m:sub>
        </m:sSub>
        <m:r>
          <m:rPr>
            <m:sty m:val="p"/>
          </m:rPr>
          <m:t>/</m:t>
        </m:r>
        <m:r>
          <m:t>4</m:t>
        </m:r>
        <m:r>
          <m:rPr>
            <m:sty m:val="p"/>
          </m:rPr>
          <m:t>⌋</m:t>
        </m:r>
        <m:r>
          <m:rPr>
            <m:sty m:val="p"/>
          </m:rPr>
          <m:t>}</m:t>
        </m:r>
      </m:oMath>
      <w:r>
        <w:t xml:space="preserve"> </w:t>
      </w:r>
      <w:r>
        <w:t xml:space="preserve">for</w:t>
      </w:r>
      <w:r>
        <w:t xml:space="preserve"> </w:t>
      </w:r>
      <m:oMath>
        <m:r>
          <m:t>m</m:t>
        </m:r>
        <m:r>
          <m:rPr>
            <m:sty m:val="p"/>
          </m:rPr>
          <m:t>=</m:t>
        </m:r>
        <m:r>
          <m:t>4</m:t>
        </m:r>
        <m:r>
          <m:rPr>
            <m:sty m:val="p"/>
          </m:rPr>
          <m:t>,</m:t>
        </m:r>
        <m:r>
          <m:rPr>
            <m:sty m:val="p"/>
          </m:rPr>
          <m:t>…</m:t>
        </m:r>
        <m:r>
          <m:rPr>
            <m:sty m:val="p"/>
          </m:rPr>
          <m:t>,</m:t>
        </m:r>
        <m:r>
          <m:t>9</m:t>
        </m:r>
      </m:oMath>
      <w:r>
        <w:t xml:space="preserve">, giving 25 endpoints in total.</w:t>
      </w:r>
      <w:r>
        <w:t xml:space="preserve"> </w:t>
      </w:r>
      <m:oMath>
        <m:r>
          <m:rPr>
            <m:sty m:val="p"/>
          </m:rPr>
          <m:t>(</m:t>
        </m:r>
        <m:r>
          <m:t>10</m:t>
        </m:r>
        <m:r>
          <m:rPr>
            <m:sty m:val="p"/>
          </m:rPr>
          <m:t>,</m:t>
        </m:r>
        <m:r>
          <m:t>0</m:t>
        </m:r>
        <m:r>
          <m:rPr>
            <m:sty m:val="p"/>
          </m:rPr>
          <m:t>)</m:t>
        </m:r>
      </m:oMath>
      <w:r>
        <w:t xml:space="preserve"> </w:t>
      </w:r>
      <w:r>
        <w:t xml:space="preserve">is the full representation.</w:t>
      </w:r>
    </w:p>
    <w:p>
      <w:pPr>
        <w:pStyle w:val="FirstParagraph"/>
        <w:widowControl/>
      </w:pPr>
      <w:r>
        <w:t xml:space="preserve">For MCS</w:t>
      </w:r>
      <w:r>
        <w:t xml:space="preserve"> </w:t>
      </w:r>
      <m:oMath>
        <m:r>
          <m:t>a</m:t>
        </m:r>
        <m:r>
          <m:rPr>
            <m:sty m:val="p"/>
          </m:rPr>
          <m:t>=</m:t>
        </m:r>
        <m:r>
          <m:rPr>
            <m:sty m:val="p"/>
          </m:rPr>
          <m:t>(</m:t>
        </m:r>
        <m:r>
          <m:t>M</m:t>
        </m:r>
        <m:r>
          <m:rPr>
            <m:sty m:val="p"/>
          </m:rPr>
          <m:t>,</m:t>
        </m:r>
        <m:r>
          <m:t>r</m:t>
        </m:r>
        <m:r>
          <m:rPr>
            <m:sty m:val="p"/>
          </m:rPr>
          <m:t>)</m:t>
        </m:r>
      </m:oMath>
      <w:r>
        <w:t xml:space="preserve">, the coded body has</w:t>
      </w:r>
      <w:r>
        <w:t xml:space="preserve"> </w:t>
      </w:r>
      <m:oMath>
        <m:sSub>
          <m:e>
            <m:r>
              <m:t>n</m:t>
            </m:r>
          </m:e>
          <m:sub>
            <m:r>
              <m:t>a</m:t>
            </m:r>
          </m:sub>
        </m:sSub>
        <m:r>
          <m:rPr>
            <m:sty m:val="p"/>
          </m:rPr>
          <m:t>=</m:t>
        </m:r>
        <m:r>
          <m:rPr>
            <m:sty m:val="p"/>
          </m:rPr>
          <m:t>(</m:t>
        </m:r>
        <m:r>
          <m:t>N</m:t>
        </m:r>
        <m:r>
          <m:rPr>
            <m:sty m:val="p"/>
          </m:rPr>
          <m:t>−</m:t>
        </m:r>
        <m:r>
          <m:t>68</m:t>
        </m:r>
        <m:r>
          <m:rPr>
            <m:sty m:val="p"/>
          </m:rPr>
          <m:t>)</m:t>
        </m:r>
        <m:sSub>
          <m:e>
            <m:r>
              <m:rPr>
                <m:sty m:val="p"/>
              </m:rPr>
              <m:t>log</m:t>
            </m:r>
          </m:e>
          <m:sub>
            <m:r>
              <m:t>2</m:t>
            </m:r>
          </m:sub>
        </m:sSub>
        <m:r>
          <m:t>M</m:t>
        </m:r>
      </m:oMath>
      <w:r>
        <w:t xml:space="preserve"> </w:t>
      </w:r>
      <w:r>
        <w:t xml:space="preserve">bits and information length</w:t>
      </w:r>
      <w:r>
        <w:t xml:space="preserve"> </w:t>
      </w:r>
      <m:oMath>
        <m:sSub>
          <m:e>
            <m:r>
              <m:t>k</m:t>
            </m:r>
          </m:e>
          <m:sub>
            <m:r>
              <m:t>a</m:t>
            </m:r>
          </m:sub>
        </m:sSub>
        <m:r>
          <m:rPr>
            <m:sty m:val="p"/>
          </m:rPr>
          <m:t>=</m:t>
        </m:r>
        <m:r>
          <m:rPr>
            <m:sty m:val="p"/>
          </m:rPr>
          <m:t>⌊</m:t>
        </m:r>
        <m:r>
          <m:t>r</m:t>
        </m:r>
        <m:sSub>
          <m:e>
            <m:r>
              <m:t>n</m:t>
            </m:r>
          </m:e>
          <m:sub>
            <m:r>
              <m:t>a</m:t>
            </m:r>
          </m:sub>
        </m:sSub>
        <m:r>
          <m:rPr>
            <m:sty m:val="p"/>
          </m:rPr>
          <m:t>⌋</m:t>
        </m:r>
      </m:oMath>
      <w:r>
        <w:t xml:space="preserve">. With actual terminated arithmetic length</w:t>
      </w:r>
      <w:r>
        <w:t xml:space="preserve"> </w:t>
      </w:r>
      <m:oMath>
        <m:r>
          <m:t>b</m:t>
        </m:r>
        <m:r>
          <m:rPr>
            <m:sty m:val="p"/>
          </m:rPr>
          <m:t>(</m:t>
        </m:r>
        <m:r>
          <m:t>x</m:t>
        </m:r>
        <m:r>
          <m:rPr>
            <m:sty m:val="p"/>
          </m:rPr>
          <m:t>,</m:t>
        </m:r>
        <m:r>
          <m:t>e</m:t>
        </m:r>
        <m:r>
          <m:rPr>
            <m:sty m:val="p"/>
          </m:rPr>
          <m:t>)</m:t>
        </m:r>
      </m:oMath>
      <w:r>
        <w:t xml:space="preserve">,</w:t>
      </w:r>
    </w:p>
    <w:p>
      <w:pPr>
        <w:pStyle w:val="BodyText"/>
        <w:widowControl/>
      </w:pPr>
      <m:oMathPara>
        <m:oMathParaPr>
          <m:jc m:val="center"/>
        </m:oMathParaPr>
        <m:oMath>
          <m:r>
            <m:t>b</m:t>
          </m:r>
          <m:r>
            <m:rPr>
              <m:sty m:val="p"/>
            </m:rPr>
            <m:t>(</m:t>
          </m:r>
          <m:r>
            <m:t>x</m:t>
          </m:r>
          <m:r>
            <m:rPr>
              <m:sty m:val="p"/>
            </m:rPr>
            <m:t>,</m:t>
          </m:r>
          <m:r>
            <m:t>e</m:t>
          </m:r>
          <m:r>
            <m:rPr>
              <m:sty m:val="p"/>
            </m:rPr>
            <m:t>)</m:t>
          </m:r>
          <m:r>
            <m:rPr>
              <m:sty m:val="p"/>
            </m:rPr>
            <m:t>+</m:t>
          </m:r>
          <m:r>
            <m:t>29</m:t>
          </m:r>
          <m:r>
            <m:rPr>
              <m:sty m:val="p"/>
            </m:rPr>
            <m:t>≤</m:t>
          </m:r>
          <m:sSub>
            <m:e>
              <m:r>
                <m:t>k</m:t>
              </m:r>
            </m:e>
            <m:sub>
              <m:r>
                <m:t>a</m:t>
              </m:r>
            </m:sub>
          </m:sSub>
          <m:r>
            <m:rPr>
              <m:sty m:val="p"/>
            </m:rPr>
            <m:t>,</m:t>
          </m:r>
          <m:r>
            <m:t>  </m:t>
          </m:r>
          <m:r>
            <m:t>η</m:t>
          </m:r>
          <m:r>
            <m:rPr>
              <m:sty m:val="p"/>
            </m:rPr>
            <m:t>(</m:t>
          </m:r>
          <m:r>
            <m:t>x</m:t>
          </m:r>
          <m:r>
            <m:rPr>
              <m:sty m:val="p"/>
            </m:rPr>
            <m:t>,</m:t>
          </m:r>
          <m:r>
            <m:t>e</m:t>
          </m:r>
          <m:r>
            <m:rPr>
              <m:sty m:val="p"/>
            </m:rPr>
            <m:t>)</m:t>
          </m:r>
          <m:r>
            <m:rPr>
              <m:sty m:val="p"/>
            </m:rPr>
            <m:t>=</m:t>
          </m:r>
          <m:f>
            <m:fPr>
              <m:type m:val="bar"/>
            </m:fPr>
            <m:num>
              <m:r>
                <m:t>b</m:t>
              </m:r>
              <m:r>
                <m:rPr>
                  <m:sty m:val="p"/>
                </m:rPr>
                <m:t>(</m:t>
              </m:r>
              <m:r>
                <m:t>x</m:t>
              </m:r>
              <m:r>
                <m:rPr>
                  <m:sty m:val="p"/>
                </m:rPr>
                <m:t>,</m:t>
              </m:r>
              <m:r>
                <m:t>e</m:t>
              </m:r>
              <m:r>
                <m:rPr>
                  <m:sty m:val="p"/>
                </m:rPr>
                <m:t>)</m:t>
              </m:r>
            </m:num>
            <m:den>
              <m:sSub>
                <m:e>
                  <m:r>
                    <m:t>k</m:t>
                  </m:r>
                </m:e>
                <m:sub>
                  <m:r>
                    <m:t>a</m:t>
                  </m:r>
                </m:sub>
              </m:sSub>
              <m:r>
                <m:rPr>
                  <m:sty m:val="p"/>
                </m:rPr>
                <m:t>−</m:t>
              </m:r>
              <m:r>
                <m:t>29</m:t>
              </m:r>
            </m:den>
          </m:f>
          <m:r>
            <m:rPr>
              <m:sty m:val="p"/>
            </m:rPr>
            <m:t>.</m:t>
          </m:r>
          <m:r>
            <m:t>  </m:t>
          </m:r>
          <m:r>
            <m:rPr>
              <m:nor/>
            </m:rPr>
            <m:t>(4)</m:t>
          </m:r>
        </m:oMath>
      </m:oMathPara>
    </w:p>
    <w:p>
      <w:pPr>
        <w:pStyle w:val="FirstParagraph"/>
        <w:widowControl/>
      </w:pPr>
      <w:r>
        <w:t xml:space="preserve">The endpoint specifies retained source tokens; its actual terminated length determines frame feasibility. The 29 bits comprise the 13-bit length field and CRC16; unused information positions are zero-padded before 5G NR LDPC coding, rate matching [9], and QAM. Thus</w:t>
      </w:r>
      <w:r>
        <w:t xml:space="preserve"> </w:t>
      </w:r>
      <m:oMath>
        <m:r>
          <m:t>η</m:t>
        </m:r>
      </m:oMath>
      <w:r>
        <w:t xml:space="preserve"> </w:t>
      </w:r>
      <w:r>
        <w:t xml:space="preserve">measures source-bit capacity utilization, not total over-the-air efficiency.</w:t>
      </w:r>
    </w:p>
    <w:p>
      <w:pPr>
        <w:pStyle w:val="FirstParagraph"/>
        <w:widowControl/>
      </w:pPr>
      <w:r>
        <w:t xml:space="preserve">Offline calibration selects a target endpoint and MCS separately for each budget and SNR on an independent image set. It maximizes source/reconstruction DINOv2 cosine [10], averaged first over channel realizations and then equally over sources. The selected policy is frozen for testing; candidate pools and screening rules are given in the accompanying configuration material.</w:t>
      </w:r>
    </w:p>
    <w:p>
      <w:pPr>
        <w:pStyle w:val="BodyText"/>
        <w:widowControl/>
      </w:pPr>
      <w:r>
        <w:t xml:space="preserve">Online fitting fixes the selected MCS and searches legal endpoints no longer than the target, in decreasing token count down to</w:t>
      </w:r>
      <w:r>
        <w:t xml:space="preserve"> </w:t>
      </w:r>
      <m:oMath>
        <m:r>
          <m:rPr>
            <m:sty m:val="p"/>
          </m:rPr>
          <m:t>(</m:t>
        </m:r>
        <m:r>
          <m:t>4</m:t>
        </m:r>
        <m:r>
          <m:rPr>
            <m:sty m:val="p"/>
          </m:rPr>
          <m:t>,</m:t>
        </m:r>
        <m:r>
          <m:t>0</m:t>
        </m:r>
        <m:r>
          <m:rPr>
            <m:sty m:val="p"/>
          </m:rPr>
          <m:t>)</m:t>
        </m:r>
      </m:oMath>
      <w:r>
        <w:t xml:space="preserve">. TX sends the first independently terminated stream satisfying (4); the paid profile identifies the actual endpoint. Each candidate prefix is independently arithmetic-coded and terminated, rather than cut from a longer stream. This source-coding operation leaves the body-level acceptance rule unchanged. If no endpoint fits, the N512 protocol sends a paid NULL profile and short NULL payload through the complete frame, retaining a gray reconstruction in the denominator. The evaluated N1024 implementation instead raises an error; no evaluated N1024 source encountered this case.</w:t>
      </w:r>
    </w:p>
    <w:p>
      <w:pPr>
        <w:pStyle w:val="Heading2"/>
        <w:keepNext/>
        <w:widowControl/>
      </w:pPr>
      <w:bookmarkStart w:id="18" w:name="_6d3fad36ede4afb7de72e5486ee9d67f2d34b5a"/>
      <w:r>
        <w:t xml:space="preserve">C. Prefix-Constrained Reconstruction</w:t>
      </w:r>
      <w:bookmarkEnd w:id="18"/>
    </w:p>
    <w:p>
      <w:pPr>
        <w:pStyle w:val="FirstParagraph"/>
        <w:widowControl/>
      </w:pPr>
      <w:r>
        <w:t xml:space="preserve">Invalid profile CRC/catalogue, body CRC, declared length, known padding, or arithmetic parsing produces a fixed gray image; so does a valid N512 NULL reception. Otherwise, RX decodes the prefix using CDFs rebuilt from received complete coarse maps. It predicts the boundary map by VAR argmax conditioned on those maps, then applies known-token overwrite [7]:</w:t>
      </w:r>
    </w:p>
    <w:p>
      <w:pPr>
        <w:pStyle w:val="BodyText"/>
        <w:widowControl/>
      </w:pPr>
      <m:oMathPara>
        <m:oMathParaPr>
          <m:jc m:val="center"/>
        </m:oMathParaPr>
        <m:oMath>
          <m:sSub>
            <m:e>
              <m:acc>
                <m:accPr>
                  <m:chr m:val="̃"/>
                </m:accPr>
                <m:e>
                  <m:r>
                    <m:t>q</m:t>
                  </m:r>
                </m:e>
              </m:acc>
            </m:e>
            <m:sub>
              <m:r>
                <m:t>m</m:t>
              </m:r>
              <m:r>
                <m:rPr>
                  <m:sty m:val="p"/>
                </m:rPr>
                <m:t>+</m:t>
              </m:r>
              <m:r>
                <m:t>1</m:t>
              </m:r>
              <m:r>
                <m:rPr>
                  <m:sty m:val="p"/>
                </m:rPr>
                <m:t>,</m:t>
              </m:r>
              <m:r>
                <m:t>i</m:t>
              </m:r>
            </m:sub>
          </m:sSub>
          <m:r>
            <m:rPr>
              <m:sty m:val="p"/>
            </m:rPr>
            <m:t>=</m:t>
          </m:r>
          <m:d>
            <m:dPr>
              <m:begChr m:val="{"/>
              <m:sepChr m:val=""/>
              <m:endChr m:val=""/>
              <m:grow/>
            </m:dPr>
            <m:e>
              <m:m>
                <m:mPr>
                  <m:baseJc m:val="center"/>
                  <m:plcHide m:val="on"/>
                  <m:mcs>
                    <m:mc>
                      <m:mcPr>
                        <m:count m:val="1"/>
                        <m:mcJc m:val="left"/>
                      </m:mcPr>
                    </m:mc>
                    <m:mc>
                      <m:mcPr>
                        <m:count m:val="1"/>
                        <m:mcJc m:val="left"/>
                      </m:mcPr>
                    </m:mc>
                  </m:mcs>
                </m:mPr>
                <m:mr>
                  <m:e>
                    <m:sSub>
                      <m:e>
                        <m:acc>
                          <m:accPr>
                            <m:chr m:val="̂"/>
                          </m:accPr>
                          <m:e>
                            <m:r>
                              <m:t>q</m:t>
                            </m:r>
                          </m:e>
                        </m:acc>
                      </m:e>
                      <m:sub>
                        <m:r>
                          <m:t>m</m:t>
                        </m:r>
                        <m:r>
                          <m:rPr>
                            <m:sty m:val="p"/>
                          </m:rPr>
                          <m:t>+</m:t>
                        </m:r>
                        <m:r>
                          <m:t>1</m:t>
                        </m:r>
                        <m:r>
                          <m:rPr>
                            <m:sty m:val="p"/>
                          </m:rPr>
                          <m:t>,</m:t>
                        </m:r>
                        <m:r>
                          <m:t>i</m:t>
                        </m:r>
                      </m:sub>
                    </m:sSub>
                    <m:r>
                      <m:rPr>
                        <m:sty m:val="p"/>
                      </m:rPr>
                      <m:t>,</m:t>
                    </m:r>
                  </m:e>
                  <m:e>
                    <m:r>
                      <m:t>i</m:t>
                    </m:r>
                    <m:r>
                      <m:rPr>
                        <m:sty m:val="p"/>
                      </m:rPr>
                      <m:t>≤</m:t>
                    </m:r>
                    <m:r>
                      <m:t>K</m:t>
                    </m:r>
                    <m:r>
                      <m:rPr>
                        <m:sty m:val="p"/>
                      </m:rPr>
                      <m:t>,</m:t>
                    </m:r>
                  </m:e>
                </m:mr>
                <m:mr>
                  <m:e>
                    <m:sSubSup>
                      <m:e>
                        <m:r>
                          <m:t>q</m:t>
                        </m:r>
                      </m:e>
                      <m:sub>
                        <m:r>
                          <m:t>m</m:t>
                        </m:r>
                        <m:r>
                          <m:rPr>
                            <m:sty m:val="p"/>
                          </m:rPr>
                          <m:t>+</m:t>
                        </m:r>
                        <m:r>
                          <m:t>1</m:t>
                        </m:r>
                        <m:r>
                          <m:rPr>
                            <m:sty m:val="p"/>
                          </m:rPr>
                          <m:t>,</m:t>
                        </m:r>
                        <m:r>
                          <m:t>i</m:t>
                        </m:r>
                      </m:sub>
                      <m:sup>
                        <m:r>
                          <m:rPr>
                            <m:sty m:val="p"/>
                          </m:rPr>
                          <m:t>p</m:t>
                        </m:r>
                        <m:r>
                          <m:rPr>
                            <m:sty m:val="p"/>
                          </m:rPr>
                          <m:t>r</m:t>
                        </m:r>
                        <m:r>
                          <m:rPr>
                            <m:sty m:val="p"/>
                          </m:rPr>
                          <m:t>e</m:t>
                        </m:r>
                        <m:r>
                          <m:rPr>
                            <m:sty m:val="p"/>
                          </m:rPr>
                          <m:t>d</m:t>
                        </m:r>
                      </m:sup>
                    </m:sSubSup>
                    <m:r>
                      <m:rPr>
                        <m:sty m:val="p"/>
                      </m:rPr>
                      <m:t>,</m:t>
                    </m:r>
                  </m:e>
                  <m:e>
                    <m:r>
                      <m:t>i</m:t>
                    </m:r>
                    <m:r>
                      <m:rPr>
                        <m:sty m:val="p"/>
                      </m:rPr>
                      <m:t>&gt;</m:t>
                    </m:r>
                    <m:r>
                      <m:t>K</m:t>
                    </m:r>
                    <m:r>
                      <m:rPr>
                        <m:sty m:val="p"/>
                      </m:rPr>
                      <m:t>.</m:t>
                    </m:r>
                  </m:e>
                </m:mr>
              </m:m>
            </m:e>
          </m:d>
          <m:r>
            <m:t>  </m:t>
          </m:r>
          <m:r>
            <m:rPr>
              <m:nor/>
            </m:rPr>
            <m:t>(5)</m:t>
          </m:r>
        </m:oMath>
      </m:oMathPara>
    </w:p>
    <w:p>
      <w:pPr>
        <w:pStyle w:val="FirstParagraph"/>
        <w:widowControl/>
      </w:pPr>
      <w:r>
        <w:t xml:space="preserve">Unreceived boundary positions retain their coarse-conditioned prediction. Received boundary tokens serve two roles: they correct the residual representation and, through the merged boundary map, condition the prediction of finer scales. Complete received maps remain unchanged; subsequent maps are generated from this updated context. Reconstruction is</w:t>
      </w:r>
    </w:p>
    <w:p>
      <w:pPr>
        <w:pStyle w:val="BodyText"/>
        <w:widowControl/>
      </w:pPr>
      <m:oMathPara>
        <m:oMathParaPr>
          <m:jc m:val="center"/>
        </m:oMathParaPr>
        <m:oMath>
          <m:acc>
            <m:accPr>
              <m:chr m:val="̂"/>
            </m:accPr>
            <m:e>
              <m:r>
                <m:t>x</m:t>
              </m:r>
            </m:e>
          </m:acc>
          <m:r>
            <m:rPr>
              <m:sty m:val="p"/>
            </m:rPr>
            <m:t>=</m:t>
          </m:r>
          <m:sSub>
            <m:e>
              <m:r>
                <m:t>D</m:t>
              </m:r>
            </m:e>
            <m:sub>
              <m:r>
                <m:t>c</m:t>
              </m:r>
            </m:sub>
          </m:sSub>
          <m:r>
            <m:t>​</m:t>
          </m:r>
          <m:d>
            <m:dPr>
              <m:begChr m:val="("/>
              <m:sepChr m:val=""/>
              <m:endChr m:val=")"/>
              <m:grow/>
            </m:dPr>
            <m:e>
              <m:nary>
                <m:naryPr>
                  <m:chr m:val="∑"/>
                  <m:limLoc m:val="undOvr"/>
                  <m:subHide m:val="off"/>
                  <m:supHide m:val="off"/>
                </m:naryPr>
                <m:sub>
                  <m:r>
                    <m:t>s</m:t>
                  </m:r>
                  <m:r>
                    <m:rPr>
                      <m:sty m:val="p"/>
                    </m:rPr>
                    <m:t>=</m:t>
                  </m:r>
                  <m:r>
                    <m:t>1</m:t>
                  </m:r>
                </m:sub>
                <m:sup>
                  <m:r>
                    <m:t>10</m:t>
                  </m:r>
                </m:sup>
                <m:e>
                  <m:sSub>
                    <m:e>
                      <m:r>
                        <m:t>C</m:t>
                      </m:r>
                    </m:e>
                    <m:sub>
                      <m:r>
                        <m:t>s</m:t>
                      </m:r>
                    </m:sub>
                  </m:sSub>
                </m:e>
              </m:nary>
              <m:r>
                <m:rPr>
                  <m:sty m:val="p"/>
                </m:rPr>
                <m:t>(</m:t>
              </m:r>
              <m:sSub>
                <m:e>
                  <m:acc>
                    <m:accPr>
                      <m:chr m:val="̃"/>
                    </m:accPr>
                    <m:e>
                      <m:r>
                        <m:t>q</m:t>
                      </m:r>
                    </m:e>
                  </m:acc>
                </m:e>
                <m:sub>
                  <m:r>
                    <m:t>s</m:t>
                  </m:r>
                </m:sub>
              </m:sSub>
              <m:r>
                <m:rPr>
                  <m:sty m:val="p"/>
                </m:rPr>
                <m:t>)</m:t>
              </m:r>
            </m:e>
          </m:d>
          <m:r>
            <m:rPr>
              <m:sty m:val="p"/>
            </m:rPr>
            <m:t>.</m:t>
          </m:r>
          <m:r>
            <m:t>  </m:t>
          </m:r>
          <m:r>
            <m:rPr>
              <m:nor/>
            </m:rPr>
            <m:t>(6)</m:t>
          </m:r>
        </m:oMath>
      </m:oMathPara>
    </w:p>
    <w:p>
      <w:pPr>
        <w:pStyle w:val="FirstParagraph"/>
        <w:widowControl/>
      </w:pPr>
      <w:r>
        <w:t xml:space="preserve">At the final scale, overwrite changes the residual contribution without any subsequent propagation.</w:t>
      </w:r>
    </w:p>
    <w:p>
      <w:pPr>
        <w:pStyle w:val="Heading1"/>
        <w:keepNext/>
        <w:widowControl/>
      </w:pPr>
      <w:bookmarkStart w:id="19" w:name="_41c35ed3911e5db39285b7da60849ec75420918"/>
      <w:r>
        <w:t xml:space="preserve">III. Experimental Results</w:t>
      </w:r>
      <w:bookmarkEnd w:id="19"/>
    </w:p>
    <w:bookmarkStart w:id="23" w:name="_7199bb3582391dcba2d1626875e0b3912dd1905"/>
    <w:p>
      <w:pPr>
        <w:pStyle w:val="CaptionedFigure"/>
        <w:keepNext/>
        <w:widowControl/>
      </w:pPr>
      <w:r>
        <w:drawing>
          <wp:inline>
            <wp:extent cx="5943600" cy="1992268"/>
            <wp:effectExtent b="0" l="0" r="0" t="0"/>
            <wp:docPr descr="" title="" id="21" name="Picture"/>
            <a:graphic>
              <a:graphicData uri="http://schemas.openxmlformats.org/drawingml/2006/picture">
                <pic:pic>
                  <pic:nvPicPr>
                    <pic:cNvPr descr="C:/Users/11946/Documents/ChatGPT/comm/.research/nestcom_focused_20261029_v2/word_work/build_final2/figure2.png" id="22" name="Picture"/>
                    <pic:cNvPicPr>
                      <a:picLocks noChangeArrowheads="1" noChangeAspect="1"/>
                    </pic:cNvPicPr>
                  </pic:nvPicPr>
                  <pic:blipFill>
                    <a:blip r:embed="rId20"/>
                    <a:stretch>
                      <a:fillRect/>
                    </a:stretch>
                  </pic:blipFill>
                  <pic:spPr bwMode="auto">
                    <a:xfrm>
                      <a:off x="0" y="0"/>
                      <a:ext cx="5943600" cy="1992268"/>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2. Performance on 500 ImageNet validation images at</w:t>
      </w:r>
      <w:r>
        <w:rPr>
          <w:b w:val="0"/>
          <w:sz w:val="20"/>
        </w:rPr>
        <w:t xml:space="preserve"> </w:t>
      </w:r>
      <m:oMath>
        <m:r>
          <m:t>N</m:t>
        </m:r>
        <m:r>
          <m:rPr>
            <m:sty m:val="p"/>
          </m:rPr>
          <m:t>=</m:t>
        </m:r>
        <m:r>
          <m:t>1024</m:t>
        </m:r>
      </m:oMath>
      <w:r>
        <w:rPr>
          <w:b w:val="0"/>
          <w:sz w:val="20"/>
        </w:rPr>
        <w:t xml:space="preserve">. Error bars show 95% source-bootstrap confidence intervals. Ada denotes the fixed-frame adaptation.</w:t>
      </w:r>
    </w:p>
    <w:bookmarkEnd w:id="23"/>
    <w:p>
      <w:pPr>
        <w:pStyle w:val="Heading2"/>
        <w:keepNext/>
        <w:widowControl/>
      </w:pPr>
      <w:bookmarkStart w:id="24" w:name="_afaa14f53b60a5196fde193733884f615efc726"/>
      <w:r>
        <w:t xml:space="preserve">A. Experimental Setup</w:t>
      </w:r>
      <w:bookmarkEnd w:id="24"/>
    </w:p>
    <w:p>
      <w:pPr>
        <w:pStyle w:val="FirstParagraph"/>
        <w:widowControl/>
      </w:pPr>
      <w:r>
        <w:t xml:space="preserve">We use common500 ImageNet validation images [11], a disjoint cal1000 set, and Kodak24 [12], with fixed</w:t>
      </w:r>
      <w:r>
        <w:t xml:space="preserve"> </w:t>
      </w:r>
      <m:oMath>
        <m:r>
          <m:t>256</m:t>
        </m:r>
        <m:r>
          <m:rPr>
            <m:sty m:val="p"/>
          </m:rPr>
          <m:t>×</m:t>
        </m:r>
        <m:r>
          <m:t>256</m:t>
        </m:r>
      </m:oMath>
      <w:r>
        <w:t xml:space="preserve"> </w:t>
      </w:r>
      <w:r>
        <w:t xml:space="preserve">preprocessing. ImageNet-calibrated policies remain fixed on Kodak. The six-system main study uses</w:t>
      </w:r>
      <w:r>
        <w:t xml:space="preserve"> </w:t>
      </w:r>
      <m:oMath>
        <m:r>
          <m:t>N</m:t>
        </m:r>
        <m:r>
          <m:rPr>
            <m:sty m:val="p"/>
          </m:rPr>
          <m:t>=</m:t>
        </m:r>
        <m:r>
          <m:t>1024</m:t>
        </m:r>
      </m:oMath>
      <w:r>
        <w:t xml:space="preserve">; NeST, WHOLE, and Ada also use</w:t>
      </w:r>
      <w:r>
        <w:t xml:space="preserve"> </w:t>
      </w:r>
      <m:oMath>
        <m:r>
          <m:t>N</m:t>
        </m:r>
        <m:r>
          <m:rPr>
            <m:sty m:val="p"/>
          </m:rPr>
          <m:t>=</m:t>
        </m:r>
        <m:r>
          <m:t>512</m:t>
        </m:r>
      </m:oMath>
      <w:r>
        <w:t xml:space="preserve">, each independently calibrated at 4/10/19 dB.</w:t>
      </w:r>
    </w:p>
    <w:p>
      <w:pPr>
        <w:pStyle w:val="BodyText"/>
        <w:widowControl/>
      </w:pPr>
      <w:r>
        <w:t xml:space="preserve">Our convolutional Latent JSCC maps tokenizer latents to symbols and shares</w:t>
      </w:r>
      <w:r>
        <w:t xml:space="preserve"> </w:t>
      </w:r>
      <m:oMath>
        <m:sSub>
          <m:e>
            <m:r>
              <m:t>D</m:t>
            </m:r>
          </m:e>
          <m:sub>
            <m:r>
              <m:t>c</m:t>
            </m:r>
          </m:sub>
        </m:sSub>
      </m:oMath>
      <w:r>
        <w:t xml:space="preserve">, using MSE, LPIPS, and latent-consistency losses. It and SwinJSCC [2], adapted to</w:t>
      </w:r>
      <w:r>
        <w:t xml:space="preserve"> </w:t>
      </w:r>
      <m:oMath>
        <m:r>
          <m:t>256</m:t>
        </m:r>
        <m:r>
          <m:rPr>
            <m:sty m:val="p"/>
          </m:rPr>
          <m:t>×</m:t>
        </m:r>
        <m:r>
          <m:t>256</m:t>
        </m:r>
      </m:oMath>
      <w:r>
        <w:t xml:space="preserve"> </w:t>
      </w:r>
      <w:r>
        <w:t xml:space="preserve">and</w:t>
      </w:r>
      <w:r>
        <w:t xml:space="preserve"> </w:t>
      </w:r>
      <m:oMath>
        <m:r>
          <m:t>N</m:t>
        </m:r>
        <m:r>
          <m:rPr>
            <m:sty m:val="p"/>
          </m:rPr>
          <m:t>=</m:t>
        </m:r>
        <m:r>
          <m:t>1024</m:t>
        </m:r>
      </m:oMath>
      <w:r>
        <w:t xml:space="preserve">, use the same 20 000 training images and final 100k/200k-update checkpoints. Digital baselines are adaptive BPG [13] + LDPC, ARPC [6] + LDPC with paid captions, and Ada-TokenCom [4] adapted to the same fixed single-frame budget. Ada retains LlamaGen-L/VQ16 and prefix arithmetic coding, with a fixed ConvNeXt predicting a paid 10-bit class. Its sampled tail uses CFG=4,</w:t>
      </w:r>
      <w:r>
        <w:t xml:space="preserve"> </w:t>
      </w:r>
      <m:oMath>
        <m:r>
          <m:t>T</m:t>
        </m:r>
        <m:r>
          <m:rPr>
            <m:sty m:val="p"/>
          </m:rPr>
          <m:t>=</m:t>
        </m:r>
        <m:r>
          <m:t>1</m:t>
        </m:r>
      </m:oMath>
      <w:r>
        <w:t xml:space="preserve">, top-</w:t>
      </w:r>
      <m:oMath>
        <m:r>
          <m:t>k</m:t>
        </m:r>
        <m:r>
          <m:rPr>
            <m:sty m:val="p"/>
          </m:rPr>
          <m:t>=</m:t>
        </m:r>
        <m:r>
          <m:t>2000</m:t>
        </m:r>
      </m:oMath>
      <w:r>
        <w:t xml:space="preserve">, and top-</w:t>
      </w:r>
      <m:oMath>
        <m:r>
          <m:t>p</m:t>
        </m:r>
        <m:r>
          <m:rPr>
            <m:sty m:val="p"/>
          </m:rPr>
          <m:t>=</m:t>
        </m:r>
        <m:r>
          <m:t>1</m:t>
        </m:r>
      </m:oMath>
      <w:r>
        <w:t xml:space="preserve">. Full configurations and training records accompany this letter.</w:t>
      </w:r>
    </w:p>
    <w:p>
      <w:pPr>
        <w:pStyle w:val="BodyText"/>
        <w:widowControl/>
      </w:pPr>
      <w:r>
        <w:t xml:space="preserve">Metrics are PSNR, LPIPS-Alex [14], DreamSim [15], and CLIP ViT-L/14 image–image cosine (CLIP-I) [16]. Frozen FP32 preprocessing uses</w:t>
      </w:r>
      <w:r>
        <w:t xml:space="preserve"> </w:t>
      </w:r>
      <m:oMath>
        <m:r>
          <m:t>224</m:t>
        </m:r>
        <m:r>
          <m:rPr>
            <m:sty m:val="p"/>
          </m:rPr>
          <m:t>×</m:t>
        </m:r>
        <m:r>
          <m:t>224</m:t>
        </m:r>
      </m:oMath>
      <w:r>
        <w:t xml:space="preserve"> </w:t>
      </w:r>
      <w:r>
        <w:t xml:space="preserve">bicubic-antialias inputs for DreamSim/CLIP. Three channel outcomes per image, including the gray outputs defined in Sec. II-C, are averaged before equal-source means and direct source-paired 95% bootstrap intervals (10 000 resamples). Endpoint, receiver, and decoding controls use a fixed 100-image subset. Complete four-metric diagnostics and statistical identities are provided in the supplementary material.</w:t>
      </w:r>
    </w:p>
    <w:p>
      <w:pPr>
        <w:pStyle w:val="Heading2"/>
        <w:keepNext/>
        <w:widowControl/>
      </w:pPr>
      <w:bookmarkStart w:id="25" w:name="_de75f44b6fd80f3b550c4aa6857bb8819459c65"/>
      <w:r>
        <w:t xml:space="preserve">B. Effect of Within-Scale Endpoints</w:t>
      </w:r>
      <w:bookmarkEnd w:id="25"/>
    </w:p>
    <w:bookmarkStart w:id="26" w:name="_df93b1f2295ee29b06ebf21783164d53646b874"/>
    <w:p>
      <w:pPr>
        <w:pStyle w:val="Caption"/>
        <w:keepNext/>
        <w:keepLines/>
        <w:widowControl/>
        <w:spacing w:line="276" w:lineRule="auto"/>
      </w:pPr>
      <w:r>
        <w:rPr>
          <w:b w:val="0"/>
          <w:sz w:val="20"/>
        </w:rPr>
        <w:t xml:space="preserve">Table I. Within-scale endpoint and receiver evidence. (A) Main family-specific policies, PARTIAL minus WHOLE. (B) Fixed 100-source model/MCS/maximum-endpoint control. (C) Ordered interventions on the same 100 sources and actual prefixes. Brackets give source-paired 95% CIs.</w:t>
      </w:r>
    </w:p>
    <w:tbl>
      <w:tblPr>
        <w:tblStyle w:val="Table"/>
        <w:tblW w:type="auto" w:w="0"/>
        <w:tblLayout w:type="fixed"/>
        <w:tblLook w:firstRow="0" w:lastRow="0" w:firstColumn="0" w:lastColumn="0" w:noHBand="0" w:noVBand="0" w:val="0000"/>
        <w:tblCaption w:val="Table I. Within-scale endpoint and receiver evidence. (A) Main family-specific policies, PARTIAL minus WHOLE. (B) Fixed 100-source model/MCS/maximum-endpoint control. (C) Ordered interventions on the same 100 sources and actual prefixes. Brackets give source-paired 95% CIs."/>
        <w:tblBorders>
          <w:top w:val="single" w:sz="6" w:color="000000"/>
          <w:bottom w:val="single" w:sz="6" w:color="000000"/>
        </w:tblBorders>
      </w:tblPr>
      <w:tblGrid>
        <w:gridCol w:w="2160"/>
        <w:gridCol w:w="3600"/>
        <w:gridCol w:w="3600"/>
      </w:tblGrid>
      <w:tr>
        <w:tc>
          <w:tcPr>
            <w:tcW w:type="dxa" w:w="3600"/>
            <w:gridSpan w:val="3"/>
          </w:tcPr>
          <w:p>
            <w:pPr>
              <w:pStyle w:val="Compact"/>
              <w:keepNext/>
              <w:spacing w:line="252" w:lineRule="auto"/>
              <w:jc w:val="left"/>
            </w:pPr>
            <w:r>
              <w:rPr>
                <w:rFonts w:ascii="Times New Roman" w:hAnsi="Times New Roman"/>
                <w:b/>
                <w:sz w:val="20"/>
              </w:rPr>
              <w:t xml:space="preserve">(A) Main policies at</w:t>
            </w:r>
            <w:r>
              <w:rPr>
                <w:rFonts w:ascii="Times New Roman" w:hAnsi="Times New Roman"/>
                <w:b/>
                <w:sz w:val="20"/>
              </w:rPr>
              <w:t xml:space="preserve"> </w:t>
            </w:r>
            <m:oMath>
              <m:r>
                <m:t>N</m:t>
                <w:rPr>
                  <w:sz w:val="20"/>
                </w:rPr>
              </m:r>
              <m:r>
                <m:rPr>
                  <m:sty m:val="p"/>
                </m:rPr>
                <m:t>=</m:t>
                <w:rPr>
                  <w:sz w:val="20"/>
                </w:rPr>
              </m:r>
              <m:r>
                <m:t>1024</m:t>
                <w:rPr>
                  <w:sz w:val="20"/>
                </w:rPr>
              </m:r>
            </m:oMath>
          </w:p>
        </w:tc>
      </w:tr>
      <w:tr>
        <w:tc>
          <w:tcPr>
            <w:tcW w:type="dxa" w:w="2160"/>
          </w:tcPr>
          <w:p>
            <w:pPr>
              <w:pStyle w:val="Compact"/>
              <w:keepNext/>
              <w:spacing w:line="252" w:lineRule="auto"/>
              <w:jc w:val="center"/>
            </w:pPr>
            <w:r>
              <w:rPr>
                <w:rFonts w:ascii="Times New Roman" w:hAnsi="Times New Roman"/>
                <w:sz w:val="20"/>
              </w:rPr>
              <w:t xml:space="preserve">SNR</w:t>
            </w:r>
          </w:p>
        </w:tc>
        <w:tc>
          <w:tcPr>
            <w:tcW w:type="dxa" w:w="3600"/>
          </w:tcPr>
          <w:p>
            <w:pPr>
              <w:pStyle w:val="Compact"/>
              <w:keepNext/>
              <w:spacing w:line="252" w:lineRule="auto"/>
              <w:jc w:val="center"/>
            </w:pPr>
            <w:r>
              <w:rPr>
                <w:rFonts w:ascii="Times New Roman" w:hAnsi="Times New Roman"/>
                <w:sz w:val="20"/>
              </w:rPr>
              <w:t xml:space="preserve">Util. W</w:t>
            </w:r>
            <m:oMath>
              <m:r>
                <m:rPr>
                  <m:sty m:val="p"/>
                </m:rPr>
                <m:t>→</m:t>
                <w:rPr>
                  <w:sz w:val="20"/>
                </w:rPr>
              </m:r>
            </m:oMath>
            <w:r>
              <w:rPr>
                <w:rFonts w:ascii="Times New Roman" w:hAnsi="Times New Roman"/>
                <w:sz w:val="20"/>
              </w:rPr>
              <w:t xml:space="preserve">P (%)</w:t>
            </w:r>
          </w:p>
        </w:tc>
        <w:tc>
          <w:tcPr>
            <w:tcW w:type="dxa" w:w="3600"/>
          </w:tcPr>
          <w:p>
            <w:pPr>
              <w:pStyle w:val="Compact"/>
              <w:keepNext/>
              <w:spacing w:line="252" w:lineRule="auto"/>
              <w:jc w:val="center"/>
            </w:pPr>
            <m:oMath>
              <m:r>
                <m:rPr>
                  <m:sty m:val="p"/>
                </m:rPr>
                <m:t>Δ</m:t>
                <w:rPr>
                  <w:sz w:val="20"/>
                </w:rPr>
              </m:r>
            </m:oMath>
            <w:r>
              <w:rPr>
                <w:rFonts w:ascii="Times New Roman" w:hAnsi="Times New Roman"/>
                <w:sz w:val="20"/>
              </w:rPr>
              <w:t xml:space="preserve">PSNR (dB) [95% CI]</w:t>
            </w:r>
          </w:p>
        </w:tc>
      </w:tr>
      <w:tr>
        <w:tc>
          <w:tcPr>
            <w:tcW w:type="dxa" w:w="3600"/>
            <w:gridSpan w:val="3"/>
          </w:tcPr>
          <w:p>
            <w:pPr>
              <w:pStyle w:val="Compact"/>
              <w:keepNext/>
              <w:spacing w:line="252" w:lineRule="auto"/>
              <w:jc w:val="left"/>
            </w:pPr>
            <w:r>
              <w:rPr>
                <w:rFonts w:ascii="Times New Roman" w:hAnsi="Times New Roman"/>
                <w:sz w:val="20"/>
              </w:rPr>
              <w:t xml:space="preserve">common500</w:t>
            </w:r>
          </w:p>
        </w:tc>
      </w:tr>
      <w:tr>
        <w:tc>
          <w:tcPr>
            <w:tcW w:type="dxa" w:w="2160"/>
          </w:tcPr>
          <w:p>
            <w:pPr>
              <w:pStyle w:val="Compact"/>
              <w:keepNext/>
              <w:spacing w:line="252" w:lineRule="auto"/>
              <w:jc w:val="center"/>
            </w:pPr>
            <w:r>
              <w:rPr>
                <w:rFonts w:ascii="Times New Roman" w:hAnsi="Times New Roman"/>
                <w:sz w:val="20"/>
              </w:rPr>
              <w:t xml:space="preserve">4</w:t>
            </w:r>
          </w:p>
        </w:tc>
        <w:tc>
          <w:tcPr>
            <w:tcW w:type="dxa" w:w="3600"/>
          </w:tcPr>
          <w:p>
            <w:pPr>
              <w:pStyle w:val="Compact"/>
              <w:keepNext/>
              <w:spacing w:line="252" w:lineRule="auto"/>
              <w:jc w:val="center"/>
            </w:pPr>
            <w:r>
              <w:rPr>
                <w:rFonts w:ascii="Times New Roman" w:hAnsi="Times New Roman"/>
                <w:sz w:val="20"/>
              </w:rPr>
              <w:t xml:space="preserve">73.81</w:t>
            </w:r>
            <w:r>
              <w:rPr>
                <w:rFonts w:ascii="Times New Roman" w:hAnsi="Times New Roman"/>
                <w:sz w:val="20"/>
              </w:rPr>
              <w:t xml:space="preserve"> </w:t>
            </w:r>
            <m:oMath>
              <m:r>
                <m:rPr>
                  <m:sty m:val="p"/>
                </m:rPr>
                <m:t>→</m:t>
                <w:rPr>
                  <w:sz w:val="20"/>
                </w:rPr>
              </m:r>
            </m:oMath>
            <w:r>
              <w:rPr>
                <w:rFonts w:ascii="Times New Roman" w:hAnsi="Times New Roman"/>
                <w:sz w:val="20"/>
              </w:rPr>
              <w:t xml:space="preserve"> </w:t>
            </w:r>
            <w:r>
              <w:rPr>
                <w:rFonts w:ascii="Times New Roman" w:hAnsi="Times New Roman"/>
                <w:sz w:val="20"/>
              </w:rPr>
              <w:t xml:space="preserve">93.08</w:t>
            </w:r>
          </w:p>
        </w:tc>
        <w:tc>
          <w:tcPr>
            <w:tcW w:type="dxa" w:w="3600"/>
          </w:tcPr>
          <w:p>
            <w:pPr>
              <w:pStyle w:val="Compact"/>
              <w:keepNext/>
              <w:spacing w:line="252" w:lineRule="auto"/>
              <w:jc w:val="center"/>
            </w:pPr>
            <m:oMath>
              <m:r>
                <m:rPr>
                  <m:sty m:val="p"/>
                </m:rPr>
                <m:t>+</m:t>
                <w:rPr>
                  <w:sz w:val="20"/>
                </w:rPr>
              </m:r>
              <m:r>
                <m:t>0.616</m:t>
                <w:rPr>
                  <w:sz w:val="20"/>
                </w:rPr>
              </m:r>
              <m:r>
                <m:t> </m:t>
                <w:rPr>
                  <w:sz w:val="20"/>
                </w:rPr>
              </m:r>
              <m:r>
                <m:rPr>
                  <m:sty m:val="p"/>
                </m:rPr>
                <m:t>[</m:t>
                <w:rPr>
                  <w:sz w:val="20"/>
                </w:rPr>
              </m:r>
              <m:r>
                <m:t>0.564</m:t>
                <w:rPr>
                  <w:sz w:val="20"/>
                </w:rPr>
              </m:r>
              <m:r>
                <m:rPr>
                  <m:sty m:val="p"/>
                </m:rPr>
                <m:t>,</m:t>
                <w:rPr>
                  <w:sz w:val="20"/>
                </w:rPr>
              </m:r>
              <m:r>
                <m:t>0.673</m:t>
                <w:rPr>
                  <w:sz w:val="20"/>
                </w:rPr>
              </m:r>
              <m:r>
                <m:rPr>
                  <m:sty m:val="p"/>
                </m:rPr>
                <m:t>]</m:t>
                <w:rPr>
                  <w:sz w:val="20"/>
                </w:rPr>
              </m:r>
            </m:oMath>
            <w:r>
              <w:rPr>
                <w:rFonts w:ascii="Times New Roman" w:hAnsi="Times New Roman"/>
                <w:sz w:val="20"/>
              </w:rPr>
              <w:t xml:space="preserve">​</w:t>
            </w:r>
          </w:p>
        </w:tc>
      </w:tr>
      <w:tr>
        <w:tc>
          <w:tcPr>
            <w:tcW w:type="dxa" w:w="2160"/>
          </w:tcPr>
          <w:p>
            <w:pPr>
              <w:pStyle w:val="Compact"/>
              <w:keepNext/>
              <w:spacing w:line="252" w:lineRule="auto"/>
              <w:jc w:val="center"/>
            </w:pPr>
            <w:r>
              <w:rPr>
                <w:rFonts w:ascii="Times New Roman" w:hAnsi="Times New Roman"/>
                <w:sz w:val="20"/>
              </w:rPr>
              <w:t xml:space="preserve">10</w:t>
            </w:r>
          </w:p>
        </w:tc>
        <w:tc>
          <w:tcPr>
            <w:tcW w:type="dxa" w:w="3600"/>
          </w:tcPr>
          <w:p>
            <w:pPr>
              <w:pStyle w:val="Compact"/>
              <w:keepNext/>
              <w:spacing w:line="252" w:lineRule="auto"/>
              <w:jc w:val="center"/>
            </w:pPr>
            <w:r>
              <w:rPr>
                <w:rFonts w:ascii="Times New Roman" w:hAnsi="Times New Roman"/>
                <w:sz w:val="20"/>
              </w:rPr>
              <w:t xml:space="preserve">77.70</w:t>
            </w:r>
            <w:r>
              <w:rPr>
                <w:rFonts w:ascii="Times New Roman" w:hAnsi="Times New Roman"/>
                <w:sz w:val="20"/>
              </w:rPr>
              <w:t xml:space="preserve"> </w:t>
            </w:r>
            <m:oMath>
              <m:r>
                <m:rPr>
                  <m:sty m:val="p"/>
                </m:rPr>
                <m:t>→</m:t>
                <w:rPr>
                  <w:sz w:val="20"/>
                </w:rPr>
              </m:r>
            </m:oMath>
            <w:r>
              <w:rPr>
                <w:rFonts w:ascii="Times New Roman" w:hAnsi="Times New Roman"/>
                <w:sz w:val="20"/>
              </w:rPr>
              <w:t xml:space="preserve"> </w:t>
            </w:r>
            <w:r>
              <w:rPr>
                <w:rFonts w:ascii="Times New Roman" w:hAnsi="Times New Roman"/>
                <w:sz w:val="20"/>
              </w:rPr>
              <w:t xml:space="preserve">95.21</w:t>
            </w:r>
          </w:p>
        </w:tc>
        <w:tc>
          <w:tcPr>
            <w:tcW w:type="dxa" w:w="3600"/>
          </w:tcPr>
          <w:p>
            <w:pPr>
              <w:pStyle w:val="Compact"/>
              <w:keepNext/>
              <w:spacing w:line="252" w:lineRule="auto"/>
              <w:jc w:val="center"/>
            </w:pPr>
            <m:oMath>
              <m:r>
                <m:rPr>
                  <m:sty m:val="p"/>
                </m:rPr>
                <m:t>+</m:t>
                <w:rPr>
                  <w:sz w:val="20"/>
                </w:rPr>
              </m:r>
              <m:r>
                <m:t>0.701</m:t>
                <w:rPr>
                  <w:sz w:val="20"/>
                </w:rPr>
              </m:r>
              <m:r>
                <m:t> </m:t>
                <w:rPr>
                  <w:sz w:val="20"/>
                </w:rPr>
              </m:r>
              <m:r>
                <m:rPr>
                  <m:sty m:val="p"/>
                </m:rPr>
                <m:t>[</m:t>
                <w:rPr>
                  <w:sz w:val="20"/>
                </w:rPr>
              </m:r>
              <m:r>
                <m:t>0.637</m:t>
                <w:rPr>
                  <w:sz w:val="20"/>
                </w:rPr>
              </m:r>
              <m:r>
                <m:rPr>
                  <m:sty m:val="p"/>
                </m:rPr>
                <m:t>,</m:t>
                <w:rPr>
                  <w:sz w:val="20"/>
                </w:rPr>
              </m:r>
              <m:r>
                <m:t>0.766</m:t>
                <w:rPr>
                  <w:sz w:val="20"/>
                </w:rPr>
              </m:r>
              <m:r>
                <m:rPr>
                  <m:sty m:val="p"/>
                </m:rPr>
                <m:t>]</m:t>
                <w:rPr>
                  <w:sz w:val="20"/>
                </w:rPr>
              </m:r>
            </m:oMath>
            <w:r>
              <w:rPr>
                <w:rFonts w:ascii="Times New Roman" w:hAnsi="Times New Roman"/>
                <w:sz w:val="20"/>
              </w:rPr>
              <w:t xml:space="preserve">​</w:t>
            </w:r>
          </w:p>
        </w:tc>
      </w:tr>
      <w:tr>
        <w:tc>
          <w:tcPr>
            <w:tcW w:type="dxa" w:w="2160"/>
          </w:tcPr>
          <w:p>
            <w:pPr>
              <w:pStyle w:val="Compact"/>
              <w:keepNext/>
              <w:spacing w:line="252" w:lineRule="auto"/>
              <w:jc w:val="center"/>
            </w:pPr>
            <w:r>
              <w:rPr>
                <w:rFonts w:ascii="Times New Roman" w:hAnsi="Times New Roman"/>
                <w:sz w:val="20"/>
              </w:rPr>
              <w:t xml:space="preserve">19</w:t>
            </w:r>
          </w:p>
        </w:tc>
        <w:tc>
          <w:tcPr>
            <w:tcW w:type="dxa" w:w="3600"/>
          </w:tcPr>
          <w:p>
            <w:pPr>
              <w:pStyle w:val="Compact"/>
              <w:keepNext/>
              <w:spacing w:line="252" w:lineRule="auto"/>
              <w:jc w:val="center"/>
            </w:pPr>
            <w:r>
              <w:rPr>
                <w:rFonts w:ascii="Times New Roman" w:hAnsi="Times New Roman"/>
                <w:sz w:val="20"/>
              </w:rPr>
              <w:t xml:space="preserve">85.24</w:t>
            </w:r>
            <w:r>
              <w:rPr>
                <w:rFonts w:ascii="Times New Roman" w:hAnsi="Times New Roman"/>
                <w:sz w:val="20"/>
              </w:rPr>
              <w:t xml:space="preserve"> </w:t>
            </w:r>
            <m:oMath>
              <m:r>
                <m:rPr>
                  <m:sty m:val="p"/>
                </m:rPr>
                <m:t>→</m:t>
                <w:rPr>
                  <w:sz w:val="20"/>
                </w:rPr>
              </m:r>
            </m:oMath>
            <w:r>
              <w:rPr>
                <w:rFonts w:ascii="Times New Roman" w:hAnsi="Times New Roman"/>
                <w:sz w:val="20"/>
              </w:rPr>
              <w:t xml:space="preserve"> </w:t>
            </w:r>
            <w:r>
              <w:rPr>
                <w:rFonts w:ascii="Times New Roman" w:hAnsi="Times New Roman"/>
                <w:sz w:val="20"/>
              </w:rPr>
              <w:t xml:space="preserve">94.73</w:t>
            </w:r>
          </w:p>
        </w:tc>
        <w:tc>
          <w:tcPr>
            <w:tcW w:type="dxa" w:w="3600"/>
          </w:tcPr>
          <w:p>
            <w:pPr>
              <w:pStyle w:val="Compact"/>
              <w:keepNext/>
              <w:spacing w:line="252" w:lineRule="auto"/>
              <w:jc w:val="center"/>
            </w:pPr>
            <m:oMath>
              <m:r>
                <m:rPr>
                  <m:sty m:val="p"/>
                </m:rPr>
                <m:t>+</m:t>
                <w:rPr>
                  <w:sz w:val="20"/>
                </w:rPr>
              </m:r>
              <m:r>
                <m:t>0.319</m:t>
                <w:rPr>
                  <w:sz w:val="20"/>
                </w:rPr>
              </m:r>
              <m:r>
                <m:t> </m:t>
                <w:rPr>
                  <w:sz w:val="20"/>
                </w:rPr>
              </m:r>
              <m:r>
                <m:rPr>
                  <m:sty m:val="p"/>
                </m:rPr>
                <m:t>[</m:t>
                <w:rPr>
                  <w:sz w:val="20"/>
                </w:rPr>
              </m:r>
              <m:r>
                <m:t>0.290</m:t>
                <w:rPr>
                  <w:sz w:val="20"/>
                </w:rPr>
              </m:r>
              <m:r>
                <m:rPr>
                  <m:sty m:val="p"/>
                </m:rPr>
                <m:t>,</m:t>
                <w:rPr>
                  <w:sz w:val="20"/>
                </w:rPr>
              </m:r>
              <m:r>
                <m:t>0.349</m:t>
                <w:rPr>
                  <w:sz w:val="20"/>
                </w:rPr>
              </m:r>
              <m:r>
                <m:rPr>
                  <m:sty m:val="p"/>
                </m:rPr>
                <m:t>]</m:t>
                <w:rPr>
                  <w:sz w:val="20"/>
                </w:rPr>
              </m:r>
            </m:oMath>
            <w:r>
              <w:rPr>
                <w:rFonts w:ascii="Times New Roman" w:hAnsi="Times New Roman"/>
                <w:sz w:val="20"/>
              </w:rPr>
              <w:t xml:space="preserve">​</w:t>
            </w:r>
          </w:p>
        </w:tc>
      </w:tr>
      <w:tr>
        <w:tc>
          <w:tcPr>
            <w:tcW w:type="dxa" w:w="3600"/>
            <w:gridSpan w:val="3"/>
          </w:tcPr>
          <w:p>
            <w:pPr>
              <w:pStyle w:val="Compact"/>
              <w:keepNext/>
              <w:spacing w:line="252" w:lineRule="auto"/>
              <w:jc w:val="left"/>
            </w:pPr>
            <w:r>
              <w:rPr>
                <w:rFonts w:ascii="Times New Roman" w:hAnsi="Times New Roman"/>
                <w:sz w:val="20"/>
              </w:rPr>
              <w:t xml:space="preserve">Kodak24</w:t>
            </w:r>
          </w:p>
        </w:tc>
      </w:tr>
      <w:tr>
        <w:tc>
          <w:tcPr>
            <w:tcW w:type="dxa" w:w="2160"/>
          </w:tcPr>
          <w:p>
            <w:pPr>
              <w:pStyle w:val="Compact"/>
              <w:keepNext/>
              <w:spacing w:line="252" w:lineRule="auto"/>
              <w:jc w:val="center"/>
            </w:pPr>
            <w:r>
              <w:rPr>
                <w:rFonts w:ascii="Times New Roman" w:hAnsi="Times New Roman"/>
                <w:sz w:val="20"/>
              </w:rPr>
              <w:t xml:space="preserve">4</w:t>
            </w:r>
          </w:p>
        </w:tc>
        <w:tc>
          <w:tcPr>
            <w:tcW w:type="dxa" w:w="3600"/>
          </w:tcPr>
          <w:p>
            <w:pPr>
              <w:pStyle w:val="Compact"/>
              <w:keepNext/>
              <w:spacing w:line="252" w:lineRule="auto"/>
              <w:jc w:val="center"/>
            </w:pPr>
            <w:r>
              <w:rPr>
                <w:rFonts w:ascii="Times New Roman" w:hAnsi="Times New Roman"/>
                <w:sz w:val="20"/>
              </w:rPr>
              <w:t xml:space="preserve">75.69</w:t>
            </w:r>
            <w:r>
              <w:rPr>
                <w:rFonts w:ascii="Times New Roman" w:hAnsi="Times New Roman"/>
                <w:sz w:val="20"/>
              </w:rPr>
              <w:t xml:space="preserve"> </w:t>
            </w:r>
            <m:oMath>
              <m:r>
                <m:rPr>
                  <m:sty m:val="p"/>
                </m:rPr>
                <m:t>→</m:t>
                <w:rPr>
                  <w:sz w:val="20"/>
                </w:rPr>
              </m:r>
            </m:oMath>
            <w:r>
              <w:rPr>
                <w:rFonts w:ascii="Times New Roman" w:hAnsi="Times New Roman"/>
                <w:sz w:val="20"/>
              </w:rPr>
              <w:t xml:space="preserve"> </w:t>
            </w:r>
            <w:r>
              <w:rPr>
                <w:rFonts w:ascii="Times New Roman" w:hAnsi="Times New Roman"/>
                <w:sz w:val="20"/>
              </w:rPr>
              <w:t xml:space="preserve">93.43</w:t>
            </w:r>
          </w:p>
        </w:tc>
        <w:tc>
          <w:tcPr>
            <w:tcW w:type="dxa" w:w="3600"/>
          </w:tcPr>
          <w:p>
            <w:pPr>
              <w:pStyle w:val="Compact"/>
              <w:keepNext/>
              <w:spacing w:line="252" w:lineRule="auto"/>
              <w:jc w:val="center"/>
            </w:pPr>
            <m:oMath>
              <m:r>
                <m:rPr>
                  <m:sty m:val="p"/>
                </m:rPr>
                <m:t>+</m:t>
                <w:rPr>
                  <w:sz w:val="20"/>
                </w:rPr>
              </m:r>
              <m:r>
                <m:t>0.396</m:t>
                <w:rPr>
                  <w:sz w:val="20"/>
                </w:rPr>
              </m:r>
              <m:r>
                <m:t> </m:t>
                <w:rPr>
                  <w:sz w:val="20"/>
                </w:rPr>
              </m:r>
              <m:r>
                <m:rPr>
                  <m:sty m:val="p"/>
                </m:rPr>
                <m:t>[</m:t>
                <w:rPr>
                  <w:sz w:val="20"/>
                </w:rPr>
              </m:r>
              <m:r>
                <m:t>0.236</m:t>
                <w:rPr>
                  <w:sz w:val="20"/>
                </w:rPr>
              </m:r>
              <m:r>
                <m:rPr>
                  <m:sty m:val="p"/>
                </m:rPr>
                <m:t>,</m:t>
                <w:rPr>
                  <w:sz w:val="20"/>
                </w:rPr>
              </m:r>
              <m:r>
                <m:t>0.543</m:t>
                <w:rPr>
                  <w:sz w:val="20"/>
                </w:rPr>
              </m:r>
              <m:r>
                <m:rPr>
                  <m:sty m:val="p"/>
                </m:rPr>
                <m:t>]</m:t>
                <w:rPr>
                  <w:sz w:val="20"/>
                </w:rPr>
              </m:r>
            </m:oMath>
            <w:r>
              <w:rPr>
                <w:rFonts w:ascii="Times New Roman" w:hAnsi="Times New Roman"/>
                <w:sz w:val="20"/>
              </w:rPr>
              <w:t xml:space="preserve">​</w:t>
            </w:r>
          </w:p>
        </w:tc>
      </w:tr>
      <w:tr>
        <w:tc>
          <w:tcPr>
            <w:tcW w:type="dxa" w:w="2160"/>
          </w:tcPr>
          <w:p>
            <w:pPr>
              <w:pStyle w:val="Compact"/>
              <w:keepNext/>
              <w:spacing w:line="252" w:lineRule="auto"/>
              <w:jc w:val="center"/>
            </w:pPr>
            <w:r>
              <w:rPr>
                <w:rFonts w:ascii="Times New Roman" w:hAnsi="Times New Roman"/>
                <w:sz w:val="20"/>
              </w:rPr>
              <w:t xml:space="preserve">10</w:t>
            </w:r>
          </w:p>
        </w:tc>
        <w:tc>
          <w:tcPr>
            <w:tcW w:type="dxa" w:w="3600"/>
          </w:tcPr>
          <w:p>
            <w:pPr>
              <w:pStyle w:val="Compact"/>
              <w:keepNext/>
              <w:spacing w:line="252" w:lineRule="auto"/>
              <w:jc w:val="center"/>
            </w:pPr>
            <w:r>
              <w:rPr>
                <w:rFonts w:ascii="Times New Roman" w:hAnsi="Times New Roman"/>
                <w:sz w:val="20"/>
              </w:rPr>
              <w:t xml:space="preserve">78.11</w:t>
            </w:r>
            <w:r>
              <w:rPr>
                <w:rFonts w:ascii="Times New Roman" w:hAnsi="Times New Roman"/>
                <w:sz w:val="20"/>
              </w:rPr>
              <w:t xml:space="preserve"> </w:t>
            </w:r>
            <m:oMath>
              <m:r>
                <m:rPr>
                  <m:sty m:val="p"/>
                </m:rPr>
                <m:t>→</m:t>
                <w:rPr>
                  <w:sz w:val="20"/>
                </w:rPr>
              </m:r>
            </m:oMath>
            <w:r>
              <w:rPr>
                <w:rFonts w:ascii="Times New Roman" w:hAnsi="Times New Roman"/>
                <w:sz w:val="20"/>
              </w:rPr>
              <w:t xml:space="preserve"> </w:t>
            </w:r>
            <w:r>
              <w:rPr>
                <w:rFonts w:ascii="Times New Roman" w:hAnsi="Times New Roman"/>
                <w:sz w:val="20"/>
              </w:rPr>
              <w:t xml:space="preserve">94.99</w:t>
            </w:r>
          </w:p>
        </w:tc>
        <w:tc>
          <w:tcPr>
            <w:tcW w:type="dxa" w:w="3600"/>
          </w:tcPr>
          <w:p>
            <w:pPr>
              <w:pStyle w:val="Compact"/>
              <w:keepNext/>
              <w:spacing w:line="252" w:lineRule="auto"/>
              <w:jc w:val="center"/>
            </w:pPr>
            <m:oMath>
              <m:r>
                <m:rPr>
                  <m:sty m:val="p"/>
                </m:rPr>
                <m:t>+</m:t>
                <w:rPr>
                  <w:sz w:val="20"/>
                </w:rPr>
              </m:r>
              <m:r>
                <m:t>0.674</m:t>
                <w:rPr>
                  <w:sz w:val="20"/>
                </w:rPr>
              </m:r>
              <m:r>
                <m:t> </m:t>
                <w:rPr>
                  <w:sz w:val="20"/>
                </w:rPr>
              </m:r>
              <m:r>
                <m:rPr>
                  <m:sty m:val="p"/>
                </m:rPr>
                <m:t>[</m:t>
                <w:rPr>
                  <w:sz w:val="20"/>
                </w:rPr>
              </m:r>
              <m:r>
                <m:t>0.408</m:t>
                <w:rPr>
                  <w:sz w:val="20"/>
                </w:rPr>
              </m:r>
              <m:r>
                <m:rPr>
                  <m:sty m:val="p"/>
                </m:rPr>
                <m:t>,</m:t>
                <w:rPr>
                  <w:sz w:val="20"/>
                </w:rPr>
              </m:r>
              <m:r>
                <m:t>0.958</m:t>
                <w:rPr>
                  <w:sz w:val="20"/>
                </w:rPr>
              </m:r>
              <m:r>
                <m:rPr>
                  <m:sty m:val="p"/>
                </m:rPr>
                <m:t>]</m:t>
                <w:rPr>
                  <w:sz w:val="20"/>
                </w:rPr>
              </m:r>
            </m:oMath>
            <w:r>
              <w:rPr>
                <w:rFonts w:ascii="Times New Roman" w:hAnsi="Times New Roman"/>
                <w:sz w:val="20"/>
              </w:rPr>
              <w:t xml:space="preserve">​</w:t>
            </w:r>
          </w:p>
        </w:tc>
      </w:tr>
      <w:tr>
        <w:tc>
          <w:tcPr>
            <w:tcW w:type="dxa" w:w="2160"/>
          </w:tcPr>
          <w:p>
            <w:pPr>
              <w:pStyle w:val="Compact"/>
              <w:keepNext/>
              <w:spacing w:line="252" w:lineRule="auto"/>
              <w:jc w:val="center"/>
            </w:pPr>
            <w:r>
              <w:rPr>
                <w:rFonts w:ascii="Times New Roman" w:hAnsi="Times New Roman"/>
                <w:sz w:val="20"/>
              </w:rPr>
              <w:t xml:space="preserve">19</w:t>
            </w:r>
          </w:p>
        </w:tc>
        <w:tc>
          <w:tcPr>
            <w:tcW w:type="dxa" w:w="3600"/>
          </w:tcPr>
          <w:p>
            <w:pPr>
              <w:pStyle w:val="Compact"/>
              <w:keepNext/>
              <w:spacing w:line="252" w:lineRule="auto"/>
              <w:jc w:val="center"/>
            </w:pPr>
            <w:r>
              <w:rPr>
                <w:rFonts w:ascii="Times New Roman" w:hAnsi="Times New Roman"/>
                <w:sz w:val="20"/>
              </w:rPr>
              <w:t xml:space="preserve">85.69</w:t>
            </w:r>
            <w:r>
              <w:rPr>
                <w:rFonts w:ascii="Times New Roman" w:hAnsi="Times New Roman"/>
                <w:sz w:val="20"/>
              </w:rPr>
              <w:t xml:space="preserve"> </w:t>
            </w:r>
            <m:oMath>
              <m:r>
                <m:rPr>
                  <m:sty m:val="p"/>
                </m:rPr>
                <m:t>→</m:t>
                <w:rPr>
                  <w:sz w:val="20"/>
                </w:rPr>
              </m:r>
            </m:oMath>
            <w:r>
              <w:rPr>
                <w:rFonts w:ascii="Times New Roman" w:hAnsi="Times New Roman"/>
                <w:sz w:val="20"/>
              </w:rPr>
              <w:t xml:space="preserve"> </w:t>
            </w:r>
            <w:r>
              <w:rPr>
                <w:rFonts w:ascii="Times New Roman" w:hAnsi="Times New Roman"/>
                <w:sz w:val="20"/>
              </w:rPr>
              <w:t xml:space="preserve">93.71</w:t>
            </w:r>
          </w:p>
        </w:tc>
        <w:tc>
          <w:tcPr>
            <w:tcW w:type="dxa" w:w="3600"/>
          </w:tcPr>
          <w:p>
            <w:pPr>
              <w:pStyle w:val="Compact"/>
              <w:keepNext/>
              <w:spacing w:line="252" w:lineRule="auto"/>
              <w:jc w:val="center"/>
            </w:pPr>
            <m:oMath>
              <m:r>
                <m:rPr>
                  <m:sty m:val="p"/>
                </m:rPr>
                <m:t>+</m:t>
                <w:rPr>
                  <w:sz w:val="20"/>
                </w:rPr>
              </m:r>
              <m:r>
                <m:t>0.228</m:t>
                <w:rPr>
                  <w:sz w:val="20"/>
                </w:rPr>
              </m:r>
              <m:r>
                <m:t> </m:t>
                <w:rPr>
                  <w:sz w:val="20"/>
                </w:rPr>
              </m:r>
              <m:r>
                <m:rPr>
                  <m:sty m:val="p"/>
                </m:rPr>
                <m:t>[</m:t>
                <w:rPr>
                  <w:sz w:val="20"/>
                </w:rPr>
              </m:r>
              <m:r>
                <m:t>0.140</m:t>
                <w:rPr>
                  <w:sz w:val="20"/>
                </w:rPr>
              </m:r>
              <m:r>
                <m:rPr>
                  <m:sty m:val="p"/>
                </m:rPr>
                <m:t>,</m:t>
                <w:rPr>
                  <w:sz w:val="20"/>
                </w:rPr>
              </m:r>
              <m:r>
                <m:t>0.324</m:t>
                <w:rPr>
                  <w:sz w:val="20"/>
                </w:rPr>
              </m:r>
              <m:r>
                <m:rPr>
                  <m:sty m:val="p"/>
                </m:rPr>
                <m:t>]</m:t>
                <w:rPr>
                  <w:sz w:val="20"/>
                </w:rPr>
              </m:r>
            </m:oMath>
            <w:r>
              <w:rPr>
                <w:rFonts w:ascii="Times New Roman" w:hAnsi="Times New Roman"/>
                <w:sz w:val="20"/>
              </w:rPr>
              <w:t xml:space="preserve">​</w:t>
            </w:r>
          </w:p>
        </w:tc>
      </w:tr>
      <w:tr>
        <w:tc>
          <w:tcPr>
            <w:tcW w:type="dxa" w:w="3600"/>
            <w:gridSpan w:val="3"/>
          </w:tcPr>
          <w:p>
            <w:pPr>
              <w:pStyle w:val="Compact"/>
              <w:keepNext/>
              <w:spacing w:line="252" w:lineRule="auto"/>
              <w:jc w:val="left"/>
            </w:pPr>
            <w:r>
              <w:rPr>
                <w:rFonts w:ascii="Times New Roman" w:hAnsi="Times New Roman"/>
                <w:sz w:val="20"/>
              </w:rPr>
              <w:t xml:space="preserve">(B) Fixed-granularity diagnostic, 10 dB</w:t>
            </w:r>
          </w:p>
        </w:tc>
      </w:tr>
      <w:tr>
        <w:tc>
          <w:tcPr>
            <w:tcW w:type="dxa" w:w="2160"/>
          </w:tcPr>
          <w:p>
            <w:pPr>
              <w:pStyle w:val="Compact"/>
              <w:keepNext/>
              <w:spacing w:line="252" w:lineRule="auto"/>
              <w:jc w:val="center"/>
            </w:pPr>
            <w:r>
              <w:rPr>
                <w:rFonts w:ascii="Times New Roman" w:hAnsi="Times New Roman"/>
                <w:sz w:val="20"/>
              </w:rPr>
              <w:t xml:space="preserve">Grid (candidates)</w:t>
            </w:r>
          </w:p>
        </w:tc>
        <w:tc>
          <w:tcPr>
            <w:tcW w:type="dxa" w:w="3600"/>
          </w:tcPr>
          <w:p>
            <w:pPr>
              <w:pStyle w:val="Compact"/>
              <w:keepNext/>
              <w:spacing w:line="252" w:lineRule="auto"/>
              <w:jc w:val="center"/>
            </w:pPr>
            <w:r>
              <w:rPr>
                <w:rFonts w:ascii="Times New Roman" w:hAnsi="Times New Roman"/>
                <w:sz w:val="20"/>
              </w:rPr>
              <w:t xml:space="preserve">Utilization (%)</w:t>
            </w:r>
          </w:p>
        </w:tc>
        <w:tc>
          <w:tcPr>
            <w:tcW w:type="dxa" w:w="3600"/>
          </w:tcPr>
          <w:p>
            <w:pPr>
              <w:pStyle w:val="Compact"/>
              <w:keepNext/>
              <w:spacing w:line="252" w:lineRule="auto"/>
              <w:jc w:val="center"/>
            </w:pPr>
            <w:r>
              <w:rPr>
                <w:rFonts w:ascii="Times New Roman" w:hAnsi="Times New Roman"/>
                <w:sz w:val="20"/>
              </w:rPr>
              <w:t xml:space="preserve">PSNR (dB)</w:t>
            </w:r>
          </w:p>
        </w:tc>
      </w:tr>
      <w:tr>
        <w:tc>
          <w:tcPr>
            <w:tcW w:type="dxa" w:w="2160"/>
          </w:tcPr>
          <w:p>
            <w:pPr>
              <w:pStyle w:val="Compact"/>
              <w:keepNext/>
              <w:spacing w:line="252" w:lineRule="auto"/>
              <w:jc w:val="center"/>
            </w:pPr>
            <w:r>
              <w:rPr>
                <w:rFonts w:ascii="Times New Roman" w:hAnsi="Times New Roman"/>
                <w:sz w:val="20"/>
              </w:rPr>
              <w:t xml:space="preserve">Whole (7)</w:t>
            </w:r>
          </w:p>
        </w:tc>
        <w:tc>
          <w:tcPr>
            <w:tcW w:type="dxa" w:w="3600"/>
          </w:tcPr>
          <w:p>
            <w:pPr>
              <w:pStyle w:val="Compact"/>
              <w:keepNext/>
              <w:spacing w:line="252" w:lineRule="auto"/>
              <w:jc w:val="center"/>
            </w:pPr>
            <w:r>
              <w:rPr>
                <w:rFonts w:ascii="Times New Roman" w:hAnsi="Times New Roman"/>
                <w:sz w:val="20"/>
              </w:rPr>
              <w:t xml:space="preserve">78.15</w:t>
            </w:r>
          </w:p>
        </w:tc>
        <w:tc>
          <w:tcPr>
            <w:tcW w:type="dxa" w:w="3600"/>
          </w:tcPr>
          <w:p>
            <w:pPr>
              <w:pStyle w:val="Compact"/>
              <w:keepNext/>
              <w:spacing w:line="252" w:lineRule="auto"/>
              <w:jc w:val="center"/>
            </w:pPr>
            <w:r>
              <w:rPr>
                <w:rFonts w:ascii="Times New Roman" w:hAnsi="Times New Roman"/>
                <w:sz w:val="20"/>
              </w:rPr>
              <w:t xml:space="preserve">18.952</w:t>
            </w:r>
          </w:p>
        </w:tc>
      </w:tr>
      <w:tr>
        <w:tc>
          <w:tcPr>
            <w:tcW w:type="dxa" w:w="2160"/>
          </w:tcPr>
          <w:p>
            <w:pPr>
              <w:pStyle w:val="Compact"/>
              <w:keepNext/>
              <w:spacing w:line="252" w:lineRule="auto"/>
              <w:jc w:val="center"/>
            </w:pPr>
            <w:r>
              <w:rPr>
                <w:rFonts w:ascii="Times New Roman" w:hAnsi="Times New Roman"/>
                <w:sz w:val="20"/>
              </w:rPr>
              <w:t xml:space="preserve">Half (13)</w:t>
            </w:r>
          </w:p>
        </w:tc>
        <w:tc>
          <w:tcPr>
            <w:tcW w:type="dxa" w:w="3600"/>
          </w:tcPr>
          <w:p>
            <w:pPr>
              <w:pStyle w:val="Compact"/>
              <w:keepNext/>
              <w:spacing w:line="252" w:lineRule="auto"/>
              <w:jc w:val="center"/>
            </w:pPr>
            <w:r>
              <w:rPr>
                <w:rFonts w:ascii="Times New Roman" w:hAnsi="Times New Roman"/>
                <w:sz w:val="20"/>
              </w:rPr>
              <w:t xml:space="preserve">89.21</w:t>
            </w:r>
          </w:p>
        </w:tc>
        <w:tc>
          <w:tcPr>
            <w:tcW w:type="dxa" w:w="3600"/>
          </w:tcPr>
          <w:p>
            <w:pPr>
              <w:pStyle w:val="Compact"/>
              <w:keepNext/>
              <w:spacing w:line="252" w:lineRule="auto"/>
              <w:jc w:val="center"/>
            </w:pPr>
            <w:r>
              <w:rPr>
                <w:rFonts w:ascii="Times New Roman" w:hAnsi="Times New Roman"/>
                <w:sz w:val="20"/>
              </w:rPr>
              <w:t xml:space="preserve">19.396</w:t>
            </w:r>
          </w:p>
        </w:tc>
      </w:tr>
      <w:tr>
        <w:tc>
          <w:tcPr>
            <w:tcW w:type="dxa" w:w="2160"/>
          </w:tcPr>
          <w:p>
            <w:pPr>
              <w:pStyle w:val="Compact"/>
              <w:keepNext/>
              <w:spacing w:line="252" w:lineRule="auto"/>
              <w:jc w:val="center"/>
            </w:pPr>
            <w:r>
              <w:rPr>
                <w:rFonts w:ascii="Times New Roman" w:hAnsi="Times New Roman"/>
                <w:sz w:val="20"/>
              </w:rPr>
              <w:t xml:space="preserve">Quarter (25)</w:t>
            </w:r>
          </w:p>
        </w:tc>
        <w:tc>
          <w:tcPr>
            <w:tcW w:type="dxa" w:w="3600"/>
          </w:tcPr>
          <w:p>
            <w:pPr>
              <w:pStyle w:val="Compact"/>
              <w:keepNext/>
              <w:spacing w:line="252" w:lineRule="auto"/>
              <w:jc w:val="center"/>
            </w:pPr>
            <w:r>
              <w:rPr>
                <w:rFonts w:ascii="Times New Roman" w:hAnsi="Times New Roman"/>
                <w:sz w:val="20"/>
              </w:rPr>
              <w:t xml:space="preserve">95.38</w:t>
            </w:r>
          </w:p>
        </w:tc>
        <w:tc>
          <w:tcPr>
            <w:tcW w:type="dxa" w:w="3600"/>
          </w:tcPr>
          <w:p>
            <w:pPr>
              <w:pStyle w:val="Compact"/>
              <w:keepNext/>
              <w:spacing w:line="252" w:lineRule="auto"/>
              <w:jc w:val="center"/>
            </w:pPr>
            <w:r>
              <w:rPr>
                <w:rFonts w:ascii="Times New Roman" w:hAnsi="Times New Roman"/>
                <w:sz w:val="20"/>
              </w:rPr>
              <w:t xml:space="preserve">19.612</w:t>
            </w:r>
          </w:p>
        </w:tc>
      </w:tr>
      <w:tr>
        <w:tc>
          <w:tcPr>
            <w:tcW w:type="dxa" w:w="2160"/>
          </w:tcPr>
          <w:p>
            <w:pPr>
              <w:pStyle w:val="Compact"/>
              <w:keepNext/>
              <w:spacing w:line="252" w:lineRule="auto"/>
              <w:jc w:val="center"/>
            </w:pPr>
            <w:r>
              <w:rPr>
                <w:rFonts w:ascii="Times New Roman" w:hAnsi="Times New Roman"/>
                <w:sz w:val="20"/>
              </w:rPr>
              <w:t xml:space="preserve">Eighth (49)</w:t>
            </w:r>
          </w:p>
        </w:tc>
        <w:tc>
          <w:tcPr>
            <w:tcW w:type="dxa" w:w="3600"/>
          </w:tcPr>
          <w:p>
            <w:pPr>
              <w:pStyle w:val="Compact"/>
              <w:keepNext/>
              <w:spacing w:line="252" w:lineRule="auto"/>
              <w:jc w:val="center"/>
            </w:pPr>
            <w:r>
              <w:rPr>
                <w:rFonts w:ascii="Times New Roman" w:hAnsi="Times New Roman"/>
                <w:sz w:val="20"/>
              </w:rPr>
              <w:t xml:space="preserve">97.39</w:t>
            </w:r>
          </w:p>
        </w:tc>
        <w:tc>
          <w:tcPr>
            <w:tcW w:type="dxa" w:w="3600"/>
          </w:tcPr>
          <w:p>
            <w:pPr>
              <w:pStyle w:val="Compact"/>
              <w:keepNext/>
              <w:spacing w:line="252" w:lineRule="auto"/>
              <w:jc w:val="center"/>
            </w:pPr>
            <w:r>
              <w:rPr>
                <w:rFonts w:ascii="Times New Roman" w:hAnsi="Times New Roman"/>
                <w:sz w:val="20"/>
              </w:rPr>
              <w:t xml:space="preserve">19.735</w:t>
            </w:r>
          </w:p>
        </w:tc>
      </w:tr>
      <w:tr>
        <w:tc>
          <w:tcPr>
            <w:tcW w:type="dxa" w:w="3600"/>
            <w:gridSpan w:val="3"/>
          </w:tcPr>
          <w:p>
            <w:pPr>
              <w:pStyle w:val="Compact"/>
              <w:keepNext/>
              <w:spacing w:line="252" w:lineRule="auto"/>
              <w:jc w:val="left"/>
            </w:pPr>
            <w:r>
              <w:rPr>
                <w:rFonts w:ascii="Times New Roman" w:hAnsi="Times New Roman"/>
                <w:sz w:val="20"/>
              </w:rPr>
              <w:t xml:space="preserve">(C) Receiver interventions:</w:t>
            </w:r>
            <w:r>
              <w:rPr>
                <w:rFonts w:ascii="Times New Roman" w:hAnsi="Times New Roman"/>
                <w:sz w:val="20"/>
              </w:rPr>
              <w:t xml:space="preserve"> </w:t>
            </w:r>
            <m:oMath>
              <m:r>
                <m:rPr>
                  <m:sty m:val="p"/>
                </m:rPr>
                <m:t>Δ</m:t>
                <w:rPr>
                  <w:sz w:val="20"/>
                </w:rPr>
              </m:r>
            </m:oMath>
            <w:r>
              <w:rPr>
                <w:rFonts w:ascii="Times New Roman" w:hAnsi="Times New Roman"/>
                <w:sz w:val="20"/>
              </w:rPr>
              <w:t xml:space="preserve">PSNR (dB) [95% CI]</w:t>
            </w:r>
          </w:p>
        </w:tc>
      </w:tr>
      <w:tr>
        <w:tc>
          <w:tcPr>
            <w:tcW w:type="dxa" w:w="2160"/>
          </w:tcPr>
          <w:p>
            <w:pPr>
              <w:pStyle w:val="Compact"/>
              <w:keepNext/>
              <w:spacing w:line="252" w:lineRule="auto"/>
              <w:jc w:val="center"/>
            </w:pPr>
            <w:r>
              <w:rPr>
                <w:rFonts w:ascii="Times New Roman" w:hAnsi="Times New Roman"/>
                <w:sz w:val="20"/>
              </w:rPr>
              <w:t xml:space="preserve">SNR</w:t>
            </w:r>
          </w:p>
        </w:tc>
        <w:tc>
          <w:tcPr>
            <w:tcW w:type="dxa" w:w="3600"/>
          </w:tcPr>
          <w:p>
            <w:pPr>
              <w:pStyle w:val="Compact"/>
              <w:keepNext/>
              <w:spacing w:line="252" w:lineRule="auto"/>
              <w:jc w:val="center"/>
            </w:pPr>
            <w:r>
              <w:rPr>
                <w:rFonts w:ascii="Times New Roman" w:hAnsi="Times New Roman"/>
                <w:sz w:val="20"/>
              </w:rPr>
              <w:t xml:space="preserve">B0</w:t>
            </w:r>
            <m:oMath>
              <m:r>
                <m:rPr>
                  <m:sty m:val="p"/>
                </m:rPr>
                <m:t>−</m:t>
                <w:rPr>
                  <w:sz w:val="20"/>
                </w:rPr>
              </m:r>
            </m:oMath>
            <w:r>
              <w:rPr>
                <w:rFonts w:ascii="Times New Roman" w:hAnsi="Times New Roman"/>
                <w:sz w:val="20"/>
              </w:rPr>
              <w:t xml:space="preserve">A0</w:t>
            </w:r>
          </w:p>
        </w:tc>
        <w:tc>
          <w:tcPr>
            <w:tcW w:type="dxa" w:w="3600"/>
          </w:tcPr>
          <w:p>
            <w:pPr>
              <w:pStyle w:val="Compact"/>
              <w:keepNext/>
              <w:spacing w:line="252" w:lineRule="auto"/>
              <w:jc w:val="center"/>
            </w:pPr>
            <w:r>
              <w:rPr>
                <w:rFonts w:ascii="Times New Roman" w:hAnsi="Times New Roman"/>
                <w:sz w:val="20"/>
              </w:rPr>
              <w:t xml:space="preserve">C0</w:t>
            </w:r>
            <m:oMath>
              <m:r>
                <m:rPr>
                  <m:sty m:val="p"/>
                </m:rPr>
                <m:t>−</m:t>
                <w:rPr>
                  <w:sz w:val="20"/>
                </w:rPr>
              </m:r>
            </m:oMath>
            <w:r>
              <w:rPr>
                <w:rFonts w:ascii="Times New Roman" w:hAnsi="Times New Roman"/>
                <w:sz w:val="20"/>
              </w:rPr>
              <w:t xml:space="preserve">B0</w:t>
            </w:r>
          </w:p>
        </w:tc>
      </w:tr>
      <w:tr>
        <w:tc>
          <w:tcPr>
            <w:tcW w:type="dxa" w:w="2160"/>
          </w:tcPr>
          <w:p>
            <w:pPr>
              <w:pStyle w:val="Compact"/>
              <w:keepNext/>
              <w:spacing w:line="252" w:lineRule="auto"/>
              <w:jc w:val="center"/>
            </w:pPr>
            <w:r>
              <w:rPr>
                <w:rFonts w:ascii="Times New Roman" w:hAnsi="Times New Roman"/>
                <w:sz w:val="20"/>
              </w:rPr>
              <w:t xml:space="preserve">10</w:t>
            </w:r>
          </w:p>
        </w:tc>
        <w:tc>
          <w:tcPr>
            <w:tcW w:type="dxa" w:w="3600"/>
          </w:tcPr>
          <w:p>
            <w:pPr>
              <w:pStyle w:val="Compact"/>
              <w:keepNext/>
              <w:spacing w:line="252" w:lineRule="auto"/>
              <w:jc w:val="center"/>
            </w:pPr>
            <m:oMath>
              <m:r>
                <m:rPr>
                  <m:sty m:val="p"/>
                </m:rPr>
                <m:t>+</m:t>
                <w:rPr>
                  <w:sz w:val="20"/>
                </w:rPr>
              </m:r>
              <m:r>
                <m:t>0.220</m:t>
                <w:rPr>
                  <w:sz w:val="20"/>
                </w:rPr>
              </m:r>
              <m:r>
                <m:t> </m:t>
                <w:rPr>
                  <w:sz w:val="20"/>
                </w:rPr>
              </m:r>
              <m:r>
                <m:rPr>
                  <m:sty m:val="p"/>
                </m:rPr>
                <m:t>[</m:t>
                <w:rPr>
                  <w:sz w:val="20"/>
                </w:rPr>
              </m:r>
              <m:r>
                <m:t>0.176</m:t>
                <w:rPr>
                  <w:sz w:val="20"/>
                </w:rPr>
              </m:r>
              <m:r>
                <m:rPr>
                  <m:sty m:val="p"/>
                </m:rPr>
                <m:t>,</m:t>
                <w:rPr>
                  <w:sz w:val="20"/>
                </w:rPr>
              </m:r>
              <m:r>
                <m:t>0.264</m:t>
                <w:rPr>
                  <w:sz w:val="20"/>
                </w:rPr>
              </m:r>
              <m:r>
                <m:rPr>
                  <m:sty m:val="p"/>
                </m:rPr>
                <m:t>]</m:t>
                <w:rPr>
                  <w:sz w:val="20"/>
                </w:rPr>
              </m:r>
            </m:oMath>
            <w:r>
              <w:rPr>
                <w:rFonts w:ascii="Times New Roman" w:hAnsi="Times New Roman"/>
                <w:sz w:val="20"/>
              </w:rPr>
              <w:t xml:space="preserve">​</w:t>
            </w:r>
          </w:p>
        </w:tc>
        <w:tc>
          <w:tcPr>
            <w:tcW w:type="dxa" w:w="3600"/>
          </w:tcPr>
          <w:p>
            <w:pPr>
              <w:pStyle w:val="Compact"/>
              <w:keepNext/>
              <w:spacing w:line="252" w:lineRule="auto"/>
              <w:jc w:val="center"/>
            </w:pPr>
            <m:oMath>
              <m:r>
                <m:rPr>
                  <m:sty m:val="p"/>
                </m:rPr>
                <m:t>+</m:t>
                <w:rPr>
                  <w:sz w:val="20"/>
                </w:rPr>
              </m:r>
              <m:r>
                <m:t>0.440</m:t>
                <w:rPr>
                  <w:sz w:val="20"/>
                </w:rPr>
              </m:r>
              <m:r>
                <m:t> </m:t>
                <w:rPr>
                  <w:sz w:val="20"/>
                </w:rPr>
              </m:r>
              <m:r>
                <m:rPr>
                  <m:sty m:val="p"/>
                </m:rPr>
                <m:t>[</m:t>
                <w:rPr>
                  <w:sz w:val="20"/>
                </w:rPr>
              </m:r>
              <m:r>
                <m:t>0.330</m:t>
                <w:rPr>
                  <w:sz w:val="20"/>
                </w:rPr>
              </m:r>
              <m:r>
                <m:rPr>
                  <m:sty m:val="p"/>
                </m:rPr>
                <m:t>,</m:t>
                <w:rPr>
                  <w:sz w:val="20"/>
                </w:rPr>
              </m:r>
              <m:r>
                <m:t>0.558</m:t>
                <w:rPr>
                  <w:sz w:val="20"/>
                </w:rPr>
              </m:r>
              <m:r>
                <m:rPr>
                  <m:sty m:val="p"/>
                </m:rPr>
                <m:t>]</m:t>
                <w:rPr>
                  <w:sz w:val="20"/>
                </w:rPr>
              </m:r>
            </m:oMath>
            <w:r>
              <w:rPr>
                <w:rFonts w:ascii="Times New Roman" w:hAnsi="Times New Roman"/>
                <w:sz w:val="20"/>
              </w:rPr>
              <w:t xml:space="preserve">​</w:t>
            </w:r>
          </w:p>
        </w:tc>
      </w:tr>
      <w:tr>
        <w:tc>
          <w:tcPr>
            <w:tcW w:type="dxa" w:w="2160"/>
          </w:tcPr>
          <w:p>
            <w:pPr>
              <w:pStyle w:val="Compact"/>
              <w:keepNext/>
              <w:spacing w:line="252" w:lineRule="auto"/>
              <w:jc w:val="center"/>
            </w:pPr>
            <w:r>
              <w:rPr>
                <w:rFonts w:ascii="Times New Roman" w:hAnsi="Times New Roman"/>
                <w:sz w:val="20"/>
              </w:rPr>
              <w:t xml:space="preserve">19</w:t>
            </w:r>
          </w:p>
        </w:tc>
        <w:tc>
          <w:tcPr>
            <w:tcW w:type="dxa" w:w="3600"/>
          </w:tcPr>
          <w:p>
            <w:pPr>
              <w:pStyle w:val="Compact"/>
              <w:keepNext/>
              <w:spacing w:line="252" w:lineRule="auto"/>
              <w:jc w:val="center"/>
            </w:pPr>
            <m:oMath>
              <m:r>
                <m:rPr>
                  <m:sty m:val="p"/>
                </m:rPr>
                <m:t>+</m:t>
                <w:rPr>
                  <w:sz w:val="20"/>
                </w:rPr>
              </m:r>
              <m:r>
                <m:t>0.301</m:t>
                <w:rPr>
                  <w:sz w:val="20"/>
                </w:rPr>
              </m:r>
              <m:r>
                <m:t> </m:t>
                <w:rPr>
                  <w:sz w:val="20"/>
                </w:rPr>
              </m:r>
              <m:r>
                <m:rPr>
                  <m:sty m:val="p"/>
                </m:rPr>
                <m:t>[</m:t>
                <w:rPr>
                  <w:sz w:val="20"/>
                </w:rPr>
              </m:r>
              <m:r>
                <m:t>0.247</m:t>
                <w:rPr>
                  <w:sz w:val="20"/>
                </w:rPr>
              </m:r>
              <m:r>
                <m:rPr>
                  <m:sty m:val="p"/>
                </m:rPr>
                <m:t>,</m:t>
                <w:rPr>
                  <w:sz w:val="20"/>
                </w:rPr>
              </m:r>
              <m:r>
                <m:t>0.358</m:t>
                <w:rPr>
                  <w:sz w:val="20"/>
                </w:rPr>
              </m:r>
              <m:r>
                <m:rPr>
                  <m:sty m:val="p"/>
                </m:rPr>
                <m:t>]</m:t>
                <w:rPr>
                  <w:sz w:val="20"/>
                </w:rPr>
              </m:r>
            </m:oMath>
            <w:r>
              <w:rPr>
                <w:rFonts w:ascii="Times New Roman" w:hAnsi="Times New Roman"/>
                <w:sz w:val="20"/>
              </w:rPr>
              <w:t xml:space="preserve">​</w:t>
            </w:r>
          </w:p>
        </w:tc>
        <w:tc>
          <w:tcPr>
            <w:tcW w:type="dxa" w:w="3600"/>
          </w:tcPr>
          <w:p>
            <w:pPr>
              <w:pStyle w:val="Compact"/>
              <w:keepNext w:val="0"/>
              <w:spacing w:line="252" w:lineRule="auto"/>
              <w:jc w:val="center"/>
            </w:pPr>
            <m:oMath>
              <m:r>
                <m:rPr>
                  <m:sty m:val="p"/>
                </m:rPr>
                <m:t>+</m:t>
                <w:rPr>
                  <w:sz w:val="20"/>
                </w:rPr>
              </m:r>
              <m:r>
                <m:t>0.000</m:t>
                <w:rPr>
                  <w:sz w:val="20"/>
                </w:rPr>
              </m:r>
              <m:r>
                <m:t> </m:t>
                <w:rPr>
                  <w:sz w:val="20"/>
                </w:rPr>
              </m:r>
              <m:r>
                <m:rPr>
                  <m:sty m:val="p"/>
                </m:rPr>
                <m:t>[</m:t>
                <w:rPr>
                  <w:sz w:val="20"/>
                </w:rPr>
              </m:r>
              <m:r>
                <m:t>0.000</m:t>
                <w:rPr>
                  <w:sz w:val="20"/>
                </w:rPr>
              </m:r>
              <m:r>
                <m:rPr>
                  <m:sty m:val="p"/>
                </m:rPr>
                <m:t>,</m:t>
                <w:rPr>
                  <w:sz w:val="20"/>
                </w:rPr>
              </m:r>
              <m:r>
                <m:t>0.000</m:t>
                <w:rPr>
                  <w:sz w:val="20"/>
                </w:rPr>
              </m:r>
              <m:r>
                <m:rPr>
                  <m:sty m:val="p"/>
                </m:rPr>
                <m:t>]</m:t>
                <w:rPr>
                  <w:sz w:val="20"/>
                </w:rPr>
              </m:r>
            </m:oMath>
            <w:r>
              <w:rPr>
                <w:rFonts w:ascii="Times New Roman" w:hAnsi="Times New Roman"/>
                <w:sz w:val="20"/>
              </w:rPr>
              <w:t xml:space="preserve">​</w:t>
            </w:r>
          </w:p>
        </w:tc>
      </w:tr>
    </w:tbl>
    <w:bookmarkEnd w:id="26"/>
    <w:p>
      <w:pPr>
        <w:pStyle w:val="FirstParagraph"/>
        <w:widowControl/>
      </w:pPr>
      <w:r>
        <w:t xml:space="preserve">Boundary tokens: A0, unused; B0, residual correction only; C0, residual correction and conditioning update. All three use the received complete coarse scales.</w:t>
      </w:r>
    </w:p>
    <w:p>
      <w:pPr>
        <w:pStyle w:val="BodyText"/>
        <w:widowControl/>
      </w:pPr>
      <w:r>
        <w:t xml:space="preserve">Table I(A) compares WHOLE/PARTIAL with shared tokenizer, prior, entropy coder, and</w:t>
      </w:r>
      <w:r>
        <w:t xml:space="preserve"> </w:t>
      </w:r>
      <m:oMath>
        <m:sSub>
          <m:e>
            <m:r>
              <m:t>D</m:t>
            </m:r>
          </m:e>
          <m:sub>
            <m:r>
              <m:t>c</m:t>
            </m:r>
          </m:sub>
        </m:sSub>
      </m:oMath>
      <w:r>
        <w:t xml:space="preserve">. Separate family calibration selects the same MCS at each SNR. Common500 PSNR gains are 0.616/0.701/0.319 dB at 4/10/19 dB. At 10 dB, source-bit utilization rises from 77.70% to 95.21% and DreamSim falls by 0.0240. On Kodak, the corresponding PSNR gain is 0.674 dB and DreamSim decreases by 0.0164; its 19 dB DreamSim interval includes zero. The higher utilization retains additional source tokens within the same frame.</w:t>
      </w:r>
    </w:p>
    <w:p>
      <w:pPr>
        <w:pStyle w:val="BodyText"/>
        <w:widowControl/>
      </w:pPr>
      <w:r>
        <w:t xml:space="preserve">Block B fixes the 100 sources, model, MCS, maximum endpoint, and fitting rule. Whole/Half/Quarter/Eighth grids increase utilization from 78.15% through 89.21% and 95.38% to 97.39%, with PSNR increasing from 18.952 to 19.735 dB. Relative to the predefined Quarter configuration, Eighth adds</w:t>
      </w:r>
      <w:r>
        <w:t xml:space="preserve"> </w:t>
      </w:r>
      <m:oMath>
        <m:r>
          <m:t>0.123</m:t>
        </m:r>
        <m:r>
          <m:t> </m:t>
        </m:r>
        <m:r>
          <m:rPr>
            <m:sty m:val="p"/>
          </m:rPr>
          <m:t>[</m:t>
        </m:r>
        <m:r>
          <m:t>0.079</m:t>
        </m:r>
        <m:r>
          <m:rPr>
            <m:sty m:val="p"/>
          </m:rPr>
          <m:t>,</m:t>
        </m:r>
        <m:r>
          <m:t>0.169</m:t>
        </m:r>
        <m:r>
          <m:rPr>
            <m:sty m:val="p"/>
          </m:rPr>
          <m:t>]</m:t>
        </m:r>
      </m:oMath>
      <w:r>
        <w:t xml:space="preserve"> dB at 10 dB; its DreamSim/CLIP-I difference intervals cross zero.</w:t>
      </w:r>
    </w:p>
    <w:p>
      <w:pPr>
        <w:pStyle w:val="BodyText"/>
        <w:widowControl/>
      </w:pPr>
      <w:r>
        <w:t xml:space="preserve">Block C applies the boundary-token interventions defined in the table to the same 100 sources and actual received prefixes. The ordered PSNR gains are 0.220 and 0.440 dB at 10 dB, supporting residual correction and the subsequent conditioning update. At 19 dB, the boundary lies in the last scale, so the additional conditioning update has zero effect.</w:t>
      </w:r>
    </w:p>
    <w:p>
      <w:pPr>
        <w:pStyle w:val="BodyText"/>
        <w:widowControl/>
      </w:pPr>
      <w:r>
        <w:t xml:space="preserve">Within the fixed adapted receiver, completion improves the three perceptual measures over coarse-only decoding at both tested low-budget points; complete results are provided in Supplement S4.</w:t>
      </w:r>
    </w:p>
    <w:p>
      <w:pPr>
        <w:pStyle w:val="Heading2"/>
        <w:keepNext/>
        <w:widowControl/>
      </w:pPr>
      <w:bookmarkStart w:id="27" w:name="_9d932ad76d5355c63eb5fc6d54fcaa82e505e9e"/>
      <w:r>
        <w:t xml:space="preserve">C. Comparison With Existing Methods</w:t>
      </w:r>
      <w:bookmarkEnd w:id="27"/>
    </w:p>
    <w:bookmarkStart w:id="31" w:name="_522ab4a16efba62d5cc1ac1d670dda5233f558f"/>
    <w:p>
      <w:pPr>
        <w:pStyle w:val="CaptionedFigure"/>
        <w:keepNext/>
        <w:widowControl/>
      </w:pPr>
      <w:r>
        <w:drawing>
          <wp:inline>
            <wp:extent cx="5943600" cy="2780874"/>
            <wp:effectExtent b="0" l="0" r="0" t="0"/>
            <wp:docPr descr="" title="" id="29" name="Picture"/>
            <a:graphic>
              <a:graphicData uri="http://schemas.openxmlformats.org/drawingml/2006/picture">
                <pic:pic>
                  <pic:nvPicPr>
                    <pic:cNvPr descr="C:/Users/11946/Documents/ChatGPT/comm/.research/nestcom_focused_20261029_v2/word_work/build_final2/figure3.png" id="30" name="Picture"/>
                    <pic:cNvPicPr>
                      <a:picLocks noChangeArrowheads="1" noChangeAspect="1"/>
                    </pic:cNvPicPr>
                  </pic:nvPicPr>
                  <pic:blipFill>
                    <a:blip r:embed="rId28"/>
                    <a:stretch>
                      <a:fillRect/>
                    </a:stretch>
                  </pic:blipFill>
                  <pic:spPr bwMode="auto">
                    <a:xfrm>
                      <a:off x="0" y="0"/>
                      <a:ext cx="5943600" cy="2780874"/>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3. Qualitative reconstructions of two development examples at</w:t>
      </w:r>
      <w:r>
        <w:rPr>
          <w:b w:val="0"/>
          <w:sz w:val="20"/>
        </w:rPr>
        <w:t xml:space="preserve"> </w:t>
      </w:r>
      <m:oMath>
        <m:r>
          <m:t>N</m:t>
        </m:r>
        <m:r>
          <m:rPr>
            <m:sty m:val="p"/>
          </m:rPr>
          <m:t>=</m:t>
        </m:r>
        <m:r>
          <m:t>1024</m:t>
        </m:r>
      </m:oMath>
      <w:r>
        <w:rPr>
          <w:b w:val="0"/>
          <w:sz w:val="20"/>
        </w:rPr>
        <w:t xml:space="preserve"> </w:t>
      </w:r>
      <w:r>
        <w:rPr>
          <w:b w:val="0"/>
          <w:sz w:val="20"/>
        </w:rPr>
        <w:t xml:space="preserve">and 10 dB. Values denote LPIPS-Alex</w:t>
      </w:r>
      <m:oMath>
        <m:r>
          <m:rPr>
            <m:sty m:val="p"/>
          </m:rPr>
          <m:t>↓</m:t>
        </m:r>
      </m:oMath>
      <w:r>
        <w:rPr>
          <w:b w:val="0"/>
          <w:sz w:val="20"/>
        </w:rPr>
        <w:t xml:space="preserve"> </w:t>
      </w:r>
      <w:r>
        <w:rPr>
          <w:b w:val="0"/>
          <w:sz w:val="20"/>
        </w:rPr>
        <w:t xml:space="preserve">/ DreamSim</w:t>
      </w:r>
      <m:oMath>
        <m:r>
          <m:rPr>
            <m:sty m:val="p"/>
          </m:rPr>
          <m:t>↓</m:t>
        </m:r>
      </m:oMath>
      <w:r>
        <w:rPr>
          <w:b w:val="0"/>
          <w:sz w:val="20"/>
        </w:rPr>
        <w:t xml:space="preserve">. Ada denotes the fixed-frame adaptation.</w:t>
      </w:r>
    </w:p>
    <w:bookmarkEnd w:id="31"/>
    <w:bookmarkStart w:id="32" w:name="_47b7b14ccb63fb21a3710078758f8ddc0323d90"/>
    <w:p>
      <w:pPr>
        <w:pStyle w:val="Caption"/>
        <w:keepNext/>
        <w:keepLines/>
        <w:widowControl/>
        <w:spacing w:line="276" w:lineRule="auto"/>
      </w:pPr>
      <w:r>
        <w:rPr>
          <w:b w:val="0"/>
          <w:sz w:val="20"/>
        </w:rPr>
        <w:t xml:space="preserve">Table II. Perceptual distance and image-feature similarity on common500 at</w:t>
      </w:r>
      <w:r>
        <w:rPr>
          <w:b w:val="0"/>
          <w:sz w:val="20"/>
        </w:rPr>
        <w:t xml:space="preserve"> </w:t>
      </w:r>
      <m:oMath>
        <m:r>
          <m:t>N</m:t>
        </m:r>
        <m:r>
          <m:rPr>
            <m:sty m:val="p"/>
          </m:rPr>
          <m:t>=</m:t>
        </m:r>
        <m:r>
          <m:t>1024</m:t>
        </m:r>
      </m:oMath>
      <w:r>
        <w:rPr>
          <w:b w:val="0"/>
          <w:sz w:val="20"/>
        </w:rPr>
        <w:t xml:space="preserve">. Each cell is LPIPS-Alex</w:t>
      </w:r>
      <m:oMath>
        <m:r>
          <m:rPr>
            <m:sty m:val="p"/>
          </m:rPr>
          <m:t>↓</m:t>
        </m:r>
      </m:oMath>
      <w:r>
        <w:rPr>
          <w:b w:val="0"/>
          <w:sz w:val="20"/>
        </w:rPr>
        <w:t xml:space="preserve"> </w:t>
      </w:r>
      <w:r>
        <w:rPr>
          <w:b w:val="0"/>
          <w:sz w:val="20"/>
        </w:rPr>
        <w:t xml:space="preserve">/ CLIP-I</w:t>
      </w:r>
      <m:oMath>
        <m:r>
          <m:rPr>
            <m:sty m:val="p"/>
          </m:rPr>
          <m:t>↑</m:t>
        </m:r>
      </m:oMath>
      <w:r>
        <w:rPr>
          <w:b w:val="0"/>
          <w:sz w:val="20"/>
        </w:rPr>
        <w:t xml:space="preserve">. Ada denotes the fixed-frame adaptation. Values are source means.</w:t>
      </w:r>
    </w:p>
    <w:tbl>
      <w:tblPr>
        <w:tblStyle w:val="Table"/>
        <w:tblW w:type="auto" w:w="0"/>
        <w:tblLayout w:type="fixed"/>
        <w:tblLook w:firstRow="1" w:lastRow="0" w:firstColumn="0" w:lastColumn="0" w:noHBand="0" w:noVBand="0" w:val="0020"/>
        <w:tblCaption w:val="Table II. Perceptual distance and image-feature similarity on common500 at N=1024. Each cell is LPIPS-Alex\downarrow / CLIP-I\uparrow. Ada denotes the fixed-frame adaptation. Values are source means."/>
        <w:tblBorders>
          <w:top w:val="single" w:sz="6" w:color="000000"/>
          <w:bottom w:val="single" w:sz="6" w:color="000000"/>
        </w:tblBorders>
      </w:tblPr>
      <w:tblGrid>
        <w:gridCol w:w="2304"/>
        <w:gridCol w:w="2347"/>
        <w:gridCol w:w="2347"/>
        <w:gridCol w:w="2362"/>
      </w:tblGrid>
      <w:tr>
        <w:trPr>
          <w:tblHeader w:val="on"/>
        </w:trPr>
        <w:tc>
          <w:tcPr>
            <w:tcW w:type="dxa" w:w="2304"/>
          </w:tcPr>
          <w:p>
            <w:pPr>
              <w:pStyle w:val="Compact"/>
              <w:keepNext/>
              <w:spacing w:line="252" w:lineRule="auto"/>
              <w:jc w:val="left"/>
            </w:pPr>
            <w:r>
              <w:rPr>
                <w:rFonts w:ascii="Times New Roman" w:hAnsi="Times New Roman"/>
                <w:b/>
                <w:sz w:val="20"/>
              </w:rPr>
              <w:t xml:space="preserve">Method</w:t>
            </w:r>
          </w:p>
        </w:tc>
        <w:tc>
          <w:tcPr>
            <w:tcW w:type="dxa" w:w="2347"/>
          </w:tcPr>
          <w:p>
            <w:pPr>
              <w:pStyle w:val="Compact"/>
              <w:keepNext/>
              <w:spacing w:line="252" w:lineRule="auto"/>
              <w:jc w:val="center"/>
            </w:pPr>
            <w:r>
              <w:rPr>
                <w:rFonts w:ascii="Times New Roman" w:hAnsi="Times New Roman"/>
                <w:b/>
                <w:sz w:val="20"/>
              </w:rPr>
              <w:t xml:space="preserve">4 dB</w:t>
            </w:r>
          </w:p>
        </w:tc>
        <w:tc>
          <w:tcPr>
            <w:tcW w:type="dxa" w:w="2347"/>
          </w:tcPr>
          <w:p>
            <w:pPr>
              <w:pStyle w:val="Compact"/>
              <w:keepNext/>
              <w:spacing w:line="252" w:lineRule="auto"/>
              <w:jc w:val="center"/>
            </w:pPr>
            <w:r>
              <w:rPr>
                <w:rFonts w:ascii="Times New Roman" w:hAnsi="Times New Roman"/>
                <w:b/>
                <w:sz w:val="20"/>
              </w:rPr>
              <w:t xml:space="preserve">10 dB</w:t>
            </w:r>
          </w:p>
        </w:tc>
        <w:tc>
          <w:tcPr>
            <w:tcW w:type="dxa" w:w="2362"/>
          </w:tcPr>
          <w:p>
            <w:pPr>
              <w:pStyle w:val="Compact"/>
              <w:keepNext/>
              <w:spacing w:line="252" w:lineRule="auto"/>
              <w:jc w:val="center"/>
            </w:pPr>
            <w:r>
              <w:rPr>
                <w:rFonts w:ascii="Times New Roman" w:hAnsi="Times New Roman"/>
                <w:b/>
                <w:sz w:val="20"/>
              </w:rPr>
              <w:t xml:space="preserve">19 dB</w:t>
            </w:r>
          </w:p>
        </w:tc>
      </w:tr>
      <w:tr>
        <w:tc>
          <w:tcPr>
            <w:tcW w:type="dxa" w:w="2304"/>
          </w:tcPr>
          <w:p>
            <w:pPr>
              <w:pStyle w:val="Compact"/>
              <w:keepNext/>
              <w:spacing w:line="252" w:lineRule="auto"/>
              <w:jc w:val="left"/>
            </w:pPr>
            <w:r>
              <w:rPr>
                <w:rFonts w:ascii="Times New Roman" w:hAnsi="Times New Roman"/>
                <w:sz w:val="20"/>
              </w:rPr>
              <w:t xml:space="preserve">NeST-Com</w:t>
            </w:r>
          </w:p>
        </w:tc>
        <w:tc>
          <w:tcPr>
            <w:tcW w:type="dxa" w:w="2347"/>
          </w:tcPr>
          <w:p>
            <w:pPr>
              <w:pStyle w:val="Compact"/>
              <w:keepNext/>
              <w:spacing w:line="252" w:lineRule="auto"/>
              <w:jc w:val="center"/>
            </w:pPr>
            <w:r>
              <w:rPr>
                <w:rFonts w:ascii="Times New Roman" w:hAnsi="Times New Roman"/>
                <w:sz w:val="20"/>
              </w:rPr>
              <w:t xml:space="preserve">0.263 / 0.821</w:t>
            </w:r>
          </w:p>
        </w:tc>
        <w:tc>
          <w:tcPr>
            <w:tcW w:type="dxa" w:w="2347"/>
          </w:tcPr>
          <w:p>
            <w:pPr>
              <w:pStyle w:val="Compact"/>
              <w:keepNext/>
              <w:spacing w:line="252" w:lineRule="auto"/>
              <w:jc w:val="center"/>
            </w:pPr>
            <w:r>
              <w:rPr>
                <w:rFonts w:ascii="Times New Roman" w:hAnsi="Times New Roman"/>
                <w:sz w:val="20"/>
              </w:rPr>
              <w:t xml:space="preserve">0.171 / 0.873</w:t>
            </w:r>
          </w:p>
        </w:tc>
        <w:tc>
          <w:tcPr>
            <w:tcW w:type="dxa" w:w="2362"/>
          </w:tcPr>
          <w:p>
            <w:pPr>
              <w:pStyle w:val="Compact"/>
              <w:keepNext/>
              <w:spacing w:line="252" w:lineRule="auto"/>
              <w:jc w:val="center"/>
            </w:pPr>
            <w:r>
              <w:rPr>
                <w:rFonts w:ascii="Times New Roman" w:hAnsi="Times New Roman"/>
                <w:sz w:val="20"/>
              </w:rPr>
              <w:t xml:space="preserve">0.118 / 0.900</w:t>
            </w:r>
          </w:p>
        </w:tc>
      </w:tr>
      <w:tr>
        <w:tc>
          <w:tcPr>
            <w:tcW w:type="dxa" w:w="2304"/>
          </w:tcPr>
          <w:p>
            <w:pPr>
              <w:pStyle w:val="Compact"/>
              <w:keepNext/>
              <w:spacing w:line="252" w:lineRule="auto"/>
              <w:jc w:val="left"/>
            </w:pPr>
            <w:r>
              <w:rPr>
                <w:rFonts w:ascii="Times New Roman" w:hAnsi="Times New Roman"/>
                <w:sz w:val="20"/>
              </w:rPr>
              <w:t xml:space="preserve">Latent JSCC</w:t>
            </w:r>
          </w:p>
        </w:tc>
        <w:tc>
          <w:tcPr>
            <w:tcW w:type="dxa" w:w="2347"/>
          </w:tcPr>
          <w:p>
            <w:pPr>
              <w:pStyle w:val="Compact"/>
              <w:keepNext/>
              <w:spacing w:line="252" w:lineRule="auto"/>
              <w:jc w:val="center"/>
            </w:pPr>
            <w:r>
              <w:rPr>
                <w:rFonts w:ascii="Times New Roman" w:hAnsi="Times New Roman"/>
                <w:sz w:val="20"/>
              </w:rPr>
              <w:t xml:space="preserve">0.219 / 0.741</w:t>
            </w:r>
          </w:p>
        </w:tc>
        <w:tc>
          <w:tcPr>
            <w:tcW w:type="dxa" w:w="2347"/>
          </w:tcPr>
          <w:p>
            <w:pPr>
              <w:pStyle w:val="Compact"/>
              <w:keepNext/>
              <w:spacing w:line="252" w:lineRule="auto"/>
              <w:jc w:val="center"/>
            </w:pPr>
            <w:r>
              <w:rPr>
                <w:rFonts w:ascii="Times New Roman" w:hAnsi="Times New Roman"/>
                <w:sz w:val="20"/>
              </w:rPr>
              <w:t xml:space="preserve">0.173 / 0.789</w:t>
            </w:r>
          </w:p>
        </w:tc>
        <w:tc>
          <w:tcPr>
            <w:tcW w:type="dxa" w:w="2362"/>
          </w:tcPr>
          <w:p>
            <w:pPr>
              <w:pStyle w:val="Compact"/>
              <w:keepNext/>
              <w:spacing w:line="252" w:lineRule="auto"/>
              <w:jc w:val="center"/>
            </w:pPr>
            <w:r>
              <w:rPr>
                <w:rFonts w:ascii="Times New Roman" w:hAnsi="Times New Roman"/>
                <w:sz w:val="20"/>
              </w:rPr>
              <w:t xml:space="preserve">0.158 / 0.804</w:t>
            </w:r>
          </w:p>
        </w:tc>
      </w:tr>
      <w:tr>
        <w:tc>
          <w:tcPr>
            <w:tcW w:type="dxa" w:w="2304"/>
          </w:tcPr>
          <w:p>
            <w:pPr>
              <w:pStyle w:val="Compact"/>
              <w:keepNext/>
              <w:spacing w:line="252" w:lineRule="auto"/>
              <w:jc w:val="left"/>
            </w:pPr>
            <w:r>
              <w:rPr>
                <w:rFonts w:ascii="Times New Roman" w:hAnsi="Times New Roman"/>
                <w:sz w:val="20"/>
              </w:rPr>
              <w:t xml:space="preserve">SwinJSCC</w:t>
            </w:r>
          </w:p>
        </w:tc>
        <w:tc>
          <w:tcPr>
            <w:tcW w:type="dxa" w:w="2347"/>
          </w:tcPr>
          <w:p>
            <w:pPr>
              <w:pStyle w:val="Compact"/>
              <w:keepNext/>
              <w:spacing w:line="252" w:lineRule="auto"/>
              <w:jc w:val="center"/>
            </w:pPr>
            <w:r>
              <w:rPr>
                <w:rFonts w:ascii="Times New Roman" w:hAnsi="Times New Roman"/>
                <w:sz w:val="20"/>
              </w:rPr>
              <w:t xml:space="preserve">0.530 / 0.627</w:t>
            </w:r>
          </w:p>
        </w:tc>
        <w:tc>
          <w:tcPr>
            <w:tcW w:type="dxa" w:w="2347"/>
          </w:tcPr>
          <w:p>
            <w:pPr>
              <w:pStyle w:val="Compact"/>
              <w:keepNext/>
              <w:spacing w:line="252" w:lineRule="auto"/>
              <w:jc w:val="center"/>
            </w:pPr>
            <w:r>
              <w:rPr>
                <w:rFonts w:ascii="Times New Roman" w:hAnsi="Times New Roman"/>
                <w:sz w:val="20"/>
              </w:rPr>
              <w:t xml:space="preserve">0.469 / 0.669</w:t>
            </w:r>
          </w:p>
        </w:tc>
        <w:tc>
          <w:tcPr>
            <w:tcW w:type="dxa" w:w="2362"/>
          </w:tcPr>
          <w:p>
            <w:pPr>
              <w:pStyle w:val="Compact"/>
              <w:keepNext/>
              <w:spacing w:line="252" w:lineRule="auto"/>
              <w:jc w:val="center"/>
            </w:pPr>
            <w:r>
              <w:rPr>
                <w:rFonts w:ascii="Times New Roman" w:hAnsi="Times New Roman"/>
                <w:sz w:val="20"/>
              </w:rPr>
              <w:t xml:space="preserve">0.440 / 0.697</w:t>
            </w:r>
          </w:p>
        </w:tc>
      </w:tr>
      <w:tr>
        <w:tc>
          <w:tcPr>
            <w:tcW w:type="dxa" w:w="2304"/>
          </w:tcPr>
          <w:p>
            <w:pPr>
              <w:pStyle w:val="Compact"/>
              <w:keepNext/>
              <w:spacing w:line="252" w:lineRule="auto"/>
              <w:jc w:val="left"/>
            </w:pPr>
            <w:r>
              <w:rPr>
                <w:rFonts w:ascii="Times New Roman" w:hAnsi="Times New Roman"/>
                <w:sz w:val="20"/>
              </w:rPr>
              <w:t xml:space="preserve">BPG + LDPC</w:t>
            </w:r>
          </w:p>
        </w:tc>
        <w:tc>
          <w:tcPr>
            <w:tcW w:type="dxa" w:w="2347"/>
          </w:tcPr>
          <w:p>
            <w:pPr>
              <w:pStyle w:val="Compact"/>
              <w:keepNext/>
              <w:spacing w:line="252" w:lineRule="auto"/>
              <w:jc w:val="center"/>
            </w:pPr>
            <w:r>
              <w:rPr>
                <w:rFonts w:ascii="Times New Roman" w:hAnsi="Times New Roman"/>
                <w:sz w:val="20"/>
              </w:rPr>
              <w:t xml:space="preserve">0.725 / 0.586</w:t>
            </w:r>
          </w:p>
        </w:tc>
        <w:tc>
          <w:tcPr>
            <w:tcW w:type="dxa" w:w="2347"/>
          </w:tcPr>
          <w:p>
            <w:pPr>
              <w:pStyle w:val="Compact"/>
              <w:keepNext/>
              <w:spacing w:line="252" w:lineRule="auto"/>
              <w:jc w:val="center"/>
            </w:pPr>
            <w:r>
              <w:rPr>
                <w:rFonts w:ascii="Times New Roman" w:hAnsi="Times New Roman"/>
                <w:sz w:val="20"/>
              </w:rPr>
              <w:t xml:space="preserve">0.589 / 0.635</w:t>
            </w:r>
          </w:p>
        </w:tc>
        <w:tc>
          <w:tcPr>
            <w:tcW w:type="dxa" w:w="2362"/>
          </w:tcPr>
          <w:p>
            <w:pPr>
              <w:pStyle w:val="Compact"/>
              <w:keepNext/>
              <w:spacing w:line="252" w:lineRule="auto"/>
              <w:jc w:val="center"/>
            </w:pPr>
            <w:r>
              <w:rPr>
                <w:rFonts w:ascii="Times New Roman" w:hAnsi="Times New Roman"/>
                <w:sz w:val="20"/>
              </w:rPr>
              <w:t xml:space="preserve">0.458 / 0.684</w:t>
            </w:r>
          </w:p>
        </w:tc>
      </w:tr>
      <w:tr>
        <w:tc>
          <w:tcPr>
            <w:tcW w:type="dxa" w:w="2304"/>
          </w:tcPr>
          <w:p>
            <w:pPr>
              <w:pStyle w:val="Compact"/>
              <w:keepNext/>
              <w:spacing w:line="252" w:lineRule="auto"/>
              <w:jc w:val="left"/>
            </w:pPr>
            <w:r>
              <w:rPr>
                <w:rFonts w:ascii="Times New Roman" w:hAnsi="Times New Roman"/>
                <w:sz w:val="20"/>
              </w:rPr>
              <w:t xml:space="preserve">ARPC + LDPC</w:t>
            </w:r>
          </w:p>
        </w:tc>
        <w:tc>
          <w:tcPr>
            <w:tcW w:type="dxa" w:w="2347"/>
          </w:tcPr>
          <w:p>
            <w:pPr>
              <w:pStyle w:val="Compact"/>
              <w:keepNext/>
              <w:spacing w:line="252" w:lineRule="auto"/>
              <w:jc w:val="center"/>
            </w:pPr>
            <w:r>
              <w:rPr>
                <w:rFonts w:ascii="Times New Roman" w:hAnsi="Times New Roman"/>
                <w:sz w:val="20"/>
              </w:rPr>
              <w:t xml:space="preserve">0.512 / 0.644</w:t>
            </w:r>
          </w:p>
        </w:tc>
        <w:tc>
          <w:tcPr>
            <w:tcW w:type="dxa" w:w="2347"/>
          </w:tcPr>
          <w:p>
            <w:pPr>
              <w:pStyle w:val="Compact"/>
              <w:keepNext/>
              <w:spacing w:line="252" w:lineRule="auto"/>
              <w:jc w:val="center"/>
            </w:pPr>
            <w:r>
              <w:rPr>
                <w:rFonts w:ascii="Times New Roman" w:hAnsi="Times New Roman"/>
                <w:sz w:val="20"/>
              </w:rPr>
              <w:t xml:space="preserve">0.341 / 0.713</w:t>
            </w:r>
          </w:p>
        </w:tc>
        <w:tc>
          <w:tcPr>
            <w:tcW w:type="dxa" w:w="2362"/>
          </w:tcPr>
          <w:p>
            <w:pPr>
              <w:pStyle w:val="Compact"/>
              <w:keepNext/>
              <w:spacing w:line="252" w:lineRule="auto"/>
              <w:jc w:val="center"/>
            </w:pPr>
            <w:r>
              <w:rPr>
                <w:rFonts w:ascii="Times New Roman" w:hAnsi="Times New Roman"/>
                <w:sz w:val="20"/>
              </w:rPr>
              <w:t xml:space="preserve">0.250 / 0.788</w:t>
            </w:r>
          </w:p>
        </w:tc>
      </w:tr>
      <w:tr>
        <w:tc>
          <w:tcPr>
            <w:tcW w:type="dxa" w:w="2304"/>
          </w:tcPr>
          <w:p>
            <w:pPr>
              <w:pStyle w:val="Compact"/>
              <w:keepNext/>
              <w:spacing w:line="252" w:lineRule="auto"/>
              <w:jc w:val="left"/>
            </w:pPr>
            <w:r>
              <w:rPr>
                <w:rFonts w:ascii="Times New Roman" w:hAnsi="Times New Roman"/>
                <w:sz w:val="20"/>
              </w:rPr>
              <w:t xml:space="preserve">Ada (adapted)</w:t>
            </w:r>
          </w:p>
        </w:tc>
        <w:tc>
          <w:tcPr>
            <w:tcW w:type="dxa" w:w="2347"/>
          </w:tcPr>
          <w:p>
            <w:pPr>
              <w:pStyle w:val="Compact"/>
              <w:keepNext/>
              <w:spacing w:line="252" w:lineRule="auto"/>
              <w:jc w:val="center"/>
            </w:pPr>
            <w:r>
              <w:rPr>
                <w:rFonts w:ascii="Times New Roman" w:hAnsi="Times New Roman"/>
                <w:sz w:val="20"/>
              </w:rPr>
              <w:t xml:space="preserve">0.395 / 0.828</w:t>
            </w:r>
          </w:p>
        </w:tc>
        <w:tc>
          <w:tcPr>
            <w:tcW w:type="dxa" w:w="2347"/>
          </w:tcPr>
          <w:p>
            <w:pPr>
              <w:pStyle w:val="Compact"/>
              <w:keepNext/>
              <w:spacing w:line="252" w:lineRule="auto"/>
              <w:jc w:val="center"/>
            </w:pPr>
            <w:r>
              <w:rPr>
                <w:rFonts w:ascii="Times New Roman" w:hAnsi="Times New Roman"/>
                <w:sz w:val="20"/>
              </w:rPr>
              <w:t xml:space="preserve">0.167 / 0.884</w:t>
            </w:r>
          </w:p>
        </w:tc>
        <w:tc>
          <w:tcPr>
            <w:tcW w:type="dxa" w:w="2362"/>
          </w:tcPr>
          <w:p>
            <w:pPr>
              <w:pStyle w:val="Compact"/>
              <w:keepNext w:val="0"/>
              <w:spacing w:line="252" w:lineRule="auto"/>
              <w:jc w:val="center"/>
            </w:pPr>
            <w:r>
              <w:rPr>
                <w:rFonts w:ascii="Times New Roman" w:hAnsi="Times New Roman"/>
                <w:sz w:val="20"/>
              </w:rPr>
              <w:t xml:space="preserve">0.138 / 0.892</w:t>
            </w:r>
          </w:p>
        </w:tc>
      </w:tr>
    </w:tbl>
    <w:bookmarkEnd w:id="32"/>
    <w:p>
      <w:pPr>
        <w:pStyle w:val="FirstParagraph"/>
        <w:widowControl/>
      </w:pPr>
      <w:r>
        <w:t xml:space="preserve">Fig. 2 and Table II show the complete-system tradeoffs at</w:t>
      </w:r>
      <w:r>
        <w:t xml:space="preserve"> </w:t>
      </w:r>
      <m:oMath>
        <m:r>
          <m:t>N</m:t>
        </m:r>
        <m:r>
          <m:rPr>
            <m:sty m:val="p"/>
          </m:rPr>
          <m:t>=</m:t>
        </m:r>
        <m:r>
          <m:t>1024</m:t>
        </m:r>
      </m:oMath>
      <w:r>
        <w:t xml:space="preserve">. NeST exceeds Ada in PSNR by 4.116/0.455/1.226 dB at 4/10/19 dB and exceeds ARPC by 3.26–3.97 dB. Ada has better LPIPS, DreamSim, and CLIP-I at 10 dB, higher CLIP-I at 4 dB, and slightly lower DreamSim at 19 dB. SwinJSCC and BPG have higher PSNR than NeST throughout; Latent JSCC has higher PSNR at 4/10 dB and lower LPIPS at 4 dB. Thus the source-constrained generative route offers a different balance between pixel fidelity and perceptual reconstruction. In the two development examples of Fig. 3, Latent JSCC smooths pastry ridges and facial details, while ARPC changes pastry shapes and the dog’s pose. NeST and Ada preserve more of these structures but differ in detail; the displayed metric rankings vary by image.</w:t>
      </w:r>
    </w:p>
    <w:p>
      <w:pPr>
        <w:pStyle w:val="Heading2"/>
        <w:keepNext/>
        <w:widowControl/>
      </w:pPr>
      <w:bookmarkStart w:id="33" w:name="_6318f08f22190fc1763f4f44298435bb02e9d9b"/>
      <w:r>
        <w:t xml:space="preserve">D. Transmission With a Reduced Symbol Budget</w:t>
      </w:r>
      <w:bookmarkEnd w:id="33"/>
    </w:p>
    <w:bookmarkStart w:id="34" w:name="_c0a386d0d22bcec76fa70578612129f7c2aedc4"/>
    <w:p>
      <w:pPr>
        <w:pStyle w:val="Caption"/>
        <w:keepNext/>
        <w:keepLines/>
        <w:widowControl/>
        <w:spacing w:line="276" w:lineRule="auto"/>
      </w:pPr>
      <w:r>
        <w:rPr>
          <w:b w:val="0"/>
          <w:sz w:val="20"/>
        </w:rPr>
        <w:t xml:space="preserve">Table III. Reduced-budget comparison on common500 at</w:t>
      </w:r>
      <w:r>
        <w:rPr>
          <w:b w:val="0"/>
          <w:sz w:val="20"/>
        </w:rPr>
        <w:t xml:space="preserve"> </w:t>
      </w:r>
      <m:oMath>
        <m:r>
          <m:t>N</m:t>
        </m:r>
        <m:r>
          <m:rPr>
            <m:sty m:val="p"/>
          </m:rPr>
          <m:t>=</m:t>
        </m:r>
        <m:r>
          <m:t>512</m:t>
        </m:r>
      </m:oMath>
      <w:r>
        <w:rPr>
          <w:b w:val="0"/>
          <w:sz w:val="20"/>
        </w:rPr>
        <w:t xml:space="preserve">. Differences are NeST-Com minus the fixed-frame Ada-TokenCom adaptation; brackets give source-paired 95% CIs. Positive PSNR and negative DreamSim favor NeST-Com.</w:t>
      </w:r>
    </w:p>
    <w:tbl>
      <w:tblPr>
        <w:tblStyle w:val="Table"/>
        <w:tblW w:type="auto" w:w="0"/>
        <w:tblLayout w:type="fixed"/>
        <w:tblLook w:firstRow="1" w:lastRow="0" w:firstColumn="0" w:lastColumn="0" w:noHBand="0" w:noVBand="0" w:val="0020"/>
        <w:tblCaption w:val="Table III. Reduced-budget comparison on common500 at N=512. Differences are NeST-Com minus the fixed-frame Ada-TokenCom adaptation; brackets give source-paired 95% CIs. Positive PSNR and negative DreamSim favor NeST-Com."/>
        <w:tblBorders>
          <w:top w:val="single" w:sz="6" w:color="000000"/>
          <w:bottom w:val="single" w:sz="6" w:color="000000"/>
        </w:tblBorders>
      </w:tblPr>
      <w:tblGrid>
        <w:gridCol w:w="864"/>
        <w:gridCol w:w="4248"/>
        <w:gridCol w:w="4248"/>
      </w:tblGrid>
      <w:tr>
        <w:trPr>
          <w:tblHeader w:val="on"/>
        </w:trPr>
        <w:tc>
          <w:tcPr>
            <w:tcW w:type="dxa" w:w="864"/>
          </w:tcPr>
          <w:p>
            <w:pPr>
              <w:pStyle w:val="Compact"/>
              <w:keepNext/>
              <w:spacing w:line="252" w:lineRule="auto"/>
              <w:jc w:val="center"/>
            </w:pPr>
            <w:r>
              <w:rPr>
                <w:rFonts w:ascii="Times New Roman" w:hAnsi="Times New Roman"/>
                <w:b/>
                <w:sz w:val="20"/>
              </w:rPr>
              <w:t xml:space="preserve">SNR</w:t>
            </w:r>
          </w:p>
        </w:tc>
        <w:tc>
          <w:tcPr>
            <w:tcW w:type="dxa" w:w="4248"/>
          </w:tcPr>
          <w:p>
            <w:pPr>
              <w:pStyle w:val="Compact"/>
              <w:keepNext/>
              <w:spacing w:line="252" w:lineRule="auto"/>
              <w:jc w:val="center"/>
            </w:pPr>
            <m:oMath>
              <m:r>
                <m:rPr>
                  <m:sty m:val="p"/>
                </m:rPr>
                <m:t>Δ</m:t>
                <w:rPr>
                  <w:sz w:val="20"/>
                </w:rPr>
              </m:r>
            </m:oMath>
            <w:r>
              <w:rPr>
                <w:rFonts w:ascii="Times New Roman" w:hAnsi="Times New Roman"/>
                <w:b/>
                <w:sz w:val="20"/>
              </w:rPr>
              <w:t xml:space="preserve">PSNR (dB)</w:t>
            </w:r>
          </w:p>
        </w:tc>
        <w:tc>
          <w:tcPr>
            <w:tcW w:type="dxa" w:w="4248"/>
          </w:tcPr>
          <w:p>
            <w:pPr>
              <w:pStyle w:val="Compact"/>
              <w:keepNext/>
              <w:spacing w:line="252" w:lineRule="auto"/>
              <w:jc w:val="center"/>
            </w:pPr>
            <m:oMath>
              <m:r>
                <m:rPr>
                  <m:sty m:val="p"/>
                </m:rPr>
                <m:t>Δ</m:t>
                <w:rPr>
                  <w:sz w:val="20"/>
                </w:rPr>
              </m:r>
            </m:oMath>
            <w:r>
              <w:rPr>
                <w:rFonts w:ascii="Times New Roman" w:hAnsi="Times New Roman"/>
                <w:b/>
                <w:sz w:val="20"/>
              </w:rPr>
              <w:t xml:space="preserve">DreamSim</w:t>
            </w:r>
          </w:p>
        </w:tc>
      </w:tr>
      <w:tr>
        <w:tc>
          <w:tcPr>
            <w:tcW w:type="dxa" w:w="864"/>
          </w:tcPr>
          <w:p>
            <w:pPr>
              <w:pStyle w:val="Compact"/>
              <w:keepNext/>
              <w:spacing w:line="252" w:lineRule="auto"/>
              <w:jc w:val="center"/>
            </w:pPr>
            <w:r>
              <w:rPr>
                <w:rFonts w:ascii="Times New Roman" w:hAnsi="Times New Roman"/>
                <w:sz w:val="20"/>
              </w:rPr>
              <w:t xml:space="preserve">4</w:t>
            </w:r>
          </w:p>
        </w:tc>
        <w:tc>
          <w:tcPr>
            <w:tcW w:type="dxa" w:w="4248"/>
          </w:tcPr>
          <w:p>
            <w:pPr>
              <w:pStyle w:val="Compact"/>
              <w:keepNext/>
              <w:spacing w:line="252" w:lineRule="auto"/>
              <w:jc w:val="center"/>
            </w:pPr>
            <m:oMath>
              <m:r>
                <m:rPr>
                  <m:sty m:val="p"/>
                </m:rPr>
                <m:t>+</m:t>
                <w:rPr>
                  <w:sz w:val="20"/>
                </w:rPr>
              </m:r>
              <m:r>
                <m:t>4.180</m:t>
                <w:rPr>
                  <w:sz w:val="20"/>
                </w:rPr>
              </m:r>
            </m:oMath>
            <w:r>
              <w:rPr>
                <w:rFonts w:ascii="Times New Roman" w:hAnsi="Times New Roman"/>
                <w:sz w:val="20"/>
              </w:rPr>
              <w:t xml:space="preserve">​</w:t>
            </w:r>
          </w:p>
        </w:tc>
        <w:tc>
          <w:tcPr>
            <w:tcW w:type="dxa" w:w="4248"/>
          </w:tcPr>
          <w:p>
            <w:pPr>
              <w:pStyle w:val="Compact"/>
              <w:keepNext/>
              <w:spacing w:line="252" w:lineRule="auto"/>
              <w:jc w:val="center"/>
            </w:pPr>
            <m:oMath>
              <m:r>
                <m:rPr>
                  <m:sty m:val="p"/>
                </m:rPr>
                <m:t>−</m:t>
                <w:rPr>
                  <w:sz w:val="20"/>
                </w:rPr>
              </m:r>
              <m:r>
                <m:t>0.1029</m:t>
                <w:rPr>
                  <w:sz w:val="20"/>
                </w:rPr>
              </m:r>
            </m:oMath>
            <w:r>
              <w:rPr>
                <w:rFonts w:ascii="Times New Roman" w:hAnsi="Times New Roman"/>
                <w:sz w:val="20"/>
              </w:rPr>
              <w:t xml:space="preserve">​</w:t>
            </w:r>
          </w:p>
        </w:tc>
      </w:tr>
      <w:tr>
        <w:tc>
          <w:tcPr>
            <w:tcW w:type="dxa" w:w="864"/>
          </w:tcPr>
          <w:p>
            <w:pPr>
              <w:pStyle w:val="Compact"/>
              <w:keepNext/>
              <w:spacing w:line="252" w:lineRule="auto"/>
            </w:pPr>
          </w:p>
        </w:tc>
        <w:tc>
          <w:tcPr>
            <w:tcW w:type="dxa" w:w="4248"/>
          </w:tcPr>
          <w:p>
            <w:pPr>
              <w:pStyle w:val="Compact"/>
              <w:keepNext/>
              <w:spacing w:line="252" w:lineRule="auto"/>
              <w:jc w:val="center"/>
            </w:pPr>
            <m:oMath>
              <m:r>
                <m:rPr>
                  <m:sty m:val="p"/>
                </m:rPr>
                <m:t>[</m:t>
                <w:rPr>
                  <w:sz w:val="20"/>
                </w:rPr>
              </m:r>
              <m:r>
                <m:t>3.991</m:t>
                <w:rPr>
                  <w:sz w:val="20"/>
                </w:rPr>
              </m:r>
              <m:r>
                <m:rPr>
                  <m:sty m:val="p"/>
                </m:rPr>
                <m:t>,</m:t>
                <w:rPr>
                  <w:sz w:val="20"/>
                </w:rPr>
              </m:r>
              <m:r>
                <m:t>4.377</m:t>
                <w:rPr>
                  <w:sz w:val="20"/>
                </w:rPr>
              </m:r>
              <m:r>
                <m:rPr>
                  <m:sty m:val="p"/>
                </m:rPr>
                <m:t>]</m:t>
                <w:rPr>
                  <w:sz w:val="20"/>
                </w:rPr>
              </m:r>
            </m:oMath>
            <w:r>
              <w:rPr>
                <w:rFonts w:ascii="Times New Roman" w:hAnsi="Times New Roman"/>
                <w:sz w:val="20"/>
              </w:rPr>
              <w:t xml:space="preserve">​</w:t>
            </w:r>
          </w:p>
        </w:tc>
        <w:tc>
          <w:tcPr>
            <w:tcW w:type="dxa" w:w="4248"/>
          </w:tcPr>
          <w:p>
            <w:pPr>
              <w:pStyle w:val="Compact"/>
              <w:keepNext/>
              <w:spacing w:line="252" w:lineRule="auto"/>
              <w:jc w:val="center"/>
            </w:pPr>
            <m:oMath>
              <m:r>
                <m:rPr>
                  <m:sty m:val="p"/>
                </m:rPr>
                <m:t>[</m:t>
                <w:rPr>
                  <w:sz w:val="20"/>
                </w:rPr>
              </m:r>
              <m:r>
                <m:rPr>
                  <m:sty m:val="p"/>
                </m:rPr>
                <m:t>−</m:t>
                <w:rPr>
                  <w:sz w:val="20"/>
                </w:rPr>
              </m:r>
              <m:r>
                <m:t>0.1142</m:t>
                <w:rPr>
                  <w:sz w:val="20"/>
                </w:rPr>
              </m:r>
              <m:r>
                <m:rPr>
                  <m:sty m:val="p"/>
                </m:rPr>
                <m:t>,</m:t>
                <w:rPr>
                  <w:sz w:val="20"/>
                </w:rPr>
              </m:r>
              <m:r>
                <m:rPr>
                  <m:sty m:val="p"/>
                </m:rPr>
                <m:t>−</m:t>
                <w:rPr>
                  <w:sz w:val="20"/>
                </w:rPr>
              </m:r>
              <m:r>
                <m:t>0.0917</m:t>
                <w:rPr>
                  <w:sz w:val="20"/>
                </w:rPr>
              </m:r>
              <m:r>
                <m:rPr>
                  <m:sty m:val="p"/>
                </m:rPr>
                <m:t>]</m:t>
                <w:rPr>
                  <w:sz w:val="20"/>
                </w:rPr>
              </m:r>
            </m:oMath>
            <w:r>
              <w:rPr>
                <w:rFonts w:ascii="Times New Roman" w:hAnsi="Times New Roman"/>
                <w:sz w:val="20"/>
              </w:rPr>
              <w:t xml:space="preserve">​</w:t>
            </w:r>
          </w:p>
        </w:tc>
      </w:tr>
      <w:tr>
        <w:tc>
          <w:tcPr>
            <w:tcW w:type="dxa" w:w="864"/>
          </w:tcPr>
          <w:p>
            <w:pPr>
              <w:pStyle w:val="Compact"/>
              <w:keepNext/>
              <w:spacing w:line="252" w:lineRule="auto"/>
              <w:jc w:val="center"/>
            </w:pPr>
            <w:r>
              <w:rPr>
                <w:rFonts w:ascii="Times New Roman" w:hAnsi="Times New Roman"/>
                <w:sz w:val="20"/>
              </w:rPr>
              <w:t xml:space="preserve">10</w:t>
            </w:r>
          </w:p>
        </w:tc>
        <w:tc>
          <w:tcPr>
            <w:tcW w:type="dxa" w:w="4248"/>
          </w:tcPr>
          <w:p>
            <w:pPr>
              <w:pStyle w:val="Compact"/>
              <w:keepNext/>
              <w:spacing w:line="252" w:lineRule="auto"/>
              <w:jc w:val="center"/>
            </w:pPr>
            <m:oMath>
              <m:r>
                <m:rPr>
                  <m:sty m:val="p"/>
                </m:rPr>
                <m:t>+</m:t>
                <w:rPr>
                  <w:sz w:val="20"/>
                </w:rPr>
              </m:r>
              <m:r>
                <m:t>4.055</m:t>
                <w:rPr>
                  <w:sz w:val="20"/>
                </w:rPr>
              </m:r>
            </m:oMath>
            <w:r>
              <w:rPr>
                <w:rFonts w:ascii="Times New Roman" w:hAnsi="Times New Roman"/>
                <w:sz w:val="20"/>
              </w:rPr>
              <w:t xml:space="preserve">​</w:t>
            </w:r>
          </w:p>
        </w:tc>
        <w:tc>
          <w:tcPr>
            <w:tcW w:type="dxa" w:w="4248"/>
          </w:tcPr>
          <w:p>
            <w:pPr>
              <w:pStyle w:val="Compact"/>
              <w:keepNext/>
              <w:spacing w:line="252" w:lineRule="auto"/>
              <w:jc w:val="center"/>
            </w:pPr>
            <m:oMath>
              <m:r>
                <m:rPr>
                  <m:sty m:val="p"/>
                </m:rPr>
                <m:t>−</m:t>
                <w:rPr>
                  <w:sz w:val="20"/>
                </w:rPr>
              </m:r>
              <m:r>
                <m:t>0.0660</m:t>
                <w:rPr>
                  <w:sz w:val="20"/>
                </w:rPr>
              </m:r>
            </m:oMath>
            <w:r>
              <w:rPr>
                <w:rFonts w:ascii="Times New Roman" w:hAnsi="Times New Roman"/>
                <w:sz w:val="20"/>
              </w:rPr>
              <w:t xml:space="preserve">​</w:t>
            </w:r>
          </w:p>
        </w:tc>
      </w:tr>
      <w:tr>
        <w:tc>
          <w:tcPr>
            <w:tcW w:type="dxa" w:w="864"/>
          </w:tcPr>
          <w:p>
            <w:pPr>
              <w:pStyle w:val="Compact"/>
              <w:keepNext/>
              <w:spacing w:line="252" w:lineRule="auto"/>
            </w:pPr>
          </w:p>
        </w:tc>
        <w:tc>
          <w:tcPr>
            <w:tcW w:type="dxa" w:w="4248"/>
          </w:tcPr>
          <w:p>
            <w:pPr>
              <w:pStyle w:val="Compact"/>
              <w:keepNext/>
              <w:spacing w:line="252" w:lineRule="auto"/>
              <w:jc w:val="center"/>
            </w:pPr>
            <m:oMath>
              <m:r>
                <m:rPr>
                  <m:sty m:val="p"/>
                </m:rPr>
                <m:t>[</m:t>
                <w:rPr>
                  <w:sz w:val="20"/>
                </w:rPr>
              </m:r>
              <m:r>
                <m:t>3.880</m:t>
                <w:rPr>
                  <w:sz w:val="20"/>
                </w:rPr>
              </m:r>
              <m:r>
                <m:rPr>
                  <m:sty m:val="p"/>
                </m:rPr>
                <m:t>,</m:t>
                <w:rPr>
                  <w:sz w:val="20"/>
                </w:rPr>
              </m:r>
              <m:r>
                <m:t>4.235</m:t>
                <w:rPr>
                  <w:sz w:val="20"/>
                </w:rPr>
              </m:r>
              <m:r>
                <m:rPr>
                  <m:sty m:val="p"/>
                </m:rPr>
                <m:t>]</m:t>
                <w:rPr>
                  <w:sz w:val="20"/>
                </w:rPr>
              </m:r>
            </m:oMath>
            <w:r>
              <w:rPr>
                <w:rFonts w:ascii="Times New Roman" w:hAnsi="Times New Roman"/>
                <w:sz w:val="20"/>
              </w:rPr>
              <w:t xml:space="preserve">​</w:t>
            </w:r>
          </w:p>
        </w:tc>
        <w:tc>
          <w:tcPr>
            <w:tcW w:type="dxa" w:w="4248"/>
          </w:tcPr>
          <w:p>
            <w:pPr>
              <w:pStyle w:val="Compact"/>
              <w:keepNext/>
              <w:spacing w:line="252" w:lineRule="auto"/>
              <w:jc w:val="center"/>
            </w:pPr>
            <m:oMath>
              <m:r>
                <m:rPr>
                  <m:sty m:val="p"/>
                </m:rPr>
                <m:t>[</m:t>
                <w:rPr>
                  <w:sz w:val="20"/>
                </w:rPr>
              </m:r>
              <m:r>
                <m:rPr>
                  <m:sty m:val="p"/>
                </m:rPr>
                <m:t>−</m:t>
                <w:rPr>
                  <w:sz w:val="20"/>
                </w:rPr>
              </m:r>
              <m:r>
                <m:t>0.0747</m:t>
                <w:rPr>
                  <w:sz w:val="20"/>
                </w:rPr>
              </m:r>
              <m:r>
                <m:rPr>
                  <m:sty m:val="p"/>
                </m:rPr>
                <m:t>,</m:t>
                <w:rPr>
                  <w:sz w:val="20"/>
                </w:rPr>
              </m:r>
              <m:r>
                <m:rPr>
                  <m:sty m:val="p"/>
                </m:rPr>
                <m:t>−</m:t>
                <w:rPr>
                  <w:sz w:val="20"/>
                </w:rPr>
              </m:r>
              <m:r>
                <m:t>0.0573</m:t>
                <w:rPr>
                  <w:sz w:val="20"/>
                </w:rPr>
              </m:r>
              <m:r>
                <m:rPr>
                  <m:sty m:val="p"/>
                </m:rPr>
                <m:t>]</m:t>
                <w:rPr>
                  <w:sz w:val="20"/>
                </w:rPr>
              </m:r>
            </m:oMath>
            <w:r>
              <w:rPr>
                <w:rFonts w:ascii="Times New Roman" w:hAnsi="Times New Roman"/>
                <w:sz w:val="20"/>
              </w:rPr>
              <w:t xml:space="preserve">​</w:t>
            </w:r>
          </w:p>
        </w:tc>
      </w:tr>
      <w:tr>
        <w:tc>
          <w:tcPr>
            <w:tcW w:type="dxa" w:w="864"/>
          </w:tcPr>
          <w:p>
            <w:pPr>
              <w:pStyle w:val="Compact"/>
              <w:keepNext/>
              <w:spacing w:line="252" w:lineRule="auto"/>
              <w:jc w:val="center"/>
            </w:pPr>
            <w:r>
              <w:rPr>
                <w:rFonts w:ascii="Times New Roman" w:hAnsi="Times New Roman"/>
                <w:sz w:val="20"/>
              </w:rPr>
              <w:t xml:space="preserve">19</w:t>
            </w:r>
          </w:p>
        </w:tc>
        <w:tc>
          <w:tcPr>
            <w:tcW w:type="dxa" w:w="4248"/>
          </w:tcPr>
          <w:p>
            <w:pPr>
              <w:pStyle w:val="Compact"/>
              <w:keepNext/>
              <w:spacing w:line="252" w:lineRule="auto"/>
              <w:jc w:val="center"/>
            </w:pPr>
            <m:oMath>
              <m:r>
                <m:rPr>
                  <m:sty m:val="p"/>
                </m:rPr>
                <m:t>+</m:t>
                <w:rPr>
                  <w:sz w:val="20"/>
                </w:rPr>
              </m:r>
              <m:r>
                <m:t>1.740</m:t>
                <w:rPr>
                  <w:sz w:val="20"/>
                </w:rPr>
              </m:r>
            </m:oMath>
            <w:r>
              <w:rPr>
                <w:rFonts w:ascii="Times New Roman" w:hAnsi="Times New Roman"/>
                <w:sz w:val="20"/>
              </w:rPr>
              <w:t xml:space="preserve">​</w:t>
            </w:r>
          </w:p>
        </w:tc>
        <w:tc>
          <w:tcPr>
            <w:tcW w:type="dxa" w:w="4248"/>
          </w:tcPr>
          <w:p>
            <w:pPr>
              <w:pStyle w:val="Compact"/>
              <w:keepNext/>
              <w:spacing w:line="252" w:lineRule="auto"/>
              <w:jc w:val="center"/>
            </w:pPr>
            <m:oMath>
              <m:r>
                <m:rPr>
                  <m:sty m:val="p"/>
                </m:rPr>
                <m:t>+</m:t>
                <w:rPr>
                  <w:sz w:val="20"/>
                </w:rPr>
              </m:r>
              <m:r>
                <m:t>0.0139</m:t>
                <w:rPr>
                  <w:sz w:val="20"/>
                </w:rPr>
              </m:r>
            </m:oMath>
            <w:r>
              <w:rPr>
                <w:rFonts w:ascii="Times New Roman" w:hAnsi="Times New Roman"/>
                <w:sz w:val="20"/>
              </w:rPr>
              <w:t xml:space="preserve">​</w:t>
            </w:r>
          </w:p>
        </w:tc>
      </w:tr>
      <w:tr>
        <w:tc>
          <w:tcPr>
            <w:tcW w:type="dxa" w:w="864"/>
          </w:tcPr>
          <w:p>
            <w:pPr>
              <w:pStyle w:val="Compact"/>
              <w:keepNext/>
              <w:spacing w:line="252" w:lineRule="auto"/>
            </w:pPr>
          </w:p>
        </w:tc>
        <w:tc>
          <w:tcPr>
            <w:tcW w:type="dxa" w:w="4248"/>
          </w:tcPr>
          <w:p>
            <w:pPr>
              <w:pStyle w:val="Compact"/>
              <w:keepNext/>
              <w:spacing w:line="252" w:lineRule="auto"/>
              <w:jc w:val="center"/>
            </w:pPr>
            <m:oMath>
              <m:r>
                <m:rPr>
                  <m:sty m:val="p"/>
                </m:rPr>
                <m:t>[</m:t>
                <w:rPr>
                  <w:sz w:val="20"/>
                </w:rPr>
              </m:r>
              <m:r>
                <m:t>1.577</m:t>
                <w:rPr>
                  <w:sz w:val="20"/>
                </w:rPr>
              </m:r>
              <m:r>
                <m:rPr>
                  <m:sty m:val="p"/>
                </m:rPr>
                <m:t>,</m:t>
                <w:rPr>
                  <w:sz w:val="20"/>
                </w:rPr>
              </m:r>
              <m:r>
                <m:t>1.909</m:t>
                <w:rPr>
                  <w:sz w:val="20"/>
                </w:rPr>
              </m:r>
              <m:r>
                <m:rPr>
                  <m:sty m:val="p"/>
                </m:rPr>
                <m:t>]</m:t>
                <w:rPr>
                  <w:sz w:val="20"/>
                </w:rPr>
              </m:r>
            </m:oMath>
            <w:r>
              <w:rPr>
                <w:rFonts w:ascii="Times New Roman" w:hAnsi="Times New Roman"/>
                <w:sz w:val="20"/>
              </w:rPr>
              <w:t xml:space="preserve">​</w:t>
            </w:r>
          </w:p>
        </w:tc>
        <w:tc>
          <w:tcPr>
            <w:tcW w:type="dxa" w:w="4248"/>
          </w:tcPr>
          <w:p>
            <w:pPr>
              <w:pStyle w:val="Compact"/>
              <w:keepNext w:val="0"/>
              <w:spacing w:line="252" w:lineRule="auto"/>
              <w:jc w:val="center"/>
            </w:pPr>
            <m:oMath>
              <m:r>
                <m:rPr>
                  <m:sty m:val="p"/>
                </m:rPr>
                <m:t>[</m:t>
                <w:rPr>
                  <w:sz w:val="20"/>
                </w:rPr>
              </m:r>
              <m:r>
                <m:t>0.0103</m:t>
                <w:rPr>
                  <w:sz w:val="20"/>
                </w:rPr>
              </m:r>
              <m:r>
                <m:rPr>
                  <m:sty m:val="p"/>
                </m:rPr>
                <m:t>,</m:t>
                <w:rPr>
                  <w:sz w:val="20"/>
                </w:rPr>
              </m:r>
              <m:r>
                <m:t>0.0173</m:t>
                <w:rPr>
                  <w:sz w:val="20"/>
                </w:rPr>
              </m:r>
              <m:r>
                <m:rPr>
                  <m:sty m:val="p"/>
                </m:rPr>
                <m:t>]</m:t>
                <w:rPr>
                  <w:sz w:val="20"/>
                </w:rPr>
              </m:r>
            </m:oMath>
            <w:r>
              <w:rPr>
                <w:rFonts w:ascii="Times New Roman" w:hAnsi="Times New Roman"/>
                <w:sz w:val="20"/>
              </w:rPr>
              <w:t xml:space="preserve">​</w:t>
            </w:r>
          </w:p>
        </w:tc>
      </w:tr>
    </w:tbl>
    <w:bookmarkEnd w:id="34"/>
    <w:p>
      <w:pPr>
        <w:pStyle w:val="FirstParagraph"/>
        <w:widowControl/>
      </w:pPr>
      <w:r>
        <w:t xml:space="preserve">At</w:t>
      </w:r>
      <w:r>
        <w:t xml:space="preserve"> </w:t>
      </w:r>
      <m:oMath>
        <m:r>
          <m:t>N</m:t>
        </m:r>
        <m:r>
          <m:rPr>
            <m:sty m:val="p"/>
          </m:rPr>
          <m:t>=</m:t>
        </m:r>
        <m:r>
          <m:t>512</m:t>
        </m:r>
      </m:oMath>
      <w:r>
        <w:t xml:space="preserve">, 68 header symbols leave 444 body symbols. NeST improves over WHOLE by</w:t>
      </w:r>
      <w:r>
        <w:t xml:space="preserve"> </w:t>
      </w:r>
      <m:oMath>
        <m:r>
          <m:t>0.392</m:t>
        </m:r>
        <m:r>
          <m:t> </m:t>
        </m:r>
        <m:r>
          <m:rPr>
            <m:sty m:val="p"/>
          </m:rPr>
          <m:t>[</m:t>
        </m:r>
        <m:r>
          <m:t>0.341</m:t>
        </m:r>
        <m:r>
          <m:rPr>
            <m:sty m:val="p"/>
          </m:rPr>
          <m:t>,</m:t>
        </m:r>
        <m:r>
          <m:t>0.444</m:t>
        </m:r>
        <m:r>
          <m:rPr>
            <m:sty m:val="p"/>
          </m:rPr>
          <m:t>]</m:t>
        </m:r>
      </m:oMath>
      <w:r>
        <w:t xml:space="preserve">,</w:t>
      </w:r>
      <w:r>
        <w:t xml:space="preserve"> </w:t>
      </w:r>
      <m:oMath>
        <m:r>
          <m:t>0.399</m:t>
        </m:r>
        <m:r>
          <m:t> </m:t>
        </m:r>
        <m:r>
          <m:rPr>
            <m:sty m:val="p"/>
          </m:rPr>
          <m:t>[</m:t>
        </m:r>
        <m:r>
          <m:t>0.356</m:t>
        </m:r>
        <m:r>
          <m:rPr>
            <m:sty m:val="p"/>
          </m:rPr>
          <m:t>,</m:t>
        </m:r>
        <m:r>
          <m:t>0.445</m:t>
        </m:r>
        <m:r>
          <m:rPr>
            <m:sty m:val="p"/>
          </m:rPr>
          <m:t>]</m:t>
        </m:r>
      </m:oMath>
      <w:r>
        <w:t xml:space="preserve">, and</w:t>
      </w:r>
      <w:r>
        <w:t xml:space="preserve"> </w:t>
      </w:r>
      <m:oMath>
        <m:r>
          <m:t>0.792</m:t>
        </m:r>
        <m:r>
          <m:t> </m:t>
        </m:r>
        <m:r>
          <m:rPr>
            <m:sty m:val="p"/>
          </m:rPr>
          <m:t>[</m:t>
        </m:r>
        <m:r>
          <m:t>0.740</m:t>
        </m:r>
        <m:r>
          <m:rPr>
            <m:sty m:val="p"/>
          </m:rPr>
          <m:t>,</m:t>
        </m:r>
        <m:r>
          <m:t>0.844</m:t>
        </m:r>
        <m:r>
          <m:rPr>
            <m:sty m:val="p"/>
          </m:rPr>
          <m:t>]</m:t>
        </m:r>
      </m:oMath>
      <w:r>
        <w:t xml:space="preserve"> dB at 4/10/19 dB. All corresponding LPIPS, DreamSim, and CLIP-I paired intervals also favor NeST. At 10 dB, WHOLE and NeST select the same target</w:t>
      </w:r>
      <w:r>
        <w:t xml:space="preserve"> </w:t>
      </w:r>
      <m:oMath>
        <m:r>
          <m:rPr>
            <m:sty m:val="p"/>
          </m:rPr>
          <m:t>(</m:t>
        </m:r>
        <m:r>
          <m:t>7</m:t>
        </m:r>
        <m:r>
          <m:rPr>
            <m:sty m:val="p"/>
          </m:rPr>
          <m:t>,</m:t>
        </m:r>
        <m:r>
          <m:t>0</m:t>
        </m:r>
        <m:r>
          <m:rPr>
            <m:sty m:val="p"/>
          </m:rPr>
          <m:t>)</m:t>
        </m:r>
      </m:oMath>
      <w:r>
        <w:t xml:space="preserve"> </w:t>
      </w:r>
      <w:r>
        <w:t xml:space="preserve">and 16-QAM rate-2/3 MCS. Both fall back from this target for 99.6% of sources, but NeST retains a within-scale prefix for 89.0%. The mean number of retained tokens increases from 91.3 to 107.9, raising source-bit utilization from 79.30% to 93.46%.</w:t>
      </w:r>
    </w:p>
    <w:p>
      <w:pPr>
        <w:pStyle w:val="BodyText"/>
        <w:widowControl/>
      </w:pPr>
      <w:r>
        <w:t xml:space="preserve">WHOLE already has higher mean PSNR than Ada by 3.79/3.66/0.95 dB. NeST increases these gaps to 4.180/4.055/1.740 dB (Table III) and has lower LPIPS at all three SNRs. DreamSim favors NeST at 4/10 dB and Ada at 19 dB; CLIP-I favors Ada throughout.</w:t>
      </w:r>
    </w:p>
    <w:p>
      <w:pPr>
        <w:pStyle w:val="BodyText"/>
        <w:widowControl/>
      </w:pPr>
      <w:r>
        <w:t xml:space="preserve">Replacing Ada’s sampled tail by argmax on the fixed 100-image subset leaves NeST higher in PSNR by 4.63/4.60 dB at</w:t>
      </w:r>
      <w:r>
        <w:t xml:space="preserve"> </w:t>
      </w:r>
      <m:oMath>
        <m:r>
          <m:t>N</m:t>
        </m:r>
        <m:r>
          <m:rPr>
            <m:sty m:val="p"/>
          </m:rPr>
          <m:t>=</m:t>
        </m:r>
        <m:r>
          <m:t>512</m:t>
        </m:r>
      </m:oMath>
      <w:r>
        <w:t xml:space="preserve">, 4/10 dB; complete sensitivity results are in Supplement S3.</w:t>
      </w:r>
    </w:p>
    <w:p>
      <w:pPr>
        <w:pStyle w:val="Heading1"/>
        <w:keepNext/>
        <w:widowControl/>
      </w:pPr>
      <w:bookmarkStart w:id="35" w:name="_d9718092ed972738214814b0e6aeea6c78c8083"/>
      <w:r>
        <w:t xml:space="preserve">IV. Conclusion</w:t>
      </w:r>
      <w:bookmarkEnd w:id="35"/>
    </w:p>
    <w:p>
      <w:pPr>
        <w:pStyle w:val="FirstParagraph"/>
        <w:widowControl/>
      </w:pPr>
      <w:r>
        <w:t xml:space="preserve">NeST-Com adapts next-scale residual representations to fixed digital frames through within-scale endpoints, actual-length fitting, and prefix-constrained reconstruction. Received boundary tokens improve both residual reconstruction and finer-scale prediction. Shared-model experiments show higher source-bit utilization and consistent PSNR gains at 512- and 1024-symbol budgets, while comparisons with existing systems show useful low-budget reconstruction performance with metric-dependent perceptual tradeoffs. Future work will extend frame selection to uncertain channel conditions.</w:t>
      </w:r>
    </w:p>
    <w:p>
      <w:pPr>
        <w:pStyle w:val="Heading1"/>
        <w:keepNext/>
        <w:widowControl/>
      </w:pPr>
      <w:bookmarkStart w:id="36" w:name="_references"/>
      <w:r>
        <w:t xml:space="preserve">References</w:t>
      </w:r>
      <w:bookmarkEnd w:id="36"/>
    </w:p>
    <w:p>
      <w:pPr>
        <w:pStyle w:val="FirstParagraph"/>
        <w:widowControl/>
      </w:pPr>
      <w:r>
        <w:t xml:space="preserve">[1] E. Bourtsoulatze, D. B. Kurka, and D. Gündüz,</w:t>
      </w:r>
      <w:r>
        <w:t xml:space="preserve"> </w:t>
      </w:r>
      <w:r>
        <w:t xml:space="preserve">“Deep joint source-channel coding for wireless image transmission,”</w:t>
      </w:r>
      <w:r>
        <w:t xml:space="preserve"> </w:t>
      </w:r>
      <w:r>
        <w:rPr>
          <w:i/>
          <w:iCs/>
        </w:rPr>
        <w:t xml:space="preserve">IEEE Trans. Cogn. Commun. Netw.</w:t>
      </w:r>
      <w:r>
        <w:t xml:space="preserve">, vol. 5, no. 3, pp. 567–579, Sep. 2019.</w:t>
      </w:r>
    </w:p>
    <w:p>
      <w:pPr>
        <w:pStyle w:val="BodyText"/>
        <w:widowControl/>
      </w:pPr>
      <w:r>
        <w:t xml:space="preserve">[2] K. Yang, S. Wang, J. Dai, X. Qin, K. Niu, and P. Zhang,</w:t>
      </w:r>
      <w:r>
        <w:t xml:space="preserve"> </w:t>
      </w:r>
      <w:r>
        <w:t xml:space="preserve">“SwinJSCC: Taming Swin Transformer for deep joint source-channel coding,”</w:t>
      </w:r>
      <w:r>
        <w:t xml:space="preserve"> </w:t>
      </w:r>
      <w:r>
        <w:rPr>
          <w:i/>
          <w:iCs/>
        </w:rPr>
        <w:t xml:space="preserve">IEEE Trans. Cogn. Commun. Netw.</w:t>
      </w:r>
      <w:r>
        <w:t xml:space="preserve">, vol. 11, no. 1, pp. 90–104, Feb. 2025.</w:t>
      </w:r>
    </w:p>
    <w:p>
      <w:pPr>
        <w:pStyle w:val="BodyText"/>
        <w:widowControl/>
      </w:pPr>
      <w:r>
        <w:t xml:space="preserve">[3] V. Chande and N. Farvardin,</w:t>
      </w:r>
      <w:r>
        <w:t xml:space="preserve"> </w:t>
      </w:r>
      <w:r>
        <w:t xml:space="preserve">“Progressive transmission of images over memoryless noisy channels,”</w:t>
      </w:r>
      <w:r>
        <w:t xml:space="preserve"> </w:t>
      </w:r>
      <w:r>
        <w:rPr>
          <w:i/>
          <w:iCs/>
        </w:rPr>
        <w:t xml:space="preserve">IEEE J. Sel. Areas Commun.</w:t>
      </w:r>
      <w:r>
        <w:t xml:space="preserve">, vol. 18, no. 6, pp. 850–860, Jun. 2000, doi: 10.1109/49.848239.</w:t>
      </w:r>
    </w:p>
    <w:p>
      <w:pPr>
        <w:pStyle w:val="BodyText"/>
        <w:widowControl/>
      </w:pPr>
      <w:r>
        <w:t xml:space="preserve">[4] Z. Zhang, L. Qiao, M. B. Mashhadi, Z. Gao, M. Bennis, and K. Huang,</w:t>
      </w:r>
      <w:r>
        <w:t xml:space="preserve"> </w:t>
      </w:r>
      <w:r>
        <w:t xml:space="preserve">“Ada-TokenCom: Rate-adaptive token communications via large-model-driven token compression and generation,”</w:t>
      </w:r>
      <w:r>
        <w:t xml:space="preserve"> </w:t>
      </w:r>
      <w:r>
        <w:t xml:space="preserve">2026, arXiv:2608.28086.</w:t>
      </w:r>
    </w:p>
    <w:p>
      <w:pPr>
        <w:pStyle w:val="BodyText"/>
        <w:widowControl/>
      </w:pPr>
      <w:r>
        <w:t xml:space="preserve">[5] S. Liu and K. Wang,</w:t>
      </w:r>
      <w:r>
        <w:t xml:space="preserve"> </w:t>
      </w:r>
      <w:r>
        <w:t xml:space="preserve">“TONIC: Token-centric semantic communication for task-oriented wireless systems,”</w:t>
      </w:r>
      <w:r>
        <w:t xml:space="preserve"> </w:t>
      </w:r>
      <w:r>
        <w:t xml:space="preserve">2026, arXiv:2605.21553.</w:t>
      </w:r>
    </w:p>
    <w:p>
      <w:pPr>
        <w:pStyle w:val="BodyText"/>
        <w:widowControl/>
      </w:pPr>
      <w:r>
        <w:t xml:space="preserve">[6] Z. Zhang, Y. Xia, B. Chen, T. Zhang, H. Wang, and H. Qiu,</w:t>
      </w:r>
      <w:r>
        <w:t xml:space="preserve"> </w:t>
      </w:r>
      <w:r>
        <w:t xml:space="preserve">“Autoregressive-based progressive coding for ultra-low bitrate image compression,”</w:t>
      </w:r>
      <w:r>
        <w:t xml:space="preserve"> </w:t>
      </w:r>
      <w:r>
        <w:t xml:space="preserve">in</w:t>
      </w:r>
      <w:r>
        <w:t xml:space="preserve"> </w:t>
      </w:r>
      <w:r>
        <w:rPr>
          <w:i/>
          <w:iCs/>
        </w:rPr>
        <w:t xml:space="preserve">Int. Conf. Learning Representations</w:t>
      </w:r>
      <w:r>
        <w:t xml:space="preserve">, 2026.</w:t>
      </w:r>
    </w:p>
    <w:p>
      <w:pPr>
        <w:pStyle w:val="BodyText"/>
        <w:widowControl/>
      </w:pPr>
      <w:r>
        <w:t xml:space="preserve">[7] K. Tian, Y. Jiang, Z. Yuan, B. Peng, and L. Wang,</w:t>
      </w:r>
      <w:r>
        <w:t xml:space="preserve"> </w:t>
      </w:r>
      <w:r>
        <w:t xml:space="preserve">“Visual autoregressive modeling: Scalable image generation via next-scale prediction,”</w:t>
      </w:r>
      <w:r>
        <w:t xml:space="preserve"> </w:t>
      </w:r>
      <w:r>
        <w:t xml:space="preserve">in</w:t>
      </w:r>
      <w:r>
        <w:t xml:space="preserve"> </w:t>
      </w:r>
      <w:r>
        <w:rPr>
          <w:i/>
          <w:iCs/>
        </w:rPr>
        <w:t xml:space="preserve">Advances in Neural Information Processing Systems</w:t>
      </w:r>
      <w:r>
        <w:t xml:space="preserve">, vol. 37, 2024, pp. 84 839–84 865.</w:t>
      </w:r>
    </w:p>
    <w:p>
      <w:pPr>
        <w:pStyle w:val="BodyText"/>
        <w:widowControl/>
      </w:pPr>
      <w:r>
        <w:t xml:space="preserve">[8] I. H. Witten, R. M. Neal, and J. G. Cleary,</w:t>
      </w:r>
      <w:r>
        <w:t xml:space="preserve"> </w:t>
      </w:r>
      <w:r>
        <w:t xml:space="preserve">“Arithmetic coding for data compression,”</w:t>
      </w:r>
      <w:r>
        <w:t xml:space="preserve"> </w:t>
      </w:r>
      <w:r>
        <w:rPr>
          <w:i/>
          <w:iCs/>
        </w:rPr>
        <w:t xml:space="preserve">Commun. ACM</w:t>
      </w:r>
      <w:r>
        <w:t xml:space="preserve">, vol. 30, no. 6, pp. 520–540, Jun. 1987, doi: 10.1145/214762.214771.</w:t>
      </w:r>
    </w:p>
    <w:p>
      <w:pPr>
        <w:pStyle w:val="BodyText"/>
        <w:widowControl/>
      </w:pPr>
      <w:r>
        <w:t xml:space="preserve">[9] 3GPP,</w:t>
      </w:r>
      <w:r>
        <w:t xml:space="preserve"> </w:t>
      </w:r>
      <w:r>
        <w:t xml:space="preserve">“NR; Multiplexing and channel coding,”</w:t>
      </w:r>
      <w:r>
        <w:t xml:space="preserve"> </w:t>
      </w:r>
      <w:r>
        <w:t xml:space="preserve">TS 38.212, ver. 16.5.0, Release 16, 2021. [Online]. Available:</w:t>
      </w:r>
      <w:r>
        <w:t xml:space="preserve"> </w:t>
      </w:r>
      <w:hyperlink r:id="rId37">
        <w:r>
          <w:rPr>
            <w:rStyle w:val="Hyperlink"/>
          </w:rPr>
          <w:t xml:space="preserve">https://www.etsi.org/deliver/etsi_ts/138200_138299/138212/16.05.00_60/ts_138212v160500p.pdf</w:t>
        </w:r>
      </w:hyperlink>
    </w:p>
    <w:p>
      <w:pPr>
        <w:pStyle w:val="BodyText"/>
        <w:widowControl/>
      </w:pPr>
      <w:r>
        <w:t xml:space="preserve">[10] M. Oquab</w:t>
      </w:r>
      <w:r>
        <w:t xml:space="preserve"> </w:t>
      </w:r>
      <w:r>
        <w:rPr>
          <w:i/>
          <w:iCs/>
        </w:rPr>
        <w:t xml:space="preserve">et al.</w:t>
      </w:r>
      <w:r>
        <w:t xml:space="preserve">,</w:t>
      </w:r>
      <w:r>
        <w:t xml:space="preserve"> </w:t>
      </w:r>
      <w:r>
        <w:t xml:space="preserve">“DINOv2: Learning robust visual features without supervision,”</w:t>
      </w:r>
      <w:r>
        <w:t xml:space="preserve"> </w:t>
      </w:r>
      <w:r>
        <w:rPr>
          <w:i/>
          <w:iCs/>
        </w:rPr>
        <w:t xml:space="preserve">Trans. Mach. Learn. Res.</w:t>
      </w:r>
      <w:r>
        <w:t xml:space="preserve">, Jan. 2024. [Online]. Available:</w:t>
      </w:r>
      <w:r>
        <w:t xml:space="preserve"> </w:t>
      </w:r>
      <w:hyperlink r:id="rId38">
        <w:r>
          <w:rPr>
            <w:rStyle w:val="Hyperlink"/>
          </w:rPr>
          <w:t xml:space="preserve">https://openreview.net/forum?id=a68SUt6zFt</w:t>
        </w:r>
      </w:hyperlink>
    </w:p>
    <w:p>
      <w:pPr>
        <w:pStyle w:val="BodyText"/>
        <w:widowControl/>
      </w:pPr>
      <w:r>
        <w:t xml:space="preserve">[11] O. Russakovsky</w:t>
      </w:r>
      <w:r>
        <w:t xml:space="preserve"> </w:t>
      </w:r>
      <w:r>
        <w:rPr>
          <w:i/>
          <w:iCs/>
        </w:rPr>
        <w:t xml:space="preserve">et al.</w:t>
      </w:r>
      <w:r>
        <w:t xml:space="preserve">,</w:t>
      </w:r>
      <w:r>
        <w:t xml:space="preserve"> </w:t>
      </w:r>
      <w:r>
        <w:t xml:space="preserve">“ImageNet large scale visual recognition challenge,”</w:t>
      </w:r>
      <w:r>
        <w:t xml:space="preserve"> </w:t>
      </w:r>
      <w:r>
        <w:rPr>
          <w:i/>
          <w:iCs/>
        </w:rPr>
        <w:t xml:space="preserve">Int. J. Comput. Vis.</w:t>
      </w:r>
      <w:r>
        <w:t xml:space="preserve">, vol. 115, no. 3, pp. 211–252, 2015.</w:t>
      </w:r>
    </w:p>
    <w:p>
      <w:pPr>
        <w:pStyle w:val="BodyText"/>
        <w:widowControl/>
      </w:pPr>
      <w:r>
        <w:t xml:space="preserve">[12] R. Franzen,</w:t>
      </w:r>
      <w:r>
        <w:t xml:space="preserve"> </w:t>
      </w:r>
      <w:r>
        <w:t xml:space="preserve">“Kodak lossless true color image suite,”</w:t>
      </w:r>
      <w:r>
        <w:t xml:space="preserve"> </w:t>
      </w:r>
      <w:r>
        <w:t xml:space="preserve">accessed Oct. 26, 2026. [Online]. Available:</w:t>
      </w:r>
      <w:r>
        <w:t xml:space="preserve"> </w:t>
      </w:r>
      <w:hyperlink r:id="rId39">
        <w:r>
          <w:rPr>
            <w:rStyle w:val="Hyperlink"/>
          </w:rPr>
          <w:t xml:space="preserve">https://r0k.us/graphics/kodak/</w:t>
        </w:r>
      </w:hyperlink>
    </w:p>
    <w:p>
      <w:pPr>
        <w:pStyle w:val="BodyText"/>
        <w:widowControl/>
      </w:pPr>
      <w:r>
        <w:t xml:space="preserve">[13] F. Bellard,</w:t>
      </w:r>
      <w:r>
        <w:t xml:space="preserve"> </w:t>
      </w:r>
      <w:r>
        <w:t xml:space="preserve">“BPG image format,”</w:t>
      </w:r>
      <w:r>
        <w:t xml:space="preserve"> </w:t>
      </w:r>
      <w:r>
        <w:t xml:space="preserve">accessed Oct. 22, 2026. [Online]. Available:</w:t>
      </w:r>
      <w:r>
        <w:t xml:space="preserve"> </w:t>
      </w:r>
      <w:hyperlink r:id="rId40">
        <w:r>
          <w:rPr>
            <w:rStyle w:val="Hyperlink"/>
          </w:rPr>
          <w:t xml:space="preserve">https://bellard.org/bpg/</w:t>
        </w:r>
      </w:hyperlink>
    </w:p>
    <w:p>
      <w:pPr>
        <w:pStyle w:val="BodyText"/>
        <w:widowControl/>
      </w:pPr>
      <w:r>
        <w:t xml:space="preserve">[14] R. Zhang, P. Isola, A. A. Efros, E. Shechtman, and O. Wang,</w:t>
      </w:r>
      <w:r>
        <w:t xml:space="preserve"> </w:t>
      </w:r>
      <w:r>
        <w:t xml:space="preserve">“The unreasonable effectiveness of deep features as a perceptual metric,”</w:t>
      </w:r>
      <w:r>
        <w:t xml:space="preserve"> </w:t>
      </w:r>
      <w:r>
        <w:t xml:space="preserve">in</w:t>
      </w:r>
      <w:r>
        <w:t xml:space="preserve"> </w:t>
      </w:r>
      <w:r>
        <w:rPr>
          <w:i/>
          <w:iCs/>
        </w:rPr>
        <w:t xml:space="preserve">Proc. IEEE Conf. Comput. Vis. Pattern Recognit.</w:t>
      </w:r>
      <w:r>
        <w:t xml:space="preserve">, Jun. 2018, pp. 586–595.</w:t>
      </w:r>
    </w:p>
    <w:p>
      <w:pPr>
        <w:pStyle w:val="BodyText"/>
        <w:widowControl/>
      </w:pPr>
      <w:r>
        <w:t xml:space="preserve">[15] S. Fu, N. Tamir, S. Sundaram, L. Chai, R. Zhang, T. Dekel, and P. Isola,</w:t>
      </w:r>
      <w:r>
        <w:t xml:space="preserve"> </w:t>
      </w:r>
      <w:r>
        <w:t xml:space="preserve">“DreamSim: Learning new dimensions of human visual similarity using synthetic data,”</w:t>
      </w:r>
      <w:r>
        <w:t xml:space="preserve"> </w:t>
      </w:r>
      <w:r>
        <w:t xml:space="preserve">in</w:t>
      </w:r>
      <w:r>
        <w:t xml:space="preserve"> </w:t>
      </w:r>
      <w:r>
        <w:rPr>
          <w:i/>
          <w:iCs/>
        </w:rPr>
        <w:t xml:space="preserve">Advances in Neural Information Processing Systems</w:t>
      </w:r>
      <w:r>
        <w:t xml:space="preserve">, vol. 36, 2023, pp. 50 742–50 768.</w:t>
      </w:r>
    </w:p>
    <w:p>
      <w:pPr>
        <w:pStyle w:val="BodyText"/>
        <w:widowControl/>
      </w:pPr>
      <w:r>
        <w:t xml:space="preserve">[16] A. Radford</w:t>
      </w:r>
      <w:r>
        <w:t xml:space="preserve"> </w:t>
      </w:r>
      <w:r>
        <w:rPr>
          <w:i/>
          <w:iCs/>
        </w:rPr>
        <w:t xml:space="preserve">et al.</w:t>
      </w:r>
      <w:r>
        <w:t xml:space="preserve">,</w:t>
      </w:r>
      <w:r>
        <w:t xml:space="preserve"> </w:t>
      </w:r>
      <w:r>
        <w:t xml:space="preserve">“Learning transferable visual models from natural language supervision,”</w:t>
      </w:r>
      <w:r>
        <w:t xml:space="preserve"> </w:t>
      </w:r>
      <w:r>
        <w:t xml:space="preserve">in</w:t>
      </w:r>
      <w:r>
        <w:t xml:space="preserve"> </w:t>
      </w:r>
      <w:r>
        <w:rPr>
          <w:i/>
          <w:iCs/>
        </w:rPr>
        <w:t xml:space="preserve">Proc. 38th Int. Conf. Mach. Learn.</w:t>
      </w:r>
      <w:r>
        <w:t xml:space="preserve">, vol. 139, 2021, pp. 8748–8763.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160" w:after="0" w:line="480" w:lineRule="auto"/>
      <w:outlineLvl w:val="0"/>
    </w:pPr>
    <w:rPr>
      <w:rFonts w:ascii="Times New Roman" w:hAnsi="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0" w:line="480" w:lineRule="auto"/>
      <w:outlineLvl w:val="1"/>
    </w:pPr>
    <w:rPr>
      <w:rFonts w:ascii="Times New Roman" w:hAnsi="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b/>
      <w:bCs/>
      <w:color w:val="000000"/>
    </w:rPr>
  </w:style>
  <w:style w:type="paragraph" w:styleId="Title">
    <w:name w:val="Title"/>
    <w:basedOn w:val="Normal"/>
    <w:next w:val="Normal"/>
    <w:link w:val="TitleChar"/>
    <w:uiPriority w:val="10"/>
    <w:qFormat/>
    <w:rsid w:val="00FC693F"/>
    <w:pPr>
      <w:spacing w:after="0" w:line="288" w:lineRule="auto" w:before="0"/>
      <w:contextualSpacing/>
    </w:pPr>
    <w:rPr>
      <w:rFonts w:ascii="Times New Roman" w:hAnsi="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0" w:before="0"/>
    </w:pPr>
    <w:rPr>
      <w:rFonts w:ascii="Times New Roman" w:hAnsi="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color w:val="000000"/>
    </w:rPr>
  </w:style>
  <w:style w:type="paragraph" w:styleId="BodyText">
    <w:name w:val="Body Text"/>
    <w:basedOn w:val="Normal"/>
    <w:link w:val="BodyTextChar"/>
    <w:uiPriority w:val="99"/>
    <w:unhideWhenUsed/>
    <w:rsid w:val="00AA1D8D"/>
    <w:pPr>
      <w:spacing w:after="0" w:line="480" w:lineRule="auto" w:before="0"/>
    </w:pPr>
    <w:rPr>
      <w:rFonts w:ascii="Times New Roman" w:hAnsi="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keepLines/>
      <w:spacing w:line="276" w:lineRule="auto" w:after="120" w:before="0"/>
    </w:pPr>
    <w:rPr>
      <w:rFonts w:ascii="Times New Roman" w:hAnsi="Times New Roman" w:cs="Times New Roman"/>
      <w:b/>
      <w:bCs/>
      <w:color w:val="000000"/>
      <w:sz w:val="20"/>
      <w:szCs w:val="18"/>
    </w:rPr>
  </w:style>
  <w:style w:type="character" w:styleId="Strong">
    <w:name w:val="Strong"/>
    <w:basedOn w:val="DefaultParagraphFont"/>
    <w:uiPriority w:val="22"/>
    <w:qFormat/>
    <w:rsid w:val="00FC693F"/>
    <w:rPr>
      <w:rFonts w:ascii="Times New Roman" w:hAnsi="Times New Roman" w:cs="Times New Roman"/>
      <w:b/>
      <w:bCs/>
      <w:color w:val="000000"/>
    </w:rPr>
  </w:style>
  <w:style w:type="character" w:styleId="Emphasis">
    <w:name w:val="Emphasis"/>
    <w:basedOn w:val="DefaultParagraphFont"/>
    <w:uiPriority w:val="20"/>
    <w:qFormat/>
    <w:rsid w:val="00FC693F"/>
    <w:rPr>
      <w:rFonts w:ascii="Times New Roman" w:hAnsi="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rPr>
      <w:rFonts w:ascii="Times New Roman" w:hAnsi="Times New Roman" w:cs="Times New Roman"/>
      <w:color w:val="000000"/>
    </w:rPr>
  </w:style>
  <w:style w:type="character" w:customStyle="1" w:styleId="KeywordTok">
    <w:name w:val="KeywordTok"/>
    <w:basedOn w:val="VerbatimChar"/>
    <w:rPr>
      <w:rFonts w:ascii="Times New Roman" w:hAnsi="Times New Roman" w:cs="Times New Roman"/>
      <w:b/>
      <w:color w:val="000000"/>
    </w:rPr>
  </w:style>
  <w:style w:type="character" w:customStyle="1" w:styleId="DataTypeTok">
    <w:name w:val="DataTypeTok"/>
    <w:basedOn w:val="VerbatimChar"/>
    <w:rPr>
      <w:rFonts w:ascii="Times New Roman" w:hAnsi="Times New Roman" w:cs="Times New Roman"/>
      <w:color w:val="000000"/>
    </w:rPr>
  </w:style>
  <w:style w:type="character" w:customStyle="1" w:styleId="DecValTok">
    <w:name w:val="DecValTok"/>
    <w:basedOn w:val="VerbatimChar"/>
    <w:rPr>
      <w:rFonts w:ascii="Times New Roman" w:hAnsi="Times New Roman" w:cs="Times New Roman"/>
      <w:color w:val="000000"/>
    </w:rPr>
  </w:style>
  <w:style w:type="character" w:customStyle="1" w:styleId="BaseNTok">
    <w:name w:val="BaseNTok"/>
    <w:basedOn w:val="VerbatimChar"/>
    <w:rPr>
      <w:rFonts w:ascii="Times New Roman" w:hAnsi="Times New Roman" w:cs="Times New Roman"/>
      <w:color w:val="000000"/>
    </w:rPr>
  </w:style>
  <w:style w:type="character" w:customStyle="1" w:styleId="FloatTok">
    <w:name w:val="FloatTok"/>
    <w:basedOn w:val="VerbatimChar"/>
    <w:rPr>
      <w:rFonts w:ascii="Times New Roman" w:hAnsi="Times New Roman" w:cs="Times New Roman"/>
      <w:color w:val="000000"/>
    </w:rPr>
  </w:style>
  <w:style w:type="character" w:customStyle="1" w:styleId="ConstantTok">
    <w:name w:val="ConstantTok"/>
    <w:basedOn w:val="VerbatimChar"/>
    <w:rPr>
      <w:rFonts w:ascii="Times New Roman" w:hAnsi="Times New Roman" w:cs="Times New Roman"/>
      <w:color w:val="000000"/>
    </w:rPr>
  </w:style>
  <w:style w:type="character" w:customStyle="1" w:styleId="CharTok">
    <w:name w:val="CharTok"/>
    <w:basedOn w:val="VerbatimChar"/>
    <w:rPr>
      <w:rFonts w:ascii="Times New Roman" w:hAnsi="Times New Roman" w:cs="Times New Roman"/>
      <w:color w:val="000000"/>
    </w:rPr>
  </w:style>
  <w:style w:type="character" w:customStyle="1" w:styleId="SpecialCharTok">
    <w:name w:val="SpecialCharTok"/>
    <w:basedOn w:val="VerbatimChar"/>
    <w:rPr>
      <w:rFonts w:ascii="Times New Roman" w:hAnsi="Times New Roman" w:cs="Times New Roman"/>
      <w:color w:val="000000"/>
    </w:rPr>
  </w:style>
  <w:style w:type="character" w:customStyle="1" w:styleId="StringTok">
    <w:name w:val="StringTok"/>
    <w:basedOn w:val="VerbatimChar"/>
    <w:rPr>
      <w:rFonts w:ascii="Times New Roman" w:hAnsi="Times New Roman" w:cs="Times New Roman"/>
      <w:color w:val="000000"/>
    </w:rPr>
  </w:style>
  <w:style w:type="character" w:customStyle="1" w:styleId="VerbatimStringTok">
    <w:name w:val="VerbatimStringTok"/>
    <w:basedOn w:val="VerbatimChar"/>
    <w:rPr>
      <w:rFonts w:ascii="Times New Roman" w:hAnsi="Times New Roman" w:cs="Times New Roman"/>
      <w:color w:val="000000"/>
    </w:rPr>
  </w:style>
  <w:style w:type="character" w:customStyle="1" w:styleId="SpecialStringTok">
    <w:name w:val="SpecialStringTok"/>
    <w:basedOn w:val="VerbatimChar"/>
    <w:rPr>
      <w:rFonts w:ascii="Times New Roman" w:hAnsi="Times New Roman" w:cs="Times New Roman"/>
      <w:color w:val="000000"/>
    </w:rPr>
  </w:style>
  <w:style w:type="character" w:customStyle="1" w:styleId="ImportTok">
    <w:name w:val="ImportTok"/>
    <w:basedOn w:val="VerbatimChar"/>
    <w:rPr>
      <w:rFonts w:ascii="Times New Roman" w:hAnsi="Times New Roman" w:cs="Times New Roman"/>
      <w:b/>
      <w:color w:val="000000"/>
    </w:rPr>
  </w:style>
  <w:style w:type="character" w:customStyle="1" w:styleId="CommentTok">
    <w:name w:val="CommentTok"/>
    <w:basedOn w:val="VerbatimChar"/>
    <w:rPr>
      <w:rFonts w:ascii="Times New Roman" w:hAnsi="Times New Roman" w:cs="Times New Roman"/>
      <w:i/>
      <w:color w:val="000000"/>
    </w:rPr>
  </w:style>
  <w:style w:type="character" w:customStyle="1" w:styleId="DocumentationTok">
    <w:name w:val="DocumentationTok"/>
    <w:basedOn w:val="VerbatimChar"/>
    <w:rPr>
      <w:rFonts w:ascii="Times New Roman" w:hAnsi="Times New Roman" w:cs="Times New Roman"/>
      <w:i/>
      <w:color w:val="000000"/>
    </w:rPr>
  </w:style>
  <w:style w:type="character" w:customStyle="1" w:styleId="AnnotationTok">
    <w:name w:val="AnnotationTok"/>
    <w:basedOn w:val="VerbatimChar"/>
    <w:rPr>
      <w:rFonts w:ascii="Times New Roman" w:hAnsi="Times New Roman" w:cs="Times New Roman"/>
      <w:b/>
      <w:i/>
      <w:color w:val="000000"/>
    </w:rPr>
  </w:style>
  <w:style w:type="character" w:customStyle="1" w:styleId="CommentVarTok">
    <w:name w:val="CommentVarTok"/>
    <w:basedOn w:val="VerbatimChar"/>
    <w:rPr>
      <w:rFonts w:ascii="Times New Roman" w:hAnsi="Times New Roman" w:cs="Times New Roman"/>
      <w:b/>
      <w:i/>
      <w:color w:val="000000"/>
    </w:rPr>
  </w:style>
  <w:style w:type="character" w:customStyle="1" w:styleId="OtherTok">
    <w:name w:val="OtherTok"/>
    <w:basedOn w:val="VerbatimChar"/>
    <w:rPr>
      <w:rFonts w:ascii="Times New Roman" w:hAnsi="Times New Roman" w:cs="Times New Roman"/>
      <w:color w:val="000000"/>
    </w:rPr>
  </w:style>
  <w:style w:type="character" w:customStyle="1" w:styleId="FunctionTok">
    <w:name w:val="FunctionTok"/>
    <w:basedOn w:val="VerbatimChar"/>
    <w:rPr>
      <w:rFonts w:ascii="Times New Roman" w:hAnsi="Times New Roman" w:cs="Times New Roman"/>
      <w:color w:val="000000"/>
    </w:rPr>
  </w:style>
  <w:style w:type="character" w:customStyle="1" w:styleId="VariableTok">
    <w:name w:val="VariableTok"/>
    <w:basedOn w:val="VerbatimChar"/>
    <w:rPr>
      <w:rFonts w:ascii="Times New Roman" w:hAnsi="Times New Roman" w:cs="Times New Roman"/>
      <w:color w:val="000000"/>
    </w:rPr>
  </w:style>
  <w:style w:type="character" w:customStyle="1" w:styleId="ControlFlowTok">
    <w:name w:val="ControlFlowTok"/>
    <w:basedOn w:val="VerbatimChar"/>
    <w:rPr>
      <w:rFonts w:ascii="Times New Roman" w:hAnsi="Times New Roman" w:cs="Times New Roman"/>
      <w:b/>
      <w:color w:val="000000"/>
    </w:rPr>
  </w:style>
  <w:style w:type="character" w:customStyle="1" w:styleId="OperatorTok">
    <w:name w:val="OperatorTok"/>
    <w:basedOn w:val="VerbatimChar"/>
    <w:rPr>
      <w:rFonts w:ascii="Times New Roman" w:hAnsi="Times New Roman" w:cs="Times New Roman"/>
      <w:color w:val="000000"/>
    </w:rPr>
  </w:style>
  <w:style w:type="character" w:customStyle="1" w:styleId="BuiltInTok">
    <w:name w:val="BuiltInTok"/>
    <w:basedOn w:val="VerbatimChar"/>
    <w:rPr>
      <w:rFonts w:ascii="Times New Roman" w:hAnsi="Times New Roman" w:cs="Times New Roman"/>
      <w:color w:val="000000"/>
    </w:rPr>
  </w:style>
  <w:style w:type="character" w:customStyle="1" w:styleId="ExtensionTok">
    <w:name w:val="ExtensionTok"/>
    <w:basedOn w:val="VerbatimChar"/>
    <w:rPr>
      <w:rFonts w:ascii="Times New Roman" w:hAnsi="Times New Roman" w:cs="Times New Roman"/>
      <w:color w:val="000000"/>
    </w:rPr>
  </w:style>
  <w:style w:type="character" w:customStyle="1" w:styleId="PreprocessorTok">
    <w:name w:val="PreprocessorTok"/>
    <w:basedOn w:val="VerbatimChar"/>
    <w:rPr>
      <w:rFonts w:ascii="Times New Roman" w:hAnsi="Times New Roman" w:cs="Times New Roman"/>
      <w:color w:val="000000"/>
    </w:rPr>
  </w:style>
  <w:style w:type="character" w:customStyle="1" w:styleId="AttributeTok">
    <w:name w:val="AttributeTok"/>
    <w:basedOn w:val="VerbatimChar"/>
    <w:rPr>
      <w:rFonts w:ascii="Times New Roman" w:hAnsi="Times New Roman" w:cs="Times New Roman"/>
      <w:color w:val="000000"/>
    </w:rPr>
  </w:style>
  <w:style w:type="character" w:customStyle="1" w:styleId="RegionMarkerTok">
    <w:name w:val="RegionMarkerTok"/>
    <w:basedOn w:val="VerbatimChar"/>
    <w:rPr>
      <w:rFonts w:ascii="Times New Roman" w:hAnsi="Times New Roman" w:cs="Times New Roman"/>
      <w:color w:val="000000"/>
    </w:rPr>
  </w:style>
  <w:style w:type="character" w:customStyle="1" w:styleId="InformationTok">
    <w:name w:val="InformationTok"/>
    <w:basedOn w:val="VerbatimChar"/>
    <w:rPr>
      <w:rFonts w:ascii="Times New Roman" w:hAnsi="Times New Roman" w:cs="Times New Roman"/>
      <w:b/>
      <w:i/>
      <w:color w:val="000000"/>
    </w:rPr>
  </w:style>
  <w:style w:type="character" w:customStyle="1" w:styleId="WarningTok">
    <w:name w:val="WarningTok"/>
    <w:basedOn w:val="VerbatimChar"/>
    <w:rPr>
      <w:rFonts w:ascii="Times New Roman" w:hAnsi="Times New Roman" w:cs="Times New Roman"/>
      <w:b/>
      <w:i/>
      <w:color w:val="000000"/>
    </w:rPr>
  </w:style>
  <w:style w:type="character" w:customStyle="1" w:styleId="AlertTok">
    <w:name w:val="AlertTok"/>
    <w:basedOn w:val="VerbatimChar"/>
    <w:rPr>
      <w:rFonts w:ascii="Times New Roman" w:hAnsi="Times New Roman" w:cs="Times New Roman"/>
      <w:b/>
      <w:color w:val="000000"/>
    </w:rPr>
  </w:style>
  <w:style w:type="character" w:customStyle="1" w:styleId="ErrorTok">
    <w:name w:val="ErrorTok"/>
    <w:basedOn w:val="VerbatimChar"/>
    <w:rPr>
      <w:rFonts w:ascii="Times New Roman" w:hAnsi="Times New Roman" w:cs="Times New Roman"/>
      <w:b/>
      <w:color w:val="000000"/>
    </w:rPr>
  </w:style>
  <w:style w:type="character" w:customStyle="1" w:styleId="NormalTok">
    <w:name w:val="NormalTok"/>
    <w:basedOn w:val="VerbatimCha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20" Type="http://schemas.openxmlformats.org/officeDocument/2006/relationships/image" Target="media/rId20.png"/><Relationship Id="rId28" Type="http://schemas.openxmlformats.org/officeDocument/2006/relationships/image" Target="media/rId28.png"/><Relationship Id="rId40" Type="http://schemas.openxmlformats.org/officeDocument/2006/relationships/hyperlink" Target="https://bellard.org/bpg/" TargetMode="External"/><Relationship Id="rId38" Type="http://schemas.openxmlformats.org/officeDocument/2006/relationships/hyperlink" Target="https://openreview.net/forum?id=a68SUt6zFt" TargetMode="External"/><Relationship Id="rId39" Type="http://schemas.openxmlformats.org/officeDocument/2006/relationships/hyperlink" Target="https://r0k.us/graphics/kodak/" TargetMode="External"/><Relationship Id="rId37" Type="http://schemas.openxmlformats.org/officeDocument/2006/relationships/hyperlink" Target="https://www.etsi.org/deliver/etsi_ts/138200_138299/138212/16.05.00_60/ts_138212v160500p.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0" Type="http://schemas.openxmlformats.org/officeDocument/2006/relationships/hyperlink" Target="https://bellard.org/bpg/" TargetMode="External"/><Relationship Id="rId38" Type="http://schemas.openxmlformats.org/officeDocument/2006/relationships/hyperlink" Target="https://openreview.net/forum?id=a68SUt6zFt" TargetMode="External"/><Relationship Id="rId39" Type="http://schemas.openxmlformats.org/officeDocument/2006/relationships/hyperlink" Target="https://r0k.us/graphics/kodak/" TargetMode="External"/><Relationship Id="rId37" Type="http://schemas.openxmlformats.org/officeDocument/2006/relationships/hyperlink" Target="https://www.etsi.org/deliver/etsi_ts/138200_138299/138212/16.05.00_60/ts_138212v160500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NeST-Com: Fixed-Budget Next-Scale Token Communication</dc:title>
  <dc:creator>Anonymous Authors</dc:creator>
  <cp:keywords/>
  <dcterms:created xsi:type="dcterms:W3CDTF">2026-10-29T03:24:00Z</dcterms:created>
  <dcterms:modified xsi:type="dcterms:W3CDTF">2026-10-29T03:24:00Z</dcterms:modified>
  <cp:lastModifiedBy>Anonymous Authors</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Next-scale residual tokens provide a coarse-to-fine image description, but whole-scale endpoints can underfill fixed digital frames. NeST-Com fits independently terminated, entropy-coded within-scale prefixes to fixed frames and uses received tokens for residual reconstruction and finer-scale conditioning. With shared model components, it improves PSNR over whole-scale transmission by 0.32–0.70 dB at 1024 symbols and 0.39–0.79 dB at 512 symbols. At 1024 symbols and 10 dB, source-bit utilization increases from 77.70% to 95.21%. Comparisons with existing systems show favorable low-budget source reconstruction and metric-dependent perceptual tradeoffs.</vt:lpwstr>
  </property>
</Properties>
</file>