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4395" w14:textId="77777777" w:rsidR="00EE60FA" w:rsidRDefault="00EE60FA">
      <w:pPr>
        <w:spacing w:line="344" w:lineRule="auto"/>
        <w:rPr>
          <w:sz w:val="24"/>
          <w:szCs w:val="24"/>
        </w:rPr>
      </w:pPr>
    </w:p>
    <w:p w14:paraId="4B8F9E38" w14:textId="77777777" w:rsidR="00EE60FA" w:rsidRDefault="00000000">
      <w:pPr>
        <w:ind w:left="1080"/>
        <w:rPr>
          <w:rFonts w:ascii="Arial" w:eastAsia="Arial" w:hAnsi="Arial" w:cs="Arial"/>
          <w:color w:val="800000"/>
          <w:sz w:val="34"/>
          <w:szCs w:val="34"/>
        </w:rPr>
      </w:pPr>
      <w:hyperlink r:id="rId5">
        <w:r>
          <w:rPr>
            <w:rFonts w:ascii="Arial" w:eastAsia="Arial" w:hAnsi="Arial" w:cs="Arial"/>
            <w:color w:val="800000"/>
            <w:sz w:val="34"/>
            <w:szCs w:val="34"/>
          </w:rPr>
          <w:t>W</w:t>
        </w:r>
      </w:hyperlink>
      <w:hyperlink r:id="rId6">
        <w:r>
          <w:rPr>
            <w:rFonts w:ascii="Arial" w:eastAsia="Arial" w:hAnsi="Arial" w:cs="Arial"/>
            <w:color w:val="800000"/>
            <w:sz w:val="27"/>
            <w:szCs w:val="27"/>
          </w:rPr>
          <w:t>ATERFORD</w:t>
        </w:r>
      </w:hyperlink>
      <w:hyperlink r:id="rId7">
        <w:r>
          <w:rPr>
            <w:rFonts w:ascii="Arial" w:eastAsia="Arial" w:hAnsi="Arial" w:cs="Arial"/>
            <w:color w:val="800000"/>
            <w:sz w:val="34"/>
            <w:szCs w:val="34"/>
          </w:rPr>
          <w:t xml:space="preserve"> I</w:t>
        </w:r>
      </w:hyperlink>
      <w:hyperlink r:id="rId8">
        <w:r>
          <w:rPr>
            <w:rFonts w:ascii="Arial" w:eastAsia="Arial" w:hAnsi="Arial" w:cs="Arial"/>
            <w:color w:val="800000"/>
            <w:sz w:val="27"/>
            <w:szCs w:val="27"/>
          </w:rPr>
          <w:t>NSTITUTE OF</w:t>
        </w:r>
      </w:hyperlink>
      <w:hyperlink r:id="rId9">
        <w:r>
          <w:rPr>
            <w:rFonts w:ascii="Arial" w:eastAsia="Arial" w:hAnsi="Arial" w:cs="Arial"/>
            <w:color w:val="800000"/>
            <w:sz w:val="34"/>
            <w:szCs w:val="34"/>
          </w:rPr>
          <w:t xml:space="preserve"> T</w:t>
        </w:r>
      </w:hyperlink>
      <w:hyperlink r:id="rId10">
        <w:r>
          <w:rPr>
            <w:rFonts w:ascii="Arial" w:eastAsia="Arial" w:hAnsi="Arial" w:cs="Arial"/>
            <w:color w:val="800000"/>
            <w:sz w:val="27"/>
            <w:szCs w:val="27"/>
          </w:rPr>
          <w:t>ECHNOLOGY</w:t>
        </w:r>
      </w:hyperlink>
    </w:p>
    <w:p w14:paraId="5FB5A42E" w14:textId="77777777" w:rsidR="00EE60FA" w:rsidRDefault="00EE60FA">
      <w:pPr>
        <w:spacing w:line="200" w:lineRule="auto"/>
        <w:rPr>
          <w:sz w:val="24"/>
          <w:szCs w:val="24"/>
        </w:rPr>
      </w:pPr>
    </w:p>
    <w:p w14:paraId="566870BF" w14:textId="77777777" w:rsidR="00EE60FA" w:rsidRDefault="00EE60FA">
      <w:pPr>
        <w:spacing w:line="200" w:lineRule="auto"/>
        <w:rPr>
          <w:sz w:val="24"/>
          <w:szCs w:val="24"/>
        </w:rPr>
      </w:pPr>
    </w:p>
    <w:p w14:paraId="7FBA28C6" w14:textId="77777777" w:rsidR="00EE60FA" w:rsidRDefault="00EE60FA">
      <w:pPr>
        <w:spacing w:line="385" w:lineRule="auto"/>
        <w:rPr>
          <w:sz w:val="24"/>
          <w:szCs w:val="24"/>
        </w:rPr>
      </w:pPr>
    </w:p>
    <w:p w14:paraId="23BB2885" w14:textId="77777777" w:rsidR="00EE60FA" w:rsidRDefault="00000000">
      <w:pPr>
        <w:ind w:left="1360"/>
        <w:rPr>
          <w:sz w:val="20"/>
          <w:szCs w:val="20"/>
        </w:rPr>
      </w:pPr>
      <w:r>
        <w:rPr>
          <w:rFonts w:ascii="Arial" w:eastAsia="Arial" w:hAnsi="Arial" w:cs="Arial"/>
          <w:sz w:val="29"/>
          <w:szCs w:val="29"/>
        </w:rPr>
        <w:t>S</w:t>
      </w:r>
      <w:r>
        <w:rPr>
          <w:rFonts w:ascii="Arial" w:eastAsia="Arial" w:hAnsi="Arial" w:cs="Arial"/>
        </w:rPr>
        <w:t>EMESTER</w:t>
      </w:r>
      <w:r>
        <w:rPr>
          <w:rFonts w:ascii="Arial" w:eastAsia="Arial" w:hAnsi="Arial" w:cs="Arial"/>
          <w:sz w:val="29"/>
          <w:szCs w:val="29"/>
        </w:rPr>
        <w:t xml:space="preserve"> 2: Assessment 2 (Worth 25% CA)</w:t>
      </w:r>
    </w:p>
    <w:p w14:paraId="5E0E4211" w14:textId="77777777" w:rsidR="00EE60FA" w:rsidRDefault="00000000">
      <w:pPr>
        <w:spacing w:line="20" w:lineRule="auto"/>
        <w:rPr>
          <w:sz w:val="24"/>
          <w:szCs w:val="24"/>
        </w:rPr>
      </w:pPr>
      <w:r>
        <w:rPr>
          <w:noProof/>
        </w:rPr>
        <mc:AlternateContent>
          <mc:Choice Requires="wpg">
            <w:drawing>
              <wp:anchor distT="0" distB="0" distL="0" distR="0" simplePos="0" relativeHeight="251658240" behindDoc="1" locked="0" layoutInCell="1" hidden="0" allowOverlap="1" wp14:anchorId="7B8ABB7D" wp14:editId="1447A91E">
                <wp:simplePos x="0" y="0"/>
                <wp:positionH relativeFrom="column">
                  <wp:posOffset>419100</wp:posOffset>
                </wp:positionH>
                <wp:positionV relativeFrom="paragraph">
                  <wp:posOffset>292100</wp:posOffset>
                </wp:positionV>
                <wp:extent cx="460057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3045713" y="3777619"/>
                          <a:ext cx="4600575" cy="4763"/>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419100</wp:posOffset>
                </wp:positionH>
                <wp:positionV relativeFrom="paragraph">
                  <wp:posOffset>292100</wp:posOffset>
                </wp:positionV>
                <wp:extent cx="4600575" cy="12700"/>
                <wp:effectExtent b="0" l="0" r="0" t="0"/>
                <wp:wrapNone/>
                <wp:docPr id="3"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4600575" cy="12700"/>
                        </a:xfrm>
                        <a:prstGeom prst="rect"/>
                        <a:ln/>
                      </pic:spPr>
                    </pic:pic>
                  </a:graphicData>
                </a:graphic>
              </wp:anchor>
            </w:drawing>
          </mc:Fallback>
        </mc:AlternateContent>
      </w:r>
    </w:p>
    <w:p w14:paraId="64097884" w14:textId="77777777" w:rsidR="00EE60FA" w:rsidRDefault="00EE60FA">
      <w:pPr>
        <w:spacing w:line="200" w:lineRule="auto"/>
        <w:rPr>
          <w:sz w:val="24"/>
          <w:szCs w:val="24"/>
        </w:rPr>
      </w:pPr>
    </w:p>
    <w:p w14:paraId="5A6140D6" w14:textId="77777777" w:rsidR="00EE60FA" w:rsidRDefault="00EE60FA">
      <w:pPr>
        <w:spacing w:line="200" w:lineRule="auto"/>
        <w:rPr>
          <w:sz w:val="24"/>
          <w:szCs w:val="24"/>
        </w:rPr>
      </w:pPr>
    </w:p>
    <w:p w14:paraId="60012642" w14:textId="77777777" w:rsidR="00EE60FA" w:rsidRDefault="00EE60FA">
      <w:pPr>
        <w:spacing w:line="200" w:lineRule="auto"/>
        <w:rPr>
          <w:sz w:val="24"/>
          <w:szCs w:val="24"/>
        </w:rPr>
      </w:pPr>
    </w:p>
    <w:p w14:paraId="2725ADFC" w14:textId="77777777" w:rsidR="00EE60FA" w:rsidRDefault="00EE60FA">
      <w:pPr>
        <w:spacing w:line="210" w:lineRule="auto"/>
        <w:rPr>
          <w:sz w:val="24"/>
          <w:szCs w:val="24"/>
        </w:rPr>
      </w:pPr>
    </w:p>
    <w:p w14:paraId="6B90679F" w14:textId="77777777" w:rsidR="00EE60FA" w:rsidRDefault="00000000">
      <w:pPr>
        <w:spacing w:line="20" w:lineRule="auto"/>
        <w:rPr>
          <w:sz w:val="24"/>
          <w:szCs w:val="24"/>
        </w:rPr>
      </w:pPr>
      <w:r>
        <w:rPr>
          <w:noProof/>
        </w:rPr>
        <mc:AlternateContent>
          <mc:Choice Requires="wpg">
            <w:drawing>
              <wp:anchor distT="0" distB="0" distL="0" distR="0" simplePos="0" relativeHeight="251659264" behindDoc="1" locked="0" layoutInCell="1" hidden="0" allowOverlap="1" wp14:anchorId="1C2F9D5F" wp14:editId="69B50533">
                <wp:simplePos x="0" y="0"/>
                <wp:positionH relativeFrom="column">
                  <wp:posOffset>419100</wp:posOffset>
                </wp:positionH>
                <wp:positionV relativeFrom="paragraph">
                  <wp:posOffset>241300</wp:posOffset>
                </wp:positionV>
                <wp:extent cx="460057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3045713" y="3777619"/>
                          <a:ext cx="4600575" cy="4763"/>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419100</wp:posOffset>
                </wp:positionH>
                <wp:positionV relativeFrom="paragraph">
                  <wp:posOffset>241300</wp:posOffset>
                </wp:positionV>
                <wp:extent cx="4600575" cy="12700"/>
                <wp:effectExtent b="0" l="0" r="0" t="0"/>
                <wp:wrapNone/>
                <wp:docPr id="2"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4600575" cy="12700"/>
                        </a:xfrm>
                        <a:prstGeom prst="rect"/>
                        <a:ln/>
                      </pic:spPr>
                    </pic:pic>
                  </a:graphicData>
                </a:graphic>
              </wp:anchor>
            </w:drawing>
          </mc:Fallback>
        </mc:AlternateContent>
      </w:r>
    </w:p>
    <w:p w14:paraId="1DE43F1E" w14:textId="77777777" w:rsidR="00EE60FA" w:rsidRDefault="00000000">
      <w:pPr>
        <w:spacing w:line="200" w:lineRule="auto"/>
        <w:ind w:left="1440" w:firstLine="720"/>
        <w:rPr>
          <w:sz w:val="24"/>
          <w:szCs w:val="24"/>
        </w:rPr>
      </w:pPr>
      <w:r>
        <w:rPr>
          <w:sz w:val="24"/>
          <w:szCs w:val="24"/>
        </w:rPr>
        <w:t xml:space="preserve">       Electronic Data Interchange (EDI)</w:t>
      </w:r>
    </w:p>
    <w:p w14:paraId="58561B38" w14:textId="77777777" w:rsidR="00EE60FA" w:rsidRDefault="00EE60FA">
      <w:pPr>
        <w:spacing w:line="200" w:lineRule="auto"/>
        <w:rPr>
          <w:sz w:val="24"/>
          <w:szCs w:val="24"/>
        </w:rPr>
      </w:pPr>
    </w:p>
    <w:p w14:paraId="7A5F0B75" w14:textId="77777777" w:rsidR="00EE60FA" w:rsidRDefault="00EE60FA">
      <w:pPr>
        <w:spacing w:line="200" w:lineRule="auto"/>
        <w:rPr>
          <w:sz w:val="24"/>
          <w:szCs w:val="24"/>
        </w:rPr>
      </w:pPr>
    </w:p>
    <w:p w14:paraId="2B4778B9" w14:textId="77777777" w:rsidR="00EE60FA" w:rsidRDefault="00EE60FA">
      <w:pPr>
        <w:spacing w:line="200" w:lineRule="auto"/>
        <w:rPr>
          <w:sz w:val="24"/>
          <w:szCs w:val="24"/>
        </w:rPr>
      </w:pPr>
    </w:p>
    <w:p w14:paraId="6FEF165D" w14:textId="77777777" w:rsidR="00EE60FA" w:rsidRDefault="00EE60FA">
      <w:pPr>
        <w:spacing w:line="200" w:lineRule="auto"/>
        <w:rPr>
          <w:sz w:val="24"/>
          <w:szCs w:val="24"/>
        </w:rPr>
      </w:pPr>
    </w:p>
    <w:p w14:paraId="4239E0BA" w14:textId="77777777" w:rsidR="00EE60FA" w:rsidRDefault="00EE60FA">
      <w:pPr>
        <w:spacing w:line="288" w:lineRule="auto"/>
        <w:rPr>
          <w:sz w:val="24"/>
          <w:szCs w:val="24"/>
        </w:rPr>
      </w:pPr>
    </w:p>
    <w:p w14:paraId="416F0B9F" w14:textId="77777777" w:rsidR="00EE60FA" w:rsidRDefault="00000000">
      <w:pPr>
        <w:tabs>
          <w:tab w:val="left" w:pos="6400"/>
        </w:tabs>
        <w:ind w:left="1040"/>
        <w:rPr>
          <w:sz w:val="20"/>
          <w:szCs w:val="20"/>
        </w:rPr>
      </w:pPr>
      <w:r>
        <w:rPr>
          <w:rFonts w:ascii="Arial" w:eastAsia="Arial" w:hAnsi="Arial" w:cs="Arial"/>
        </w:rPr>
        <w:t>Author:</w:t>
      </w:r>
      <w:r>
        <w:rPr>
          <w:sz w:val="20"/>
          <w:szCs w:val="20"/>
        </w:rPr>
        <w:tab/>
      </w:r>
    </w:p>
    <w:p w14:paraId="5C1DBA9C" w14:textId="77777777" w:rsidR="00EE60FA" w:rsidRDefault="00EE60FA">
      <w:pPr>
        <w:spacing w:line="41" w:lineRule="auto"/>
        <w:rPr>
          <w:sz w:val="24"/>
          <w:szCs w:val="24"/>
        </w:rPr>
      </w:pPr>
    </w:p>
    <w:p w14:paraId="7B8CE96E" w14:textId="77777777" w:rsidR="00EE60FA" w:rsidRDefault="00000000">
      <w:pPr>
        <w:tabs>
          <w:tab w:val="left" w:pos="5280"/>
        </w:tabs>
        <w:ind w:left="1040"/>
        <w:rPr>
          <w:rFonts w:ascii="Arial" w:eastAsia="Arial" w:hAnsi="Arial" w:cs="Arial"/>
          <w:color w:val="800000"/>
          <w:sz w:val="24"/>
          <w:szCs w:val="24"/>
        </w:rPr>
      </w:pPr>
      <w:r>
        <w:rPr>
          <w:rFonts w:ascii="Arial" w:eastAsia="Arial" w:hAnsi="Arial" w:cs="Arial"/>
          <w:color w:val="800000"/>
          <w:sz w:val="24"/>
          <w:szCs w:val="24"/>
        </w:rPr>
        <w:t>Daire O’Neill</w:t>
      </w:r>
      <w:r>
        <w:rPr>
          <w:rFonts w:ascii="Arial" w:eastAsia="Arial" w:hAnsi="Arial" w:cs="Arial"/>
          <w:color w:val="800000"/>
          <w:sz w:val="24"/>
          <w:szCs w:val="24"/>
        </w:rPr>
        <w:tab/>
      </w:r>
    </w:p>
    <w:p w14:paraId="67E41D57" w14:textId="77777777" w:rsidR="00EE60FA" w:rsidRDefault="00EE60FA">
      <w:pPr>
        <w:spacing w:line="200" w:lineRule="auto"/>
        <w:rPr>
          <w:sz w:val="20"/>
          <w:szCs w:val="20"/>
        </w:rPr>
      </w:pPr>
    </w:p>
    <w:p w14:paraId="35468087" w14:textId="77777777" w:rsidR="00EE60FA" w:rsidRDefault="00EE60FA">
      <w:pPr>
        <w:spacing w:line="200" w:lineRule="auto"/>
        <w:rPr>
          <w:sz w:val="20"/>
          <w:szCs w:val="20"/>
        </w:rPr>
      </w:pPr>
    </w:p>
    <w:p w14:paraId="6CBD806D" w14:textId="77777777" w:rsidR="00EE60FA" w:rsidRDefault="00EE60FA">
      <w:pPr>
        <w:spacing w:line="200" w:lineRule="auto"/>
        <w:rPr>
          <w:sz w:val="20"/>
          <w:szCs w:val="20"/>
        </w:rPr>
      </w:pPr>
    </w:p>
    <w:p w14:paraId="3CF4B714" w14:textId="77777777" w:rsidR="00EE60FA" w:rsidRDefault="00EE60FA">
      <w:pPr>
        <w:spacing w:line="200" w:lineRule="auto"/>
        <w:rPr>
          <w:sz w:val="20"/>
          <w:szCs w:val="20"/>
        </w:rPr>
      </w:pPr>
    </w:p>
    <w:p w14:paraId="1320603F" w14:textId="77777777" w:rsidR="00EE60FA" w:rsidRDefault="00EE60FA">
      <w:pPr>
        <w:spacing w:line="200" w:lineRule="auto"/>
        <w:rPr>
          <w:sz w:val="20"/>
          <w:szCs w:val="20"/>
        </w:rPr>
      </w:pPr>
    </w:p>
    <w:p w14:paraId="5C190C87" w14:textId="77777777" w:rsidR="00EE60FA" w:rsidRDefault="00EE60FA">
      <w:pPr>
        <w:spacing w:line="200" w:lineRule="auto"/>
        <w:rPr>
          <w:sz w:val="20"/>
          <w:szCs w:val="20"/>
        </w:rPr>
      </w:pPr>
    </w:p>
    <w:p w14:paraId="4802875C" w14:textId="77777777" w:rsidR="00EE60FA" w:rsidRDefault="00EE60FA">
      <w:pPr>
        <w:spacing w:line="200" w:lineRule="auto"/>
        <w:rPr>
          <w:sz w:val="20"/>
          <w:szCs w:val="20"/>
        </w:rPr>
      </w:pPr>
    </w:p>
    <w:p w14:paraId="240FB8FA" w14:textId="77777777" w:rsidR="00EE60FA" w:rsidRDefault="00EE60FA">
      <w:pPr>
        <w:spacing w:line="200" w:lineRule="auto"/>
        <w:rPr>
          <w:sz w:val="20"/>
          <w:szCs w:val="20"/>
        </w:rPr>
      </w:pPr>
    </w:p>
    <w:p w14:paraId="0A381F86" w14:textId="77777777" w:rsidR="00EE60FA" w:rsidRDefault="00EE60FA">
      <w:pPr>
        <w:spacing w:line="200" w:lineRule="auto"/>
        <w:rPr>
          <w:sz w:val="20"/>
          <w:szCs w:val="20"/>
        </w:rPr>
      </w:pPr>
    </w:p>
    <w:p w14:paraId="261DFCD9" w14:textId="77777777" w:rsidR="00EE60FA" w:rsidRDefault="00EE60FA">
      <w:pPr>
        <w:spacing w:line="200" w:lineRule="auto"/>
        <w:rPr>
          <w:sz w:val="20"/>
          <w:szCs w:val="20"/>
        </w:rPr>
      </w:pPr>
    </w:p>
    <w:p w14:paraId="6779C7E7" w14:textId="77777777" w:rsidR="00EE60FA" w:rsidRDefault="00EE60FA">
      <w:pPr>
        <w:spacing w:line="200" w:lineRule="auto"/>
        <w:rPr>
          <w:sz w:val="20"/>
          <w:szCs w:val="20"/>
        </w:rPr>
      </w:pPr>
    </w:p>
    <w:p w14:paraId="45F6D62A" w14:textId="77777777" w:rsidR="00EE60FA" w:rsidRDefault="00EE60FA">
      <w:pPr>
        <w:spacing w:line="200" w:lineRule="auto"/>
        <w:rPr>
          <w:sz w:val="20"/>
          <w:szCs w:val="20"/>
        </w:rPr>
      </w:pPr>
    </w:p>
    <w:p w14:paraId="2982DCA8" w14:textId="77777777" w:rsidR="00EE60FA" w:rsidRDefault="00EE60FA">
      <w:pPr>
        <w:spacing w:line="200" w:lineRule="auto"/>
        <w:rPr>
          <w:sz w:val="20"/>
          <w:szCs w:val="20"/>
        </w:rPr>
      </w:pPr>
    </w:p>
    <w:p w14:paraId="1C57D2E1" w14:textId="77777777" w:rsidR="00EE60FA" w:rsidRDefault="00EE60FA">
      <w:pPr>
        <w:spacing w:line="200" w:lineRule="auto"/>
        <w:jc w:val="center"/>
        <w:rPr>
          <w:sz w:val="20"/>
          <w:szCs w:val="20"/>
        </w:rPr>
      </w:pPr>
    </w:p>
    <w:p w14:paraId="7041BDE7" w14:textId="77777777" w:rsidR="00EE60FA" w:rsidRDefault="00EE60FA">
      <w:pPr>
        <w:spacing w:line="200" w:lineRule="auto"/>
        <w:jc w:val="center"/>
        <w:rPr>
          <w:sz w:val="20"/>
          <w:szCs w:val="20"/>
        </w:rPr>
      </w:pPr>
    </w:p>
    <w:p w14:paraId="251F41A7" w14:textId="77777777" w:rsidR="00EE60FA" w:rsidRDefault="00000000">
      <w:pPr>
        <w:ind w:right="446"/>
        <w:jc w:val="center"/>
        <w:rPr>
          <w:sz w:val="20"/>
          <w:szCs w:val="20"/>
        </w:rPr>
      </w:pPr>
      <w:r>
        <w:rPr>
          <w:rFonts w:ascii="Arial" w:eastAsia="Arial" w:hAnsi="Arial" w:cs="Arial"/>
          <w:sz w:val="24"/>
          <w:szCs w:val="24"/>
        </w:rPr>
        <w:t>Student Number: 20019346</w:t>
      </w:r>
    </w:p>
    <w:p w14:paraId="3B266B86" w14:textId="77777777" w:rsidR="00EE60FA" w:rsidRDefault="00EE60FA">
      <w:pPr>
        <w:spacing w:line="21" w:lineRule="auto"/>
        <w:jc w:val="center"/>
        <w:rPr>
          <w:sz w:val="20"/>
          <w:szCs w:val="20"/>
        </w:rPr>
      </w:pPr>
    </w:p>
    <w:p w14:paraId="4BF7D4F0" w14:textId="77777777" w:rsidR="00EE60FA" w:rsidRDefault="00000000">
      <w:pPr>
        <w:ind w:right="446"/>
        <w:jc w:val="center"/>
        <w:rPr>
          <w:sz w:val="20"/>
          <w:szCs w:val="20"/>
        </w:rPr>
      </w:pPr>
      <w:r>
        <w:rPr>
          <w:rFonts w:ascii="Arial" w:eastAsia="Arial" w:hAnsi="Arial" w:cs="Arial"/>
          <w:sz w:val="24"/>
          <w:szCs w:val="24"/>
        </w:rPr>
        <w:t>Course: BSc. in Information Technology</w:t>
      </w:r>
    </w:p>
    <w:p w14:paraId="7DB0CC2E" w14:textId="77777777" w:rsidR="00EE60FA" w:rsidRDefault="00EE60FA">
      <w:pPr>
        <w:spacing w:line="155" w:lineRule="auto"/>
        <w:jc w:val="center"/>
        <w:rPr>
          <w:sz w:val="20"/>
          <w:szCs w:val="20"/>
        </w:rPr>
      </w:pPr>
    </w:p>
    <w:p w14:paraId="02960E7B" w14:textId="77777777" w:rsidR="00EE60FA" w:rsidRDefault="00EE60FA">
      <w:pPr>
        <w:ind w:right="446"/>
        <w:jc w:val="center"/>
        <w:rPr>
          <w:sz w:val="20"/>
          <w:szCs w:val="20"/>
        </w:rPr>
      </w:pPr>
    </w:p>
    <w:p w14:paraId="51B62B45" w14:textId="77777777" w:rsidR="00EE60FA" w:rsidRDefault="00000000">
      <w:pPr>
        <w:jc w:val="center"/>
        <w:rPr>
          <w:rFonts w:ascii="Arial" w:eastAsia="Arial" w:hAnsi="Arial" w:cs="Arial"/>
          <w:color w:val="800000"/>
          <w:sz w:val="24"/>
          <w:szCs w:val="24"/>
        </w:rPr>
      </w:pPr>
      <w:hyperlink r:id="rId15">
        <w:r>
          <w:rPr>
            <w:rFonts w:ascii="Arial" w:eastAsia="Arial" w:hAnsi="Arial" w:cs="Arial"/>
            <w:color w:val="800000"/>
            <w:sz w:val="24"/>
            <w:szCs w:val="24"/>
          </w:rPr>
          <w:t>Southeast Technological University Waterford</w:t>
        </w:r>
      </w:hyperlink>
    </w:p>
    <w:p w14:paraId="54A6E4D0" w14:textId="77777777" w:rsidR="00EE60FA" w:rsidRDefault="00EE60FA">
      <w:pPr>
        <w:jc w:val="center"/>
        <w:rPr>
          <w:rFonts w:ascii="Arial" w:eastAsia="Arial" w:hAnsi="Arial" w:cs="Arial"/>
          <w:color w:val="800000"/>
          <w:sz w:val="24"/>
          <w:szCs w:val="24"/>
        </w:rPr>
      </w:pPr>
    </w:p>
    <w:p w14:paraId="21A4DBE0" w14:textId="77777777" w:rsidR="00EE60FA" w:rsidRDefault="00EE60FA">
      <w:pPr>
        <w:jc w:val="center"/>
        <w:rPr>
          <w:rFonts w:ascii="Arial" w:eastAsia="Arial" w:hAnsi="Arial" w:cs="Arial"/>
          <w:color w:val="800000"/>
          <w:sz w:val="24"/>
          <w:szCs w:val="24"/>
        </w:rPr>
      </w:pPr>
    </w:p>
    <w:p w14:paraId="62B0F023" w14:textId="77777777" w:rsidR="00EE60FA" w:rsidRDefault="00000000">
      <w:pPr>
        <w:jc w:val="center"/>
      </w:pPr>
      <w:r>
        <w:rPr>
          <w:noProof/>
        </w:rPr>
        <w:lastRenderedPageBreak/>
        <w:drawing>
          <wp:inline distT="0" distB="0" distL="0" distR="0" wp14:anchorId="60955E80" wp14:editId="5D5740B2">
            <wp:extent cx="3196590" cy="3196590"/>
            <wp:effectExtent l="0" t="0" r="0" b="0"/>
            <wp:docPr id="6" name="image6.pn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Logo&#10;&#10;Description automatically generated with medium confidence"/>
                    <pic:cNvPicPr preferRelativeResize="0"/>
                  </pic:nvPicPr>
                  <pic:blipFill>
                    <a:blip r:embed="rId16"/>
                    <a:srcRect/>
                    <a:stretch>
                      <a:fillRect/>
                    </a:stretch>
                  </pic:blipFill>
                  <pic:spPr>
                    <a:xfrm>
                      <a:off x="0" y="0"/>
                      <a:ext cx="3196590" cy="3196590"/>
                    </a:xfrm>
                    <a:prstGeom prst="rect">
                      <a:avLst/>
                    </a:prstGeom>
                    <a:ln/>
                  </pic:spPr>
                </pic:pic>
              </a:graphicData>
            </a:graphic>
          </wp:inline>
        </w:drawing>
      </w:r>
    </w:p>
    <w:p w14:paraId="38F9494E" w14:textId="77777777" w:rsidR="00EE60FA" w:rsidRDefault="00EE60FA">
      <w:pPr>
        <w:jc w:val="center"/>
      </w:pPr>
    </w:p>
    <w:p w14:paraId="4E7DFFF7" w14:textId="77777777" w:rsidR="00EE60FA" w:rsidRDefault="00EE60FA">
      <w:pPr>
        <w:jc w:val="center"/>
      </w:pPr>
    </w:p>
    <w:p w14:paraId="52D17D46" w14:textId="77777777" w:rsidR="00EE60FA" w:rsidRDefault="00EE60FA">
      <w:pPr>
        <w:jc w:val="center"/>
      </w:pPr>
    </w:p>
    <w:p w14:paraId="49BFB867" w14:textId="77777777" w:rsidR="00EE60FA" w:rsidRDefault="00EE60FA">
      <w:pPr>
        <w:jc w:val="center"/>
      </w:pPr>
    </w:p>
    <w:p w14:paraId="5B121651" w14:textId="77777777" w:rsidR="00EE60FA" w:rsidRDefault="00000000">
      <w:pPr>
        <w:ind w:left="260"/>
        <w:rPr>
          <w:sz w:val="20"/>
          <w:szCs w:val="20"/>
        </w:rPr>
      </w:pPr>
      <w:r>
        <w:rPr>
          <w:rFonts w:ascii="Arial" w:eastAsia="Arial" w:hAnsi="Arial" w:cs="Arial"/>
          <w:b/>
          <w:sz w:val="41"/>
          <w:szCs w:val="41"/>
        </w:rPr>
        <w:t>Declaration of Authorship</w:t>
      </w:r>
    </w:p>
    <w:p w14:paraId="5FEF0587" w14:textId="77777777" w:rsidR="00EE60FA" w:rsidRDefault="00EE60FA">
      <w:pPr>
        <w:spacing w:line="179" w:lineRule="auto"/>
        <w:rPr>
          <w:sz w:val="20"/>
          <w:szCs w:val="20"/>
        </w:rPr>
      </w:pPr>
    </w:p>
    <w:p w14:paraId="6FB3FFA8" w14:textId="21D5A3A3" w:rsidR="00EE60FA" w:rsidRDefault="00000000">
      <w:pPr>
        <w:spacing w:line="267" w:lineRule="auto"/>
        <w:ind w:left="260" w:right="706"/>
        <w:rPr>
          <w:sz w:val="20"/>
          <w:szCs w:val="20"/>
        </w:rPr>
      </w:pPr>
      <w:r>
        <w:rPr>
          <w:rFonts w:ascii="Arial" w:eastAsia="Arial" w:hAnsi="Arial" w:cs="Arial"/>
        </w:rPr>
        <w:t xml:space="preserve">I, </w:t>
      </w:r>
      <w:r w:rsidR="00CF4E8B">
        <w:rPr>
          <w:rFonts w:ascii="Arial" w:eastAsia="Arial" w:hAnsi="Arial" w:cs="Arial"/>
        </w:rPr>
        <w:t>Daire O’Neill</w:t>
      </w:r>
      <w:r>
        <w:rPr>
          <w:rFonts w:ascii="Arial" w:eastAsia="Arial" w:hAnsi="Arial" w:cs="Arial"/>
        </w:rPr>
        <w:t>, declare that this work titled, “</w:t>
      </w:r>
      <w:r w:rsidR="00CF4E8B">
        <w:rPr>
          <w:rFonts w:ascii="Arial" w:eastAsia="Arial" w:hAnsi="Arial" w:cs="Arial"/>
        </w:rPr>
        <w:t>Exploring EDI</w:t>
      </w:r>
      <w:r>
        <w:rPr>
          <w:rFonts w:ascii="Arial" w:eastAsia="Arial" w:hAnsi="Arial" w:cs="Arial"/>
        </w:rPr>
        <w:t>” and the work presented in it are my own. I confirm that:</w:t>
      </w:r>
    </w:p>
    <w:p w14:paraId="6763B449" w14:textId="77777777" w:rsidR="00EE60FA" w:rsidRDefault="00EE60FA">
      <w:pPr>
        <w:spacing w:line="218" w:lineRule="auto"/>
        <w:rPr>
          <w:sz w:val="20"/>
          <w:szCs w:val="20"/>
        </w:rPr>
      </w:pPr>
    </w:p>
    <w:p w14:paraId="77082FDB" w14:textId="77777777" w:rsidR="00EE60FA" w:rsidRDefault="00000000">
      <w:pPr>
        <w:spacing w:line="267" w:lineRule="auto"/>
        <w:ind w:left="800" w:right="706"/>
        <w:rPr>
          <w:sz w:val="20"/>
          <w:szCs w:val="20"/>
        </w:rPr>
      </w:pPr>
      <w:r>
        <w:rPr>
          <w:rFonts w:ascii="Arial" w:eastAsia="Arial" w:hAnsi="Arial" w:cs="Arial"/>
        </w:rPr>
        <w:t>Where I have consulted the published work of others, this is always clearly attributed.</w:t>
      </w:r>
    </w:p>
    <w:p w14:paraId="1020CE83" w14:textId="77777777" w:rsidR="00EE60FA" w:rsidRDefault="00EE60FA">
      <w:pPr>
        <w:spacing w:line="158" w:lineRule="auto"/>
        <w:rPr>
          <w:sz w:val="20"/>
          <w:szCs w:val="20"/>
        </w:rPr>
      </w:pPr>
    </w:p>
    <w:p w14:paraId="559F2512" w14:textId="77777777" w:rsidR="00EE60FA" w:rsidRDefault="00000000">
      <w:pPr>
        <w:spacing w:line="267" w:lineRule="auto"/>
        <w:ind w:left="800" w:right="706"/>
        <w:rPr>
          <w:sz w:val="20"/>
          <w:szCs w:val="20"/>
        </w:rPr>
      </w:pPr>
      <w:r>
        <w:rPr>
          <w:rFonts w:ascii="Arial" w:eastAsia="Arial" w:hAnsi="Arial" w:cs="Arial"/>
        </w:rPr>
        <w:t xml:space="preserve">Where I have quoted from the work of others, the source is always given. </w:t>
      </w:r>
      <w:proofErr w:type="gramStart"/>
      <w:r>
        <w:rPr>
          <w:rFonts w:ascii="Arial" w:eastAsia="Arial" w:hAnsi="Arial" w:cs="Arial"/>
        </w:rPr>
        <w:t>With the exception of</w:t>
      </w:r>
      <w:proofErr w:type="gramEnd"/>
      <w:r>
        <w:rPr>
          <w:rFonts w:ascii="Arial" w:eastAsia="Arial" w:hAnsi="Arial" w:cs="Arial"/>
        </w:rPr>
        <w:t xml:space="preserve"> such quotations, this report is entirely my own work.</w:t>
      </w:r>
    </w:p>
    <w:p w14:paraId="555E0731" w14:textId="77777777" w:rsidR="00EE60FA" w:rsidRDefault="00EE60FA">
      <w:pPr>
        <w:spacing w:line="158" w:lineRule="auto"/>
        <w:rPr>
          <w:sz w:val="20"/>
          <w:szCs w:val="20"/>
        </w:rPr>
      </w:pPr>
    </w:p>
    <w:p w14:paraId="1346D2F9" w14:textId="77777777" w:rsidR="00EE60FA" w:rsidRDefault="00000000">
      <w:pPr>
        <w:ind w:left="580"/>
        <w:rPr>
          <w:sz w:val="20"/>
          <w:szCs w:val="20"/>
        </w:rPr>
      </w:pPr>
      <w:r>
        <w:rPr>
          <w:rFonts w:ascii="Arial" w:eastAsia="Arial" w:hAnsi="Arial" w:cs="Arial"/>
        </w:rPr>
        <w:t xml:space="preserve">    I have acknowledged all main sources of help.</w:t>
      </w:r>
    </w:p>
    <w:p w14:paraId="1F184AB7" w14:textId="77777777" w:rsidR="00EE60FA" w:rsidRDefault="00EE60FA">
      <w:pPr>
        <w:spacing w:line="197" w:lineRule="auto"/>
        <w:rPr>
          <w:sz w:val="20"/>
          <w:szCs w:val="20"/>
        </w:rPr>
      </w:pPr>
    </w:p>
    <w:p w14:paraId="01F70110" w14:textId="77777777" w:rsidR="00EE60FA" w:rsidRDefault="00000000">
      <w:pPr>
        <w:spacing w:line="261" w:lineRule="auto"/>
        <w:ind w:left="800" w:right="706"/>
        <w:rPr>
          <w:sz w:val="20"/>
          <w:szCs w:val="20"/>
        </w:rPr>
      </w:pPr>
      <w:r>
        <w:rPr>
          <w:rFonts w:ascii="Arial" w:eastAsia="Arial" w:hAnsi="Arial" w:cs="Arial"/>
        </w:rPr>
        <w:t>Where the report is based on work done by myself jointly with others, I have made clear exactly what was done by others and what I have contributed my-self.</w:t>
      </w:r>
    </w:p>
    <w:p w14:paraId="7BF06739" w14:textId="77777777" w:rsidR="00EE60FA" w:rsidRDefault="00EE60FA">
      <w:pPr>
        <w:spacing w:line="200" w:lineRule="auto"/>
        <w:rPr>
          <w:sz w:val="20"/>
          <w:szCs w:val="20"/>
        </w:rPr>
      </w:pPr>
    </w:p>
    <w:p w14:paraId="50B5008D" w14:textId="77777777" w:rsidR="00EE60FA" w:rsidRDefault="00EE60FA">
      <w:pPr>
        <w:spacing w:line="295" w:lineRule="auto"/>
        <w:rPr>
          <w:sz w:val="20"/>
          <w:szCs w:val="20"/>
        </w:rPr>
      </w:pPr>
    </w:p>
    <w:p w14:paraId="4AE301F4" w14:textId="77777777" w:rsidR="00EE60FA" w:rsidRDefault="00000000">
      <w:pPr>
        <w:ind w:left="260"/>
        <w:rPr>
          <w:sz w:val="20"/>
          <w:szCs w:val="20"/>
        </w:rPr>
      </w:pPr>
      <w:r>
        <w:rPr>
          <w:rFonts w:ascii="Arial" w:eastAsia="Arial" w:hAnsi="Arial" w:cs="Arial"/>
        </w:rPr>
        <w:t xml:space="preserve">Signed: </w:t>
      </w:r>
      <w:r>
        <w:rPr>
          <w:noProof/>
        </w:rPr>
        <w:drawing>
          <wp:anchor distT="0" distB="0" distL="114300" distR="114300" simplePos="0" relativeHeight="251660288" behindDoc="0" locked="0" layoutInCell="1" hidden="0" allowOverlap="1" wp14:anchorId="7759D197" wp14:editId="4BCA8165">
            <wp:simplePos x="0" y="0"/>
            <wp:positionH relativeFrom="column">
              <wp:posOffset>2425700</wp:posOffset>
            </wp:positionH>
            <wp:positionV relativeFrom="paragraph">
              <wp:posOffset>33655</wp:posOffset>
            </wp:positionV>
            <wp:extent cx="18415" cy="18415"/>
            <wp:effectExtent l="0" t="0" r="0" b="0"/>
            <wp:wrapNone/>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8415" cy="1841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32D2DD21" wp14:editId="5E7A01DE">
            <wp:simplePos x="0" y="0"/>
            <wp:positionH relativeFrom="column">
              <wp:posOffset>2092325</wp:posOffset>
            </wp:positionH>
            <wp:positionV relativeFrom="paragraph">
              <wp:posOffset>-40004</wp:posOffset>
            </wp:positionV>
            <wp:extent cx="579755" cy="397510"/>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9755" cy="397510"/>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09A69B69" wp14:editId="57A4C4FD">
            <wp:simplePos x="0" y="0"/>
            <wp:positionH relativeFrom="column">
              <wp:posOffset>1927225</wp:posOffset>
            </wp:positionH>
            <wp:positionV relativeFrom="paragraph">
              <wp:posOffset>21590</wp:posOffset>
            </wp:positionV>
            <wp:extent cx="132715" cy="148590"/>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32715" cy="14859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67260070" wp14:editId="37EBC36C">
            <wp:simplePos x="0" y="0"/>
            <wp:positionH relativeFrom="column">
              <wp:posOffset>1106805</wp:posOffset>
            </wp:positionH>
            <wp:positionV relativeFrom="paragraph">
              <wp:posOffset>33020</wp:posOffset>
            </wp:positionV>
            <wp:extent cx="199390" cy="22352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199390" cy="223520"/>
                    </a:xfrm>
                    <a:prstGeom prst="rect">
                      <a:avLst/>
                    </a:prstGeom>
                    <a:ln/>
                  </pic:spPr>
                </pic:pic>
              </a:graphicData>
            </a:graphic>
          </wp:anchor>
        </w:drawing>
      </w:r>
    </w:p>
    <w:p w14:paraId="01CEDA97" w14:textId="77777777" w:rsidR="00EE60FA" w:rsidRDefault="00000000">
      <w:pPr>
        <w:spacing w:line="20" w:lineRule="auto"/>
        <w:rPr>
          <w:sz w:val="20"/>
          <w:szCs w:val="20"/>
        </w:rPr>
      </w:pPr>
      <w:r>
        <w:rPr>
          <w:noProof/>
        </w:rPr>
        <mc:AlternateContent>
          <mc:Choice Requires="wpg">
            <w:drawing>
              <wp:anchor distT="0" distB="0" distL="0" distR="0" simplePos="0" relativeHeight="251664384" behindDoc="1" locked="0" layoutInCell="1" hidden="0" allowOverlap="1" wp14:anchorId="6AB4CDF0" wp14:editId="354D69DF">
                <wp:simplePos x="0" y="0"/>
                <wp:positionH relativeFrom="column">
                  <wp:posOffset>368300</wp:posOffset>
                </wp:positionH>
                <wp:positionV relativeFrom="paragraph">
                  <wp:posOffset>228600</wp:posOffset>
                </wp:positionV>
                <wp:extent cx="34639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3614038" y="3777619"/>
                          <a:ext cx="3463925" cy="4763"/>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368300</wp:posOffset>
                </wp:positionH>
                <wp:positionV relativeFrom="paragraph">
                  <wp:posOffset>228600</wp:posOffset>
                </wp:positionV>
                <wp:extent cx="3463925" cy="12700"/>
                <wp:effectExtent b="0" l="0" r="0" t="0"/>
                <wp:wrapNone/>
                <wp:docPr id="1"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3463925" cy="12700"/>
                        </a:xfrm>
                        <a:prstGeom prst="rect"/>
                        <a:ln/>
                      </pic:spPr>
                    </pic:pic>
                  </a:graphicData>
                </a:graphic>
              </wp:anchor>
            </w:drawing>
          </mc:Fallback>
        </mc:AlternateContent>
      </w:r>
    </w:p>
    <w:p w14:paraId="77A48A60" w14:textId="77777777" w:rsidR="00EE60FA" w:rsidRDefault="00000000">
      <w:pPr>
        <w:spacing w:line="200" w:lineRule="auto"/>
        <w:rPr>
          <w:sz w:val="20"/>
          <w:szCs w:val="20"/>
        </w:rPr>
      </w:pPr>
      <w:r>
        <w:rPr>
          <w:noProof/>
        </w:rPr>
        <w:drawing>
          <wp:anchor distT="0" distB="0" distL="114300" distR="114300" simplePos="0" relativeHeight="251665408" behindDoc="0" locked="0" layoutInCell="1" hidden="0" allowOverlap="1" wp14:anchorId="75E36940" wp14:editId="3049A2E7">
            <wp:simplePos x="0" y="0"/>
            <wp:positionH relativeFrom="column">
              <wp:posOffset>1764029</wp:posOffset>
            </wp:positionH>
            <wp:positionV relativeFrom="paragraph">
              <wp:posOffset>-234949</wp:posOffset>
            </wp:positionV>
            <wp:extent cx="202565" cy="474980"/>
            <wp:effectExtent l="0" t="0" r="0" b="0"/>
            <wp:wrapNone/>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202565" cy="474980"/>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13FB4C11" wp14:editId="2AA1DAFB">
            <wp:simplePos x="0" y="0"/>
            <wp:positionH relativeFrom="column">
              <wp:posOffset>1202690</wp:posOffset>
            </wp:positionH>
            <wp:positionV relativeFrom="paragraph">
              <wp:posOffset>-31114</wp:posOffset>
            </wp:positionV>
            <wp:extent cx="388620" cy="146685"/>
            <wp:effectExtent l="0" t="0" r="0" b="0"/>
            <wp:wrapNone/>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388620" cy="146685"/>
                    </a:xfrm>
                    <a:prstGeom prst="rect">
                      <a:avLst/>
                    </a:prstGeom>
                    <a:ln/>
                  </pic:spPr>
                </pic:pic>
              </a:graphicData>
            </a:graphic>
          </wp:anchor>
        </w:drawing>
      </w:r>
    </w:p>
    <w:p w14:paraId="7E5D7591" w14:textId="77777777" w:rsidR="00EE60FA" w:rsidRDefault="00EE60FA">
      <w:pPr>
        <w:spacing w:line="340" w:lineRule="auto"/>
        <w:rPr>
          <w:sz w:val="20"/>
          <w:szCs w:val="20"/>
        </w:rPr>
      </w:pPr>
    </w:p>
    <w:p w14:paraId="627433C9" w14:textId="77777777" w:rsidR="00EE60FA" w:rsidRDefault="00000000">
      <w:pPr>
        <w:ind w:left="260"/>
        <w:rPr>
          <w:sz w:val="20"/>
          <w:szCs w:val="20"/>
        </w:rPr>
      </w:pPr>
      <w:r>
        <w:rPr>
          <w:rFonts w:ascii="Arial" w:eastAsia="Arial" w:hAnsi="Arial" w:cs="Arial"/>
        </w:rPr>
        <w:t>Date:</w:t>
      </w:r>
      <w:r>
        <w:rPr>
          <w:rFonts w:ascii="Arial" w:eastAsia="Arial" w:hAnsi="Arial" w:cs="Arial"/>
        </w:rPr>
        <w:tab/>
        <w:t>08/03/23</w:t>
      </w:r>
    </w:p>
    <w:p w14:paraId="1EF38674" w14:textId="77777777" w:rsidR="00EE60FA" w:rsidRDefault="00EE60FA">
      <w:pPr>
        <w:jc w:val="center"/>
      </w:pPr>
    </w:p>
    <w:p w14:paraId="7F79E136" w14:textId="77777777" w:rsidR="00EE60FA" w:rsidRDefault="00EE60FA">
      <w:pPr>
        <w:jc w:val="center"/>
      </w:pPr>
    </w:p>
    <w:p w14:paraId="01C1C2FE" w14:textId="77777777" w:rsidR="00EE60FA" w:rsidRDefault="00EE60FA">
      <w:pPr>
        <w:jc w:val="center"/>
      </w:pPr>
    </w:p>
    <w:p w14:paraId="01622CD2" w14:textId="77777777" w:rsidR="00EE60FA" w:rsidRDefault="00EE60FA">
      <w:pPr>
        <w:jc w:val="center"/>
      </w:pPr>
    </w:p>
    <w:p w14:paraId="2E5E1DA7" w14:textId="77777777" w:rsidR="00EE60FA" w:rsidRDefault="00EE60FA">
      <w:pPr>
        <w:jc w:val="center"/>
      </w:pPr>
    </w:p>
    <w:p w14:paraId="6BA46454" w14:textId="77777777" w:rsidR="00EE60FA" w:rsidRDefault="00EE60FA">
      <w:pPr>
        <w:jc w:val="center"/>
      </w:pPr>
    </w:p>
    <w:p w14:paraId="1CA9E151" w14:textId="77777777" w:rsidR="00EE60FA" w:rsidRDefault="00EE60FA">
      <w:pPr>
        <w:jc w:val="center"/>
      </w:pPr>
    </w:p>
    <w:p w14:paraId="3C35A6C9" w14:textId="77777777" w:rsidR="00EE60FA" w:rsidRDefault="00EE60FA">
      <w:pPr>
        <w:jc w:val="center"/>
      </w:pPr>
    </w:p>
    <w:p w14:paraId="714C35FF" w14:textId="77777777" w:rsidR="00EE60FA" w:rsidRDefault="00EE60FA">
      <w:pPr>
        <w:spacing w:line="200" w:lineRule="auto"/>
        <w:rPr>
          <w:sz w:val="20"/>
          <w:szCs w:val="20"/>
        </w:rPr>
      </w:pPr>
    </w:p>
    <w:p w14:paraId="13C074B2" w14:textId="77777777" w:rsidR="00EE60FA" w:rsidRDefault="00EE60FA">
      <w:pPr>
        <w:spacing w:line="200" w:lineRule="auto"/>
        <w:rPr>
          <w:sz w:val="20"/>
          <w:szCs w:val="20"/>
        </w:rPr>
      </w:pPr>
    </w:p>
    <w:p w14:paraId="59498A48" w14:textId="77777777" w:rsidR="00EE60FA" w:rsidRDefault="00EE60FA">
      <w:pPr>
        <w:spacing w:line="200" w:lineRule="auto"/>
        <w:rPr>
          <w:sz w:val="20"/>
          <w:szCs w:val="20"/>
        </w:rPr>
      </w:pPr>
    </w:p>
    <w:p w14:paraId="754AE024" w14:textId="77777777" w:rsidR="00EE60FA" w:rsidRDefault="00000000">
      <w:pPr>
        <w:spacing w:line="200" w:lineRule="auto"/>
        <w:rPr>
          <w:sz w:val="20"/>
          <w:szCs w:val="20"/>
        </w:rPr>
      </w:pPr>
      <w:r>
        <w:rPr>
          <w:noProof/>
        </w:rPr>
        <w:lastRenderedPageBreak/>
        <w:drawing>
          <wp:anchor distT="0" distB="0" distL="0" distR="0" simplePos="0" relativeHeight="251667456" behindDoc="1" locked="0" layoutInCell="1" hidden="0" allowOverlap="1" wp14:anchorId="1E5A8882" wp14:editId="123394FB">
            <wp:simplePos x="0" y="0"/>
            <wp:positionH relativeFrom="column">
              <wp:posOffset>1958340</wp:posOffset>
            </wp:positionH>
            <wp:positionV relativeFrom="paragraph">
              <wp:posOffset>-5714</wp:posOffset>
            </wp:positionV>
            <wp:extent cx="1530900" cy="2292898"/>
            <wp:effectExtent l="0" t="0" r="0" b="0"/>
            <wp:wrapNone/>
            <wp:docPr id="5" name="image2.jpg" descr="A person wearing sunglass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jpg" descr="A person wearing sunglasses&#10;&#10;Description automatically generated with medium confidence"/>
                    <pic:cNvPicPr preferRelativeResize="0"/>
                  </pic:nvPicPr>
                  <pic:blipFill>
                    <a:blip r:embed="rId24"/>
                    <a:srcRect/>
                    <a:stretch>
                      <a:fillRect/>
                    </a:stretch>
                  </pic:blipFill>
                  <pic:spPr>
                    <a:xfrm>
                      <a:off x="0" y="0"/>
                      <a:ext cx="1530900" cy="2292898"/>
                    </a:xfrm>
                    <a:prstGeom prst="rect">
                      <a:avLst/>
                    </a:prstGeom>
                    <a:ln/>
                  </pic:spPr>
                </pic:pic>
              </a:graphicData>
            </a:graphic>
          </wp:anchor>
        </w:drawing>
      </w:r>
    </w:p>
    <w:p w14:paraId="5485CC2C" w14:textId="77777777" w:rsidR="00EE60FA" w:rsidRDefault="00EE60FA">
      <w:pPr>
        <w:spacing w:line="200" w:lineRule="auto"/>
        <w:rPr>
          <w:sz w:val="20"/>
          <w:szCs w:val="20"/>
        </w:rPr>
      </w:pPr>
    </w:p>
    <w:p w14:paraId="2BF6A102" w14:textId="77777777" w:rsidR="00EE60FA" w:rsidRDefault="00EE60FA">
      <w:pPr>
        <w:spacing w:line="200" w:lineRule="auto"/>
        <w:rPr>
          <w:sz w:val="20"/>
          <w:szCs w:val="20"/>
        </w:rPr>
      </w:pPr>
    </w:p>
    <w:p w14:paraId="2F8B8838" w14:textId="77777777" w:rsidR="00EE60FA" w:rsidRDefault="00EE60FA">
      <w:pPr>
        <w:spacing w:line="200" w:lineRule="auto"/>
        <w:rPr>
          <w:sz w:val="20"/>
          <w:szCs w:val="20"/>
        </w:rPr>
      </w:pPr>
    </w:p>
    <w:p w14:paraId="16F5928E" w14:textId="77777777" w:rsidR="00EE60FA" w:rsidRDefault="00EE60FA">
      <w:pPr>
        <w:spacing w:line="200" w:lineRule="auto"/>
        <w:rPr>
          <w:sz w:val="20"/>
          <w:szCs w:val="20"/>
        </w:rPr>
      </w:pPr>
    </w:p>
    <w:p w14:paraId="66040CA1" w14:textId="77777777" w:rsidR="00EE60FA" w:rsidRDefault="00EE60FA">
      <w:pPr>
        <w:spacing w:line="200" w:lineRule="auto"/>
        <w:rPr>
          <w:sz w:val="20"/>
          <w:szCs w:val="20"/>
        </w:rPr>
      </w:pPr>
    </w:p>
    <w:p w14:paraId="44655B6C" w14:textId="77777777" w:rsidR="00EE60FA" w:rsidRDefault="00EE60FA">
      <w:pPr>
        <w:spacing w:line="200" w:lineRule="auto"/>
        <w:rPr>
          <w:sz w:val="20"/>
          <w:szCs w:val="20"/>
        </w:rPr>
      </w:pPr>
    </w:p>
    <w:p w14:paraId="7F711D64" w14:textId="77777777" w:rsidR="00EE60FA" w:rsidRDefault="00EE60FA">
      <w:pPr>
        <w:spacing w:line="200" w:lineRule="auto"/>
        <w:rPr>
          <w:sz w:val="20"/>
          <w:szCs w:val="20"/>
        </w:rPr>
      </w:pPr>
    </w:p>
    <w:p w14:paraId="31817965" w14:textId="77777777" w:rsidR="00EE60FA" w:rsidRDefault="00EE60FA">
      <w:pPr>
        <w:spacing w:line="200" w:lineRule="auto"/>
        <w:rPr>
          <w:sz w:val="20"/>
          <w:szCs w:val="20"/>
        </w:rPr>
      </w:pPr>
    </w:p>
    <w:p w14:paraId="4F1AD91A" w14:textId="77777777" w:rsidR="00EE60FA" w:rsidRDefault="00EE60FA">
      <w:pPr>
        <w:spacing w:line="200" w:lineRule="auto"/>
        <w:rPr>
          <w:sz w:val="20"/>
          <w:szCs w:val="20"/>
        </w:rPr>
      </w:pPr>
    </w:p>
    <w:p w14:paraId="5407AA3D" w14:textId="77777777" w:rsidR="00EE60FA" w:rsidRDefault="00EE60FA">
      <w:pPr>
        <w:spacing w:line="200" w:lineRule="auto"/>
        <w:rPr>
          <w:sz w:val="20"/>
          <w:szCs w:val="20"/>
        </w:rPr>
      </w:pPr>
    </w:p>
    <w:p w14:paraId="451AC04D" w14:textId="77777777" w:rsidR="00EE60FA" w:rsidRDefault="00EE60FA">
      <w:pPr>
        <w:spacing w:line="200" w:lineRule="auto"/>
        <w:rPr>
          <w:sz w:val="20"/>
          <w:szCs w:val="20"/>
        </w:rPr>
      </w:pPr>
    </w:p>
    <w:p w14:paraId="2E501128" w14:textId="77777777" w:rsidR="00EE60FA" w:rsidRDefault="00EE60FA">
      <w:pPr>
        <w:spacing w:line="200" w:lineRule="auto"/>
        <w:rPr>
          <w:sz w:val="20"/>
          <w:szCs w:val="20"/>
        </w:rPr>
      </w:pPr>
    </w:p>
    <w:p w14:paraId="50AEF470" w14:textId="77777777" w:rsidR="00EE60FA" w:rsidRDefault="00EE60FA">
      <w:pPr>
        <w:spacing w:line="200" w:lineRule="auto"/>
        <w:rPr>
          <w:sz w:val="20"/>
          <w:szCs w:val="20"/>
        </w:rPr>
      </w:pPr>
    </w:p>
    <w:p w14:paraId="62E43C69" w14:textId="77777777" w:rsidR="00EE60FA" w:rsidRDefault="00EE60FA">
      <w:pPr>
        <w:spacing w:line="200" w:lineRule="auto"/>
        <w:rPr>
          <w:sz w:val="20"/>
          <w:szCs w:val="20"/>
        </w:rPr>
      </w:pPr>
    </w:p>
    <w:p w14:paraId="68EE6C2C" w14:textId="77777777" w:rsidR="00EE60FA" w:rsidRDefault="00EE60FA">
      <w:pPr>
        <w:spacing w:line="200" w:lineRule="auto"/>
        <w:rPr>
          <w:sz w:val="20"/>
          <w:szCs w:val="20"/>
        </w:rPr>
      </w:pPr>
    </w:p>
    <w:p w14:paraId="1DB8C0A2" w14:textId="77777777" w:rsidR="00EE60FA" w:rsidRDefault="00EE60FA">
      <w:pPr>
        <w:spacing w:line="200" w:lineRule="auto"/>
        <w:rPr>
          <w:sz w:val="20"/>
          <w:szCs w:val="20"/>
        </w:rPr>
      </w:pPr>
    </w:p>
    <w:p w14:paraId="53C2C8DD" w14:textId="77777777" w:rsidR="00EE60FA" w:rsidRDefault="00EE60FA">
      <w:pPr>
        <w:spacing w:line="200" w:lineRule="auto"/>
        <w:rPr>
          <w:sz w:val="20"/>
          <w:szCs w:val="20"/>
        </w:rPr>
      </w:pPr>
    </w:p>
    <w:p w14:paraId="72A0A118" w14:textId="77777777" w:rsidR="00EE60FA" w:rsidRDefault="00EE60FA">
      <w:pPr>
        <w:ind w:left="2160" w:right="1606"/>
        <w:rPr>
          <w:rFonts w:ascii="Arial" w:eastAsia="Arial" w:hAnsi="Arial" w:cs="Arial"/>
          <w:sz w:val="20"/>
          <w:szCs w:val="20"/>
        </w:rPr>
      </w:pPr>
    </w:p>
    <w:p w14:paraId="17511B9E" w14:textId="77777777" w:rsidR="00EE60FA" w:rsidRDefault="00EE60FA">
      <w:pPr>
        <w:ind w:left="2160" w:right="1606"/>
        <w:rPr>
          <w:rFonts w:ascii="Arial" w:eastAsia="Arial" w:hAnsi="Arial" w:cs="Arial"/>
          <w:sz w:val="20"/>
          <w:szCs w:val="20"/>
        </w:rPr>
      </w:pPr>
    </w:p>
    <w:p w14:paraId="1D9D46A8" w14:textId="77777777" w:rsidR="00EE60FA" w:rsidRDefault="00EE60FA">
      <w:pPr>
        <w:ind w:left="2160" w:right="1606"/>
        <w:rPr>
          <w:rFonts w:ascii="Arial" w:eastAsia="Arial" w:hAnsi="Arial" w:cs="Arial"/>
          <w:sz w:val="20"/>
          <w:szCs w:val="20"/>
        </w:rPr>
      </w:pPr>
    </w:p>
    <w:p w14:paraId="35AC4EBC" w14:textId="77777777" w:rsidR="00EE60FA" w:rsidRDefault="00000000">
      <w:pPr>
        <w:ind w:right="706"/>
        <w:rPr>
          <w:rFonts w:ascii="Arial" w:eastAsia="Arial" w:hAnsi="Arial" w:cs="Arial"/>
        </w:rPr>
      </w:pPr>
      <w:r>
        <w:rPr>
          <w:rFonts w:ascii="Arial" w:eastAsia="Arial" w:hAnsi="Arial" w:cs="Arial"/>
        </w:rPr>
        <w:t>“We have nothing to fear but fear itself.”</w:t>
      </w:r>
    </w:p>
    <w:p w14:paraId="2E554283" w14:textId="77777777" w:rsidR="00EE60FA" w:rsidRDefault="00EE60FA">
      <w:pPr>
        <w:spacing w:line="257" w:lineRule="auto"/>
        <w:rPr>
          <w:rFonts w:ascii="Arial" w:eastAsia="Arial" w:hAnsi="Arial" w:cs="Arial"/>
        </w:rPr>
      </w:pPr>
    </w:p>
    <w:p w14:paraId="17E5689E" w14:textId="77777777" w:rsidR="00EE60FA" w:rsidRDefault="00000000">
      <w:pPr>
        <w:ind w:right="706"/>
        <w:jc w:val="right"/>
        <w:rPr>
          <w:rFonts w:ascii="Arial" w:eastAsia="Arial" w:hAnsi="Arial" w:cs="Arial"/>
        </w:rPr>
      </w:pPr>
      <w:r>
        <w:rPr>
          <w:rFonts w:ascii="Arial" w:eastAsia="Arial" w:hAnsi="Arial" w:cs="Arial"/>
        </w:rPr>
        <w:t>Franklin D. Roosevelt</w:t>
      </w:r>
    </w:p>
    <w:p w14:paraId="56EB44BF" w14:textId="77777777" w:rsidR="00EE60FA" w:rsidRDefault="00EE60FA">
      <w:pPr>
        <w:ind w:right="706"/>
        <w:jc w:val="right"/>
        <w:rPr>
          <w:rFonts w:ascii="Arial" w:eastAsia="Arial" w:hAnsi="Arial" w:cs="Arial"/>
        </w:rPr>
      </w:pPr>
    </w:p>
    <w:p w14:paraId="1AB93AF1" w14:textId="77777777" w:rsidR="00EE60FA" w:rsidRDefault="00EE60FA">
      <w:pPr>
        <w:ind w:right="706"/>
        <w:jc w:val="right"/>
        <w:rPr>
          <w:rFonts w:ascii="Arial" w:eastAsia="Arial" w:hAnsi="Arial" w:cs="Arial"/>
        </w:rPr>
      </w:pPr>
    </w:p>
    <w:p w14:paraId="4F16E413" w14:textId="77777777" w:rsidR="00EE60FA" w:rsidRDefault="00EE60FA">
      <w:pPr>
        <w:ind w:right="706"/>
        <w:jc w:val="right"/>
        <w:rPr>
          <w:rFonts w:ascii="Arial" w:eastAsia="Arial" w:hAnsi="Arial" w:cs="Arial"/>
        </w:rPr>
      </w:pPr>
    </w:p>
    <w:p w14:paraId="3C389368" w14:textId="77777777" w:rsidR="00EE60FA" w:rsidRDefault="00EE60FA">
      <w:pPr>
        <w:ind w:right="706"/>
        <w:jc w:val="right"/>
        <w:rPr>
          <w:rFonts w:ascii="Arial" w:eastAsia="Arial" w:hAnsi="Arial" w:cs="Arial"/>
        </w:rPr>
      </w:pPr>
    </w:p>
    <w:p w14:paraId="617BC2D6" w14:textId="77777777" w:rsidR="00EE60FA" w:rsidRDefault="00EE60FA">
      <w:pPr>
        <w:ind w:right="706"/>
        <w:jc w:val="right"/>
        <w:rPr>
          <w:rFonts w:ascii="Arial" w:eastAsia="Arial" w:hAnsi="Arial" w:cs="Arial"/>
        </w:rPr>
      </w:pPr>
    </w:p>
    <w:p w14:paraId="63EE8593" w14:textId="77777777" w:rsidR="00EE60FA" w:rsidRDefault="00EE60FA">
      <w:pPr>
        <w:ind w:right="706"/>
        <w:jc w:val="right"/>
        <w:rPr>
          <w:rFonts w:ascii="Arial" w:eastAsia="Arial" w:hAnsi="Arial" w:cs="Arial"/>
        </w:rPr>
      </w:pPr>
    </w:p>
    <w:p w14:paraId="50873F94" w14:textId="77777777" w:rsidR="00EE60FA" w:rsidRDefault="00EE60FA">
      <w:pPr>
        <w:ind w:right="706"/>
        <w:jc w:val="right"/>
        <w:rPr>
          <w:rFonts w:ascii="Arial" w:eastAsia="Arial" w:hAnsi="Arial" w:cs="Arial"/>
        </w:rPr>
      </w:pPr>
    </w:p>
    <w:p w14:paraId="6F9EEF2C" w14:textId="77777777" w:rsidR="00EE60FA" w:rsidRDefault="00EE60FA">
      <w:pPr>
        <w:ind w:right="706"/>
        <w:jc w:val="right"/>
        <w:rPr>
          <w:rFonts w:ascii="Arial" w:eastAsia="Arial" w:hAnsi="Arial" w:cs="Arial"/>
        </w:rPr>
      </w:pPr>
    </w:p>
    <w:p w14:paraId="3F4A6618" w14:textId="77777777" w:rsidR="00EE60FA" w:rsidRDefault="00EE60FA">
      <w:pPr>
        <w:spacing w:line="259" w:lineRule="auto"/>
        <w:rPr>
          <w:sz w:val="20"/>
          <w:szCs w:val="20"/>
        </w:rPr>
      </w:pPr>
    </w:p>
    <w:p w14:paraId="243B6AFB" w14:textId="77777777" w:rsidR="00EE60FA" w:rsidRDefault="00000000">
      <w:pPr>
        <w:ind w:left="2020"/>
        <w:rPr>
          <w:rFonts w:ascii="Arial" w:eastAsia="Arial" w:hAnsi="Arial" w:cs="Arial"/>
          <w:color w:val="800000"/>
        </w:rPr>
      </w:pPr>
      <w:hyperlink r:id="rId25">
        <w:r>
          <w:rPr>
            <w:rFonts w:ascii="Arial" w:eastAsia="Arial" w:hAnsi="Arial" w:cs="Arial"/>
            <w:color w:val="800000"/>
          </w:rPr>
          <w:t>South</w:t>
        </w:r>
      </w:hyperlink>
      <w:r>
        <w:rPr>
          <w:rFonts w:ascii="Arial" w:eastAsia="Arial" w:hAnsi="Arial" w:cs="Arial"/>
          <w:color w:val="800000"/>
        </w:rPr>
        <w:t>east Technological University Waterford</w:t>
      </w:r>
    </w:p>
    <w:p w14:paraId="1683E4DF" w14:textId="77777777" w:rsidR="00EE60FA" w:rsidRDefault="00EE60FA">
      <w:pPr>
        <w:spacing w:line="300" w:lineRule="auto"/>
        <w:rPr>
          <w:sz w:val="20"/>
          <w:szCs w:val="20"/>
        </w:rPr>
      </w:pPr>
    </w:p>
    <w:p w14:paraId="5CEFEFA4" w14:textId="77777777" w:rsidR="00EE60FA" w:rsidRDefault="00000000">
      <w:pPr>
        <w:ind w:left="3560"/>
        <w:rPr>
          <w:sz w:val="20"/>
          <w:szCs w:val="20"/>
        </w:rPr>
      </w:pPr>
      <w:r>
        <w:rPr>
          <w:rFonts w:ascii="Arial" w:eastAsia="Arial" w:hAnsi="Arial" w:cs="Arial"/>
          <w:sz w:val="41"/>
          <w:szCs w:val="41"/>
        </w:rPr>
        <w:t>Abstract</w:t>
      </w:r>
    </w:p>
    <w:p w14:paraId="7BC93BFE" w14:textId="77777777" w:rsidR="00EE60FA" w:rsidRDefault="00EE60FA">
      <w:pPr>
        <w:spacing w:line="223" w:lineRule="auto"/>
        <w:rPr>
          <w:sz w:val="20"/>
          <w:szCs w:val="20"/>
        </w:rPr>
      </w:pPr>
    </w:p>
    <w:p w14:paraId="720F822C" w14:textId="77777777" w:rsidR="00EE60FA" w:rsidRDefault="00000000">
      <w:pPr>
        <w:ind w:left="2140"/>
        <w:rPr>
          <w:rFonts w:ascii="Arial" w:eastAsia="Arial" w:hAnsi="Arial" w:cs="Arial"/>
          <w:color w:val="800000"/>
        </w:rPr>
      </w:pPr>
      <w:hyperlink r:id="rId26">
        <w:r>
          <w:rPr>
            <w:rFonts w:ascii="Arial" w:eastAsia="Arial" w:hAnsi="Arial" w:cs="Arial"/>
            <w:color w:val="800000"/>
          </w:rPr>
          <w:t>Department of Computing and Mathematics</w:t>
        </w:r>
      </w:hyperlink>
    </w:p>
    <w:p w14:paraId="5801B869" w14:textId="77777777" w:rsidR="00EE60FA" w:rsidRDefault="00EE60FA">
      <w:pPr>
        <w:spacing w:line="200" w:lineRule="auto"/>
        <w:rPr>
          <w:sz w:val="20"/>
          <w:szCs w:val="20"/>
        </w:rPr>
      </w:pPr>
    </w:p>
    <w:p w14:paraId="550C79AC" w14:textId="77777777" w:rsidR="00EE60FA" w:rsidRDefault="00EE60FA">
      <w:pPr>
        <w:spacing w:line="298" w:lineRule="auto"/>
        <w:rPr>
          <w:sz w:val="20"/>
          <w:szCs w:val="20"/>
        </w:rPr>
      </w:pPr>
    </w:p>
    <w:p w14:paraId="5AA49A0B" w14:textId="38FCBACC" w:rsidR="00EE60FA" w:rsidRDefault="00CF4E8B">
      <w:pPr>
        <w:ind w:left="3580"/>
        <w:rPr>
          <w:sz w:val="20"/>
          <w:szCs w:val="20"/>
        </w:rPr>
      </w:pPr>
      <w:r>
        <w:rPr>
          <w:rFonts w:ascii="Arial" w:eastAsia="Arial" w:hAnsi="Arial" w:cs="Arial"/>
          <w:b/>
        </w:rPr>
        <w:t>Exploring EDI</w:t>
      </w:r>
    </w:p>
    <w:p w14:paraId="77B67AAC" w14:textId="77777777" w:rsidR="00EE60FA" w:rsidRDefault="00EE60FA">
      <w:pPr>
        <w:spacing w:line="136" w:lineRule="auto"/>
        <w:rPr>
          <w:sz w:val="20"/>
          <w:szCs w:val="20"/>
        </w:rPr>
      </w:pPr>
    </w:p>
    <w:p w14:paraId="2E8D2128" w14:textId="77777777" w:rsidR="00EE60FA" w:rsidRDefault="00000000">
      <w:pPr>
        <w:ind w:left="3560"/>
        <w:rPr>
          <w:sz w:val="20"/>
          <w:szCs w:val="20"/>
        </w:rPr>
      </w:pPr>
      <w:r>
        <w:rPr>
          <w:rFonts w:ascii="Arial" w:eastAsia="Arial" w:hAnsi="Arial" w:cs="Arial"/>
        </w:rPr>
        <w:t>By Daire O’Neill</w:t>
      </w:r>
    </w:p>
    <w:p w14:paraId="773DBAFE" w14:textId="77777777" w:rsidR="00EE60FA" w:rsidRDefault="00EE60FA">
      <w:pPr>
        <w:spacing w:line="200" w:lineRule="auto"/>
        <w:rPr>
          <w:sz w:val="20"/>
          <w:szCs w:val="20"/>
        </w:rPr>
      </w:pPr>
    </w:p>
    <w:p w14:paraId="163B9CB6" w14:textId="77777777" w:rsidR="00EE60FA" w:rsidRDefault="00EE60FA" w:rsidP="00CF4E8B">
      <w:pPr>
        <w:spacing w:line="296" w:lineRule="auto"/>
        <w:jc w:val="center"/>
        <w:rPr>
          <w:sz w:val="20"/>
          <w:szCs w:val="20"/>
        </w:rPr>
      </w:pPr>
    </w:p>
    <w:p w14:paraId="07F79E1B" w14:textId="230576FD" w:rsidR="00EE60FA" w:rsidRDefault="00CF4E8B" w:rsidP="00CF4E8B">
      <w:pPr>
        <w:spacing w:line="267" w:lineRule="auto"/>
        <w:ind w:left="260" w:right="706"/>
        <w:jc w:val="center"/>
        <w:rPr>
          <w:sz w:val="20"/>
          <w:szCs w:val="20"/>
        </w:rPr>
        <w:sectPr w:rsidR="00EE60FA">
          <w:pgSz w:w="11900" w:h="16838"/>
          <w:pgMar w:top="940" w:right="1440" w:bottom="1440" w:left="1440" w:header="0" w:footer="0" w:gutter="0"/>
          <w:cols w:space="720"/>
        </w:sectPr>
      </w:pPr>
      <w:r>
        <w:rPr>
          <w:rFonts w:ascii="Arial" w:eastAsia="Arial" w:hAnsi="Arial" w:cs="Arial"/>
        </w:rPr>
        <w:t>This is a report about exploring EDI, it’s standards, transaction sets, X12, and functional group in EDI. I will talk write about different standards X12 codes and explain how they all come together.</w:t>
      </w:r>
    </w:p>
    <w:p w14:paraId="417916D3" w14:textId="77777777" w:rsidR="00EE60FA" w:rsidRDefault="00000000">
      <w:pPr>
        <w:rPr>
          <w:sz w:val="20"/>
          <w:szCs w:val="20"/>
        </w:rPr>
      </w:pPr>
      <w:r>
        <w:rPr>
          <w:rFonts w:ascii="Arial" w:eastAsia="Arial" w:hAnsi="Arial" w:cs="Arial"/>
          <w:b/>
          <w:sz w:val="50"/>
          <w:szCs w:val="50"/>
        </w:rPr>
        <w:lastRenderedPageBreak/>
        <w:t>Table of Contents</w:t>
      </w:r>
    </w:p>
    <w:sdt>
      <w:sdtPr>
        <w:id w:val="1112408239"/>
        <w:docPartObj>
          <w:docPartGallery w:val="Table of Contents"/>
          <w:docPartUnique/>
        </w:docPartObj>
      </w:sdtPr>
      <w:sdtContent>
        <w:p w14:paraId="362BE8D0" w14:textId="703EE622" w:rsidR="00CF4E8B" w:rsidRDefault="00000000">
          <w:pPr>
            <w:pStyle w:val="TOC1"/>
            <w:tabs>
              <w:tab w:val="right" w:leader="dot" w:pos="9010"/>
            </w:tabs>
            <w:rPr>
              <w:noProof/>
            </w:rPr>
          </w:pPr>
          <w:r>
            <w:fldChar w:fldCharType="begin"/>
          </w:r>
          <w:r>
            <w:instrText xml:space="preserve"> TOC \h \u \z \t "Heading 1,1,Heading 2,2,Heading 3,3,"</w:instrText>
          </w:r>
          <w:r>
            <w:fldChar w:fldCharType="separate"/>
          </w:r>
          <w:hyperlink w:anchor="_Toc132038288" w:history="1">
            <w:r w:rsidR="00CF4E8B" w:rsidRPr="007F06A2">
              <w:rPr>
                <w:rStyle w:val="Hyperlink"/>
                <w:noProof/>
              </w:rPr>
              <w:t>What is the difference between EDI and Edifact standards?</w:t>
            </w:r>
            <w:r w:rsidR="00CF4E8B">
              <w:rPr>
                <w:noProof/>
                <w:webHidden/>
              </w:rPr>
              <w:tab/>
            </w:r>
            <w:r w:rsidR="00CF4E8B">
              <w:rPr>
                <w:noProof/>
                <w:webHidden/>
              </w:rPr>
              <w:fldChar w:fldCharType="begin"/>
            </w:r>
            <w:r w:rsidR="00CF4E8B">
              <w:rPr>
                <w:noProof/>
                <w:webHidden/>
              </w:rPr>
              <w:instrText xml:space="preserve"> PAGEREF _Toc132038288 \h </w:instrText>
            </w:r>
            <w:r w:rsidR="00CF4E8B">
              <w:rPr>
                <w:noProof/>
                <w:webHidden/>
              </w:rPr>
            </w:r>
            <w:r w:rsidR="00CF4E8B">
              <w:rPr>
                <w:noProof/>
                <w:webHidden/>
              </w:rPr>
              <w:fldChar w:fldCharType="separate"/>
            </w:r>
            <w:r w:rsidR="00CF4E8B">
              <w:rPr>
                <w:noProof/>
                <w:webHidden/>
              </w:rPr>
              <w:t>7</w:t>
            </w:r>
            <w:r w:rsidR="00CF4E8B">
              <w:rPr>
                <w:noProof/>
                <w:webHidden/>
              </w:rPr>
              <w:fldChar w:fldCharType="end"/>
            </w:r>
          </w:hyperlink>
        </w:p>
        <w:p w14:paraId="4D8F5066" w14:textId="744B63BF" w:rsidR="00CF4E8B" w:rsidRDefault="00CF4E8B">
          <w:pPr>
            <w:pStyle w:val="TOC1"/>
            <w:tabs>
              <w:tab w:val="right" w:leader="dot" w:pos="9010"/>
            </w:tabs>
            <w:rPr>
              <w:noProof/>
            </w:rPr>
          </w:pPr>
          <w:hyperlink w:anchor="_Toc132038289" w:history="1">
            <w:r w:rsidRPr="007F06A2">
              <w:rPr>
                <w:rStyle w:val="Hyperlink"/>
                <w:noProof/>
              </w:rPr>
              <w:t>Give an example of what a paper purchase order looks like in both standards.</w:t>
            </w:r>
            <w:r>
              <w:rPr>
                <w:noProof/>
                <w:webHidden/>
              </w:rPr>
              <w:tab/>
            </w:r>
            <w:r>
              <w:rPr>
                <w:noProof/>
                <w:webHidden/>
              </w:rPr>
              <w:fldChar w:fldCharType="begin"/>
            </w:r>
            <w:r>
              <w:rPr>
                <w:noProof/>
                <w:webHidden/>
              </w:rPr>
              <w:instrText xml:space="preserve"> PAGEREF _Toc132038289 \h </w:instrText>
            </w:r>
            <w:r>
              <w:rPr>
                <w:noProof/>
                <w:webHidden/>
              </w:rPr>
            </w:r>
            <w:r>
              <w:rPr>
                <w:noProof/>
                <w:webHidden/>
              </w:rPr>
              <w:fldChar w:fldCharType="separate"/>
            </w:r>
            <w:r>
              <w:rPr>
                <w:noProof/>
                <w:webHidden/>
              </w:rPr>
              <w:t>7</w:t>
            </w:r>
            <w:r>
              <w:rPr>
                <w:noProof/>
                <w:webHidden/>
              </w:rPr>
              <w:fldChar w:fldCharType="end"/>
            </w:r>
          </w:hyperlink>
        </w:p>
        <w:p w14:paraId="0E0C34EC" w14:textId="0D2CC037" w:rsidR="00CF4E8B" w:rsidRDefault="00CF4E8B">
          <w:pPr>
            <w:pStyle w:val="TOC1"/>
            <w:tabs>
              <w:tab w:val="right" w:leader="dot" w:pos="9010"/>
            </w:tabs>
            <w:rPr>
              <w:noProof/>
            </w:rPr>
          </w:pPr>
          <w:hyperlink w:anchor="_Toc132038290" w:history="1">
            <w:r w:rsidRPr="007F06A2">
              <w:rPr>
                <w:rStyle w:val="Hyperlink"/>
                <w:noProof/>
              </w:rPr>
              <w:t>In depth explanation of why standards are so important?</w:t>
            </w:r>
            <w:r>
              <w:rPr>
                <w:noProof/>
                <w:webHidden/>
              </w:rPr>
              <w:tab/>
            </w:r>
            <w:r>
              <w:rPr>
                <w:noProof/>
                <w:webHidden/>
              </w:rPr>
              <w:fldChar w:fldCharType="begin"/>
            </w:r>
            <w:r>
              <w:rPr>
                <w:noProof/>
                <w:webHidden/>
              </w:rPr>
              <w:instrText xml:space="preserve"> PAGEREF _Toc132038290 \h </w:instrText>
            </w:r>
            <w:r>
              <w:rPr>
                <w:noProof/>
                <w:webHidden/>
              </w:rPr>
            </w:r>
            <w:r>
              <w:rPr>
                <w:noProof/>
                <w:webHidden/>
              </w:rPr>
              <w:fldChar w:fldCharType="separate"/>
            </w:r>
            <w:r>
              <w:rPr>
                <w:noProof/>
                <w:webHidden/>
              </w:rPr>
              <w:t>8</w:t>
            </w:r>
            <w:r>
              <w:rPr>
                <w:noProof/>
                <w:webHidden/>
              </w:rPr>
              <w:fldChar w:fldCharType="end"/>
            </w:r>
          </w:hyperlink>
        </w:p>
        <w:p w14:paraId="0556E960" w14:textId="62B6713E" w:rsidR="00CF4E8B" w:rsidRDefault="00CF4E8B">
          <w:pPr>
            <w:pStyle w:val="TOC1"/>
            <w:tabs>
              <w:tab w:val="right" w:leader="dot" w:pos="9010"/>
            </w:tabs>
            <w:rPr>
              <w:noProof/>
            </w:rPr>
          </w:pPr>
          <w:hyperlink w:anchor="_Toc132038291" w:history="1">
            <w:r w:rsidRPr="007F06A2">
              <w:rPr>
                <w:rStyle w:val="Hyperlink"/>
                <w:noProof/>
              </w:rPr>
              <w:t>Explanation of Transaction Sets. Many Transaction Sets can be broken into three parts. Use an example to describe how tables in an X12 Standard document summarize the segments that may be used in each of these three parts of a transaction set.</w:t>
            </w:r>
            <w:r>
              <w:rPr>
                <w:noProof/>
                <w:webHidden/>
              </w:rPr>
              <w:tab/>
            </w:r>
            <w:r>
              <w:rPr>
                <w:noProof/>
                <w:webHidden/>
              </w:rPr>
              <w:fldChar w:fldCharType="begin"/>
            </w:r>
            <w:r>
              <w:rPr>
                <w:noProof/>
                <w:webHidden/>
              </w:rPr>
              <w:instrText xml:space="preserve"> PAGEREF _Toc132038291 \h </w:instrText>
            </w:r>
            <w:r>
              <w:rPr>
                <w:noProof/>
                <w:webHidden/>
              </w:rPr>
            </w:r>
            <w:r>
              <w:rPr>
                <w:noProof/>
                <w:webHidden/>
              </w:rPr>
              <w:fldChar w:fldCharType="separate"/>
            </w:r>
            <w:r>
              <w:rPr>
                <w:noProof/>
                <w:webHidden/>
              </w:rPr>
              <w:t>10</w:t>
            </w:r>
            <w:r>
              <w:rPr>
                <w:noProof/>
                <w:webHidden/>
              </w:rPr>
              <w:fldChar w:fldCharType="end"/>
            </w:r>
          </w:hyperlink>
        </w:p>
        <w:p w14:paraId="7243BEB8" w14:textId="48DFFB5A" w:rsidR="00CF4E8B" w:rsidRDefault="00CF4E8B">
          <w:pPr>
            <w:pStyle w:val="TOC1"/>
            <w:tabs>
              <w:tab w:val="right" w:leader="dot" w:pos="9010"/>
            </w:tabs>
            <w:rPr>
              <w:noProof/>
            </w:rPr>
          </w:pPr>
          <w:hyperlink w:anchor="_Toc132038292" w:history="1">
            <w:r w:rsidRPr="007F06A2">
              <w:rPr>
                <w:rStyle w:val="Hyperlink"/>
                <w:noProof/>
              </w:rPr>
              <w:t>How do you get the X12 standard documents?</w:t>
            </w:r>
            <w:r>
              <w:rPr>
                <w:noProof/>
                <w:webHidden/>
              </w:rPr>
              <w:tab/>
            </w:r>
            <w:r>
              <w:rPr>
                <w:noProof/>
                <w:webHidden/>
              </w:rPr>
              <w:fldChar w:fldCharType="begin"/>
            </w:r>
            <w:r>
              <w:rPr>
                <w:noProof/>
                <w:webHidden/>
              </w:rPr>
              <w:instrText xml:space="preserve"> PAGEREF _Toc132038292 \h </w:instrText>
            </w:r>
            <w:r>
              <w:rPr>
                <w:noProof/>
                <w:webHidden/>
              </w:rPr>
            </w:r>
            <w:r>
              <w:rPr>
                <w:noProof/>
                <w:webHidden/>
              </w:rPr>
              <w:fldChar w:fldCharType="separate"/>
            </w:r>
            <w:r>
              <w:rPr>
                <w:noProof/>
                <w:webHidden/>
              </w:rPr>
              <w:t>10</w:t>
            </w:r>
            <w:r>
              <w:rPr>
                <w:noProof/>
                <w:webHidden/>
              </w:rPr>
              <w:fldChar w:fldCharType="end"/>
            </w:r>
          </w:hyperlink>
        </w:p>
        <w:p w14:paraId="2BF8978D" w14:textId="3987B6A9" w:rsidR="00CF4E8B" w:rsidRDefault="00CF4E8B">
          <w:pPr>
            <w:pStyle w:val="TOC1"/>
            <w:tabs>
              <w:tab w:val="right" w:leader="dot" w:pos="9010"/>
            </w:tabs>
            <w:rPr>
              <w:noProof/>
            </w:rPr>
          </w:pPr>
          <w:hyperlink w:anchor="_Toc132038293" w:history="1">
            <w:r w:rsidRPr="007F06A2">
              <w:rPr>
                <w:rStyle w:val="Hyperlink"/>
                <w:noProof/>
              </w:rPr>
              <w:t>Give an example of 3 X12 codes and a brief explanation of what they are used for?</w:t>
            </w:r>
            <w:r>
              <w:rPr>
                <w:noProof/>
                <w:webHidden/>
              </w:rPr>
              <w:tab/>
            </w:r>
            <w:r>
              <w:rPr>
                <w:noProof/>
                <w:webHidden/>
              </w:rPr>
              <w:fldChar w:fldCharType="begin"/>
            </w:r>
            <w:r>
              <w:rPr>
                <w:noProof/>
                <w:webHidden/>
              </w:rPr>
              <w:instrText xml:space="preserve"> PAGEREF _Toc132038293 \h </w:instrText>
            </w:r>
            <w:r>
              <w:rPr>
                <w:noProof/>
                <w:webHidden/>
              </w:rPr>
            </w:r>
            <w:r>
              <w:rPr>
                <w:noProof/>
                <w:webHidden/>
              </w:rPr>
              <w:fldChar w:fldCharType="separate"/>
            </w:r>
            <w:r>
              <w:rPr>
                <w:noProof/>
                <w:webHidden/>
              </w:rPr>
              <w:t>11</w:t>
            </w:r>
            <w:r>
              <w:rPr>
                <w:noProof/>
                <w:webHidden/>
              </w:rPr>
              <w:fldChar w:fldCharType="end"/>
            </w:r>
          </w:hyperlink>
        </w:p>
        <w:p w14:paraId="7ADAB5B0" w14:textId="566BAB06" w:rsidR="00CF4E8B" w:rsidRDefault="00CF4E8B">
          <w:pPr>
            <w:pStyle w:val="TOC1"/>
            <w:tabs>
              <w:tab w:val="right" w:leader="dot" w:pos="9010"/>
            </w:tabs>
            <w:rPr>
              <w:noProof/>
            </w:rPr>
          </w:pPr>
          <w:hyperlink w:anchor="_Toc132038294" w:history="1">
            <w:r w:rsidRPr="007F06A2">
              <w:rPr>
                <w:rStyle w:val="Hyperlink"/>
                <w:noProof/>
              </w:rPr>
              <w:t>What is a functional group in EDI?</w:t>
            </w:r>
            <w:r>
              <w:rPr>
                <w:noProof/>
                <w:webHidden/>
              </w:rPr>
              <w:tab/>
            </w:r>
            <w:r>
              <w:rPr>
                <w:noProof/>
                <w:webHidden/>
              </w:rPr>
              <w:fldChar w:fldCharType="begin"/>
            </w:r>
            <w:r>
              <w:rPr>
                <w:noProof/>
                <w:webHidden/>
              </w:rPr>
              <w:instrText xml:space="preserve"> PAGEREF _Toc132038294 \h </w:instrText>
            </w:r>
            <w:r>
              <w:rPr>
                <w:noProof/>
                <w:webHidden/>
              </w:rPr>
            </w:r>
            <w:r>
              <w:rPr>
                <w:noProof/>
                <w:webHidden/>
              </w:rPr>
              <w:fldChar w:fldCharType="separate"/>
            </w:r>
            <w:r>
              <w:rPr>
                <w:noProof/>
                <w:webHidden/>
              </w:rPr>
              <w:t>11</w:t>
            </w:r>
            <w:r>
              <w:rPr>
                <w:noProof/>
                <w:webHidden/>
              </w:rPr>
              <w:fldChar w:fldCharType="end"/>
            </w:r>
          </w:hyperlink>
        </w:p>
        <w:p w14:paraId="6E24B881" w14:textId="33792D5B" w:rsidR="00EE60FA" w:rsidRDefault="00000000">
          <w:r>
            <w:fldChar w:fldCharType="end"/>
          </w:r>
        </w:p>
      </w:sdtContent>
    </w:sdt>
    <w:p w14:paraId="11C723C7" w14:textId="77777777" w:rsidR="00EE60FA" w:rsidRDefault="00EE60FA">
      <w:pPr>
        <w:spacing w:after="160" w:line="259" w:lineRule="auto"/>
      </w:pPr>
    </w:p>
    <w:p w14:paraId="1FB446F6" w14:textId="77777777" w:rsidR="00EE60FA" w:rsidRDefault="00EE60FA">
      <w:pPr>
        <w:ind w:left="260"/>
        <w:rPr>
          <w:rFonts w:ascii="Arial" w:eastAsia="Arial" w:hAnsi="Arial" w:cs="Arial"/>
          <w:b/>
          <w:sz w:val="50"/>
          <w:szCs w:val="50"/>
        </w:rPr>
      </w:pPr>
    </w:p>
    <w:p w14:paraId="621311A6" w14:textId="77777777" w:rsidR="00EE60FA" w:rsidRDefault="00EE60FA">
      <w:pPr>
        <w:ind w:left="260"/>
        <w:rPr>
          <w:rFonts w:ascii="Arial" w:eastAsia="Arial" w:hAnsi="Arial" w:cs="Arial"/>
          <w:b/>
          <w:sz w:val="50"/>
          <w:szCs w:val="50"/>
        </w:rPr>
      </w:pPr>
    </w:p>
    <w:p w14:paraId="1098F5AF" w14:textId="77777777" w:rsidR="00EE60FA" w:rsidRDefault="00EE60FA">
      <w:pPr>
        <w:ind w:left="260"/>
        <w:rPr>
          <w:rFonts w:ascii="Arial" w:eastAsia="Arial" w:hAnsi="Arial" w:cs="Arial"/>
          <w:b/>
          <w:sz w:val="50"/>
          <w:szCs w:val="50"/>
        </w:rPr>
      </w:pPr>
    </w:p>
    <w:p w14:paraId="5715EF06" w14:textId="77777777" w:rsidR="00EE60FA" w:rsidRDefault="00EE60FA">
      <w:pPr>
        <w:ind w:left="260"/>
        <w:rPr>
          <w:rFonts w:ascii="Arial" w:eastAsia="Arial" w:hAnsi="Arial" w:cs="Arial"/>
          <w:b/>
          <w:sz w:val="50"/>
          <w:szCs w:val="50"/>
        </w:rPr>
      </w:pPr>
    </w:p>
    <w:p w14:paraId="7F7F98B6" w14:textId="77777777" w:rsidR="00EE60FA" w:rsidRDefault="00EE60FA">
      <w:pPr>
        <w:ind w:left="260"/>
        <w:rPr>
          <w:rFonts w:ascii="Arial" w:eastAsia="Arial" w:hAnsi="Arial" w:cs="Arial"/>
          <w:b/>
          <w:sz w:val="50"/>
          <w:szCs w:val="50"/>
        </w:rPr>
      </w:pPr>
    </w:p>
    <w:p w14:paraId="5D126EA8" w14:textId="77777777" w:rsidR="00EE60FA" w:rsidRDefault="00EE60FA">
      <w:pPr>
        <w:ind w:left="260"/>
        <w:rPr>
          <w:rFonts w:ascii="Arial" w:eastAsia="Arial" w:hAnsi="Arial" w:cs="Arial"/>
          <w:b/>
          <w:sz w:val="50"/>
          <w:szCs w:val="50"/>
        </w:rPr>
      </w:pPr>
    </w:p>
    <w:p w14:paraId="272C1CA4" w14:textId="77777777" w:rsidR="00EE60FA" w:rsidRDefault="00EE60FA">
      <w:pPr>
        <w:ind w:left="260"/>
        <w:rPr>
          <w:rFonts w:ascii="Arial" w:eastAsia="Arial" w:hAnsi="Arial" w:cs="Arial"/>
          <w:b/>
          <w:sz w:val="50"/>
          <w:szCs w:val="50"/>
        </w:rPr>
      </w:pPr>
    </w:p>
    <w:p w14:paraId="625391D9" w14:textId="77777777" w:rsidR="00EE60FA" w:rsidRDefault="00EE60FA">
      <w:pPr>
        <w:ind w:left="260"/>
        <w:rPr>
          <w:rFonts w:ascii="Arial" w:eastAsia="Arial" w:hAnsi="Arial" w:cs="Arial"/>
          <w:b/>
          <w:sz w:val="50"/>
          <w:szCs w:val="50"/>
        </w:rPr>
      </w:pPr>
    </w:p>
    <w:p w14:paraId="3B0F1C9B" w14:textId="77777777" w:rsidR="00EE60FA" w:rsidRDefault="00EE60FA">
      <w:pPr>
        <w:ind w:left="260"/>
        <w:rPr>
          <w:rFonts w:ascii="Arial" w:eastAsia="Arial" w:hAnsi="Arial" w:cs="Arial"/>
          <w:b/>
          <w:sz w:val="50"/>
          <w:szCs w:val="50"/>
        </w:rPr>
      </w:pPr>
    </w:p>
    <w:p w14:paraId="4DC939EE" w14:textId="77777777" w:rsidR="00EE60FA" w:rsidRDefault="00EE60FA">
      <w:pPr>
        <w:ind w:left="260"/>
        <w:rPr>
          <w:rFonts w:ascii="Arial" w:eastAsia="Arial" w:hAnsi="Arial" w:cs="Arial"/>
          <w:b/>
          <w:sz w:val="50"/>
          <w:szCs w:val="50"/>
        </w:rPr>
      </w:pPr>
    </w:p>
    <w:p w14:paraId="3BC02E36" w14:textId="77777777" w:rsidR="00EE60FA" w:rsidRDefault="00EE60FA">
      <w:pPr>
        <w:ind w:left="260"/>
        <w:rPr>
          <w:rFonts w:ascii="Arial" w:eastAsia="Arial" w:hAnsi="Arial" w:cs="Arial"/>
          <w:b/>
          <w:sz w:val="50"/>
          <w:szCs w:val="50"/>
        </w:rPr>
      </w:pPr>
    </w:p>
    <w:p w14:paraId="56B9A3C9" w14:textId="77777777" w:rsidR="00EE60FA" w:rsidRDefault="00EE60FA">
      <w:pPr>
        <w:ind w:left="260"/>
        <w:rPr>
          <w:rFonts w:ascii="Arial" w:eastAsia="Arial" w:hAnsi="Arial" w:cs="Arial"/>
          <w:b/>
          <w:sz w:val="50"/>
          <w:szCs w:val="50"/>
        </w:rPr>
      </w:pPr>
    </w:p>
    <w:p w14:paraId="2ACD2B84" w14:textId="77777777" w:rsidR="00EE60FA" w:rsidRDefault="00EE60FA">
      <w:pPr>
        <w:ind w:left="260"/>
        <w:rPr>
          <w:rFonts w:ascii="Arial" w:eastAsia="Arial" w:hAnsi="Arial" w:cs="Arial"/>
          <w:b/>
          <w:sz w:val="50"/>
          <w:szCs w:val="50"/>
        </w:rPr>
      </w:pPr>
    </w:p>
    <w:p w14:paraId="1C0B2419" w14:textId="77777777" w:rsidR="00EE60FA" w:rsidRDefault="00EE60FA">
      <w:pPr>
        <w:ind w:left="260"/>
        <w:rPr>
          <w:rFonts w:ascii="Arial" w:eastAsia="Arial" w:hAnsi="Arial" w:cs="Arial"/>
          <w:b/>
          <w:sz w:val="50"/>
          <w:szCs w:val="50"/>
        </w:rPr>
      </w:pPr>
    </w:p>
    <w:p w14:paraId="72748EF2" w14:textId="77777777" w:rsidR="00EE60FA" w:rsidRDefault="00EE60FA">
      <w:pPr>
        <w:ind w:left="260"/>
        <w:rPr>
          <w:rFonts w:ascii="Arial" w:eastAsia="Arial" w:hAnsi="Arial" w:cs="Arial"/>
          <w:b/>
          <w:sz w:val="50"/>
          <w:szCs w:val="50"/>
        </w:rPr>
      </w:pPr>
    </w:p>
    <w:p w14:paraId="7C9CDF22" w14:textId="77777777" w:rsidR="00EE60FA" w:rsidRDefault="00EE60FA">
      <w:pPr>
        <w:ind w:left="260"/>
        <w:rPr>
          <w:rFonts w:ascii="Arial" w:eastAsia="Arial" w:hAnsi="Arial" w:cs="Arial"/>
          <w:b/>
          <w:sz w:val="50"/>
          <w:szCs w:val="50"/>
        </w:rPr>
      </w:pPr>
    </w:p>
    <w:p w14:paraId="29291A0F" w14:textId="77777777" w:rsidR="00EE60FA" w:rsidRDefault="00000000">
      <w:pPr>
        <w:ind w:left="260"/>
        <w:rPr>
          <w:sz w:val="20"/>
          <w:szCs w:val="20"/>
        </w:rPr>
      </w:pPr>
      <w:r>
        <w:rPr>
          <w:rFonts w:ascii="Arial" w:eastAsia="Arial" w:hAnsi="Arial" w:cs="Arial"/>
          <w:b/>
          <w:sz w:val="50"/>
          <w:szCs w:val="50"/>
        </w:rPr>
        <w:lastRenderedPageBreak/>
        <w:t>List of Figures</w:t>
      </w:r>
    </w:p>
    <w:p w14:paraId="28D96AEC" w14:textId="77777777" w:rsidR="00EE60FA" w:rsidRDefault="00EE60FA">
      <w:pPr>
        <w:ind w:left="260"/>
        <w:rPr>
          <w:sz w:val="20"/>
          <w:szCs w:val="20"/>
        </w:rPr>
      </w:pPr>
    </w:p>
    <w:sdt>
      <w:sdtPr>
        <w:id w:val="-1854803114"/>
        <w:docPartObj>
          <w:docPartGallery w:val="Table of Contents"/>
          <w:docPartUnique/>
        </w:docPartObj>
      </w:sdtPr>
      <w:sdtContent>
        <w:p w14:paraId="37E79F6D" w14:textId="77777777" w:rsidR="00EE60FA" w:rsidRDefault="00000000">
          <w:pPr>
            <w:pBdr>
              <w:top w:val="nil"/>
              <w:left w:val="nil"/>
              <w:bottom w:val="nil"/>
              <w:right w:val="nil"/>
              <w:between w:val="nil"/>
            </w:pBdr>
            <w:tabs>
              <w:tab w:val="right" w:pos="9016"/>
            </w:tabs>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1fob9te">
            <w:r>
              <w:rPr>
                <w:rFonts w:ascii="Arial" w:eastAsia="Arial" w:hAnsi="Arial" w:cs="Arial"/>
                <w:color w:val="000000"/>
              </w:rPr>
              <w:t>Figure 1 An example of an EDI paper purchaser order would be EDI 850 Purchase Order</w:t>
            </w:r>
          </w:hyperlink>
          <w:hyperlink w:anchor="_1fob9te">
            <w:r>
              <w:rPr>
                <w:color w:val="000000"/>
              </w:rPr>
              <w:tab/>
              <w:t>8</w:t>
            </w:r>
          </w:hyperlink>
        </w:p>
        <w:p w14:paraId="4BDBDB35" w14:textId="59A9E182" w:rsidR="00EE60FA" w:rsidRDefault="00000000">
          <w:pPr>
            <w:pBdr>
              <w:top w:val="nil"/>
              <w:left w:val="nil"/>
              <w:bottom w:val="nil"/>
              <w:right w:val="nil"/>
              <w:between w:val="nil"/>
            </w:pBdr>
            <w:tabs>
              <w:tab w:val="right" w:pos="9016"/>
            </w:tabs>
            <w:rPr>
              <w:rFonts w:ascii="Calibri" w:eastAsia="Calibri" w:hAnsi="Calibri" w:cs="Calibri"/>
              <w:color w:val="000000"/>
            </w:rPr>
          </w:pPr>
          <w:hyperlink w:anchor="_3znysh7">
            <w:r>
              <w:rPr>
                <w:rFonts w:ascii="Arial" w:eastAsia="Arial" w:hAnsi="Arial" w:cs="Arial"/>
                <w:color w:val="000000"/>
              </w:rPr>
              <w:t>Figure 2</w:t>
            </w:r>
            <w:r w:rsidR="00CF4E8B">
              <w:rPr>
                <w:rFonts w:ascii="Arial" w:eastAsia="Arial" w:hAnsi="Arial" w:cs="Arial"/>
                <w:color w:val="000000"/>
              </w:rPr>
              <w:t xml:space="preserve"> </w:t>
            </w:r>
            <w:r>
              <w:rPr>
                <w:rFonts w:ascii="Arial" w:eastAsia="Arial" w:hAnsi="Arial" w:cs="Arial"/>
                <w:color w:val="000000"/>
              </w:rPr>
              <w:t>An example of an Edifact paper purchase order is very similar.</w:t>
            </w:r>
          </w:hyperlink>
          <w:hyperlink w:anchor="_3znysh7">
            <w:r>
              <w:rPr>
                <w:color w:val="000000"/>
              </w:rPr>
              <w:tab/>
              <w:t>9</w:t>
            </w:r>
          </w:hyperlink>
        </w:p>
        <w:p w14:paraId="4C756C73" w14:textId="77777777" w:rsidR="00EE60FA" w:rsidRDefault="00000000">
          <w:pPr>
            <w:pBdr>
              <w:top w:val="nil"/>
              <w:left w:val="nil"/>
              <w:bottom w:val="nil"/>
              <w:right w:val="nil"/>
              <w:between w:val="nil"/>
            </w:pBdr>
            <w:tabs>
              <w:tab w:val="right" w:pos="9016"/>
            </w:tabs>
            <w:rPr>
              <w:rFonts w:ascii="Calibri" w:eastAsia="Calibri" w:hAnsi="Calibri" w:cs="Calibri"/>
              <w:color w:val="000000"/>
            </w:rPr>
          </w:pPr>
          <w:hyperlink w:anchor="_tyjcwt">
            <w:r>
              <w:rPr>
                <w:rFonts w:ascii="Arial" w:eastAsia="Arial" w:hAnsi="Arial" w:cs="Arial"/>
                <w:color w:val="000000"/>
              </w:rPr>
              <w:t>Figure 3 Diagram:</w:t>
            </w:r>
          </w:hyperlink>
          <w:hyperlink w:anchor="_tyjcwt">
            <w:r>
              <w:rPr>
                <w:color w:val="000000"/>
              </w:rPr>
              <w:tab/>
              <w:t>10</w:t>
            </w:r>
          </w:hyperlink>
        </w:p>
        <w:p w14:paraId="4FCE5CB5" w14:textId="4AF98E2F" w:rsidR="00EE60FA" w:rsidRDefault="00000000">
          <w:pPr>
            <w:jc w:val="center"/>
          </w:pPr>
          <w:r>
            <w:fldChar w:fldCharType="end"/>
          </w:r>
        </w:p>
      </w:sdtContent>
    </w:sdt>
    <w:p w14:paraId="3AC758EE" w14:textId="77777777" w:rsidR="00EE60FA" w:rsidRDefault="00000000">
      <w:pPr>
        <w:spacing w:after="160" w:line="259" w:lineRule="auto"/>
      </w:pPr>
      <w:r>
        <w:br w:type="page"/>
      </w:r>
    </w:p>
    <w:p w14:paraId="0CAB7FC0" w14:textId="77777777" w:rsidR="00EE60FA" w:rsidRDefault="00000000">
      <w:pPr>
        <w:ind w:left="260"/>
        <w:rPr>
          <w:rFonts w:ascii="Arial" w:eastAsia="Arial" w:hAnsi="Arial" w:cs="Arial"/>
          <w:b/>
          <w:sz w:val="50"/>
          <w:szCs w:val="50"/>
        </w:rPr>
      </w:pPr>
      <w:r>
        <w:rPr>
          <w:rFonts w:ascii="Arial" w:eastAsia="Arial" w:hAnsi="Arial" w:cs="Arial"/>
          <w:b/>
          <w:sz w:val="50"/>
          <w:szCs w:val="50"/>
        </w:rPr>
        <w:lastRenderedPageBreak/>
        <w:t>List of Abbreviations</w:t>
      </w:r>
    </w:p>
    <w:p w14:paraId="2A50A1B2" w14:textId="77777777" w:rsidR="00EE60FA" w:rsidRDefault="00EE60FA">
      <w:pPr>
        <w:ind w:left="260"/>
        <w:rPr>
          <w:rFonts w:ascii="Arial" w:eastAsia="Arial" w:hAnsi="Arial" w:cs="Arial"/>
          <w:b/>
          <w:sz w:val="50"/>
          <w:szCs w:val="50"/>
        </w:rPr>
      </w:pPr>
    </w:p>
    <w:p w14:paraId="7258054C" w14:textId="77777777" w:rsidR="00EE60FA" w:rsidRDefault="00000000">
      <w:pPr>
        <w:ind w:left="260"/>
        <w:rPr>
          <w:rFonts w:ascii="Arial" w:eastAsia="Arial" w:hAnsi="Arial" w:cs="Arial"/>
        </w:rPr>
      </w:pPr>
      <w:r>
        <w:rPr>
          <w:rFonts w:ascii="Arial" w:eastAsia="Arial" w:hAnsi="Arial" w:cs="Arial"/>
        </w:rPr>
        <w:t>EDI: Electronic Data Interchange</w:t>
      </w:r>
    </w:p>
    <w:p w14:paraId="35D03A6F" w14:textId="77777777" w:rsidR="00EE60FA" w:rsidRDefault="00EE60FA">
      <w:pPr>
        <w:ind w:left="260"/>
        <w:rPr>
          <w:rFonts w:ascii="Arial" w:eastAsia="Arial" w:hAnsi="Arial" w:cs="Arial"/>
        </w:rPr>
      </w:pPr>
    </w:p>
    <w:p w14:paraId="105E77B0" w14:textId="77777777" w:rsidR="00EE60FA" w:rsidRDefault="00000000">
      <w:pPr>
        <w:ind w:left="260"/>
        <w:rPr>
          <w:rFonts w:ascii="Arial" w:eastAsia="Arial" w:hAnsi="Arial" w:cs="Arial"/>
        </w:rPr>
      </w:pPr>
      <w:r>
        <w:rPr>
          <w:rFonts w:ascii="Arial" w:eastAsia="Arial" w:hAnsi="Arial" w:cs="Arial"/>
        </w:rPr>
        <w:t>EDIFACT: Electronic Data Interchange for Administration, Commerce and Transport</w:t>
      </w:r>
    </w:p>
    <w:p w14:paraId="132259BB" w14:textId="77777777" w:rsidR="00EE60FA" w:rsidRDefault="00EE60FA">
      <w:pPr>
        <w:ind w:left="260"/>
        <w:rPr>
          <w:rFonts w:ascii="Arial" w:eastAsia="Arial" w:hAnsi="Arial" w:cs="Arial"/>
        </w:rPr>
      </w:pPr>
    </w:p>
    <w:p w14:paraId="27D916A7" w14:textId="77777777" w:rsidR="00EE60FA" w:rsidRDefault="00000000">
      <w:pPr>
        <w:ind w:left="260"/>
        <w:rPr>
          <w:rFonts w:ascii="Arial" w:eastAsia="Arial" w:hAnsi="Arial" w:cs="Arial"/>
        </w:rPr>
      </w:pPr>
      <w:r>
        <w:rPr>
          <w:rFonts w:ascii="Arial" w:eastAsia="Arial" w:hAnsi="Arial" w:cs="Arial"/>
        </w:rPr>
        <w:t>ST: Transaction Set Header</w:t>
      </w:r>
    </w:p>
    <w:p w14:paraId="4E46D597" w14:textId="77777777" w:rsidR="00EE60FA" w:rsidRDefault="00EE60FA">
      <w:pPr>
        <w:ind w:left="260"/>
        <w:rPr>
          <w:rFonts w:ascii="Arial" w:eastAsia="Arial" w:hAnsi="Arial" w:cs="Arial"/>
        </w:rPr>
      </w:pPr>
    </w:p>
    <w:p w14:paraId="0E7CE24B" w14:textId="77777777" w:rsidR="00EE60FA" w:rsidRDefault="00000000">
      <w:pPr>
        <w:ind w:left="260"/>
        <w:rPr>
          <w:rFonts w:ascii="Arial" w:eastAsia="Arial" w:hAnsi="Arial" w:cs="Arial"/>
        </w:rPr>
      </w:pPr>
      <w:r>
        <w:rPr>
          <w:rFonts w:ascii="Arial" w:eastAsia="Arial" w:hAnsi="Arial" w:cs="Arial"/>
        </w:rPr>
        <w:t>BPR: Beginning Segment for Payment Order</w:t>
      </w:r>
    </w:p>
    <w:p w14:paraId="680201F4" w14:textId="77777777" w:rsidR="00EE60FA" w:rsidRDefault="00EE60FA">
      <w:pPr>
        <w:ind w:left="260"/>
        <w:rPr>
          <w:rFonts w:ascii="Arial" w:eastAsia="Arial" w:hAnsi="Arial" w:cs="Arial"/>
        </w:rPr>
      </w:pPr>
    </w:p>
    <w:p w14:paraId="3011DC03" w14:textId="77777777" w:rsidR="00EE60FA" w:rsidRDefault="00000000">
      <w:pPr>
        <w:spacing w:after="160" w:line="259" w:lineRule="auto"/>
        <w:ind w:firstLine="260"/>
        <w:rPr>
          <w:rFonts w:ascii="Arial" w:eastAsia="Arial" w:hAnsi="Arial" w:cs="Arial"/>
        </w:rPr>
      </w:pPr>
      <w:r>
        <w:rPr>
          <w:rFonts w:ascii="Arial" w:eastAsia="Arial" w:hAnsi="Arial" w:cs="Arial"/>
        </w:rPr>
        <w:t>N1: Name</w:t>
      </w:r>
    </w:p>
    <w:p w14:paraId="383227EC" w14:textId="77777777" w:rsidR="00EE60FA" w:rsidRDefault="00000000">
      <w:pPr>
        <w:spacing w:after="160" w:line="259" w:lineRule="auto"/>
        <w:ind w:firstLine="260"/>
        <w:rPr>
          <w:rFonts w:ascii="Arial" w:eastAsia="Arial" w:hAnsi="Arial" w:cs="Arial"/>
        </w:rPr>
      </w:pPr>
      <w:r>
        <w:rPr>
          <w:rFonts w:ascii="Arial" w:eastAsia="Arial" w:hAnsi="Arial" w:cs="Arial"/>
        </w:rPr>
        <w:t>LIN: Item Identification</w:t>
      </w:r>
    </w:p>
    <w:p w14:paraId="7732517D" w14:textId="77777777" w:rsidR="00EE60FA" w:rsidRDefault="00000000">
      <w:pPr>
        <w:spacing w:after="160" w:line="259" w:lineRule="auto"/>
        <w:ind w:firstLine="260"/>
        <w:rPr>
          <w:rFonts w:ascii="Arial" w:eastAsia="Arial" w:hAnsi="Arial" w:cs="Arial"/>
        </w:rPr>
      </w:pPr>
      <w:r>
        <w:rPr>
          <w:rFonts w:ascii="Arial" w:eastAsia="Arial" w:hAnsi="Arial" w:cs="Arial"/>
        </w:rPr>
        <w:t>PID: Product/Item Description</w:t>
      </w:r>
    </w:p>
    <w:p w14:paraId="606D108F" w14:textId="77777777" w:rsidR="00EE60FA" w:rsidRDefault="00000000">
      <w:pPr>
        <w:spacing w:after="160" w:line="259" w:lineRule="auto"/>
        <w:ind w:firstLine="260"/>
        <w:rPr>
          <w:rFonts w:ascii="Arial" w:eastAsia="Arial" w:hAnsi="Arial" w:cs="Arial"/>
        </w:rPr>
      </w:pPr>
      <w:r>
        <w:rPr>
          <w:rFonts w:ascii="Arial" w:eastAsia="Arial" w:hAnsi="Arial" w:cs="Arial"/>
        </w:rPr>
        <w:t>QTY: Quantity</w:t>
      </w:r>
    </w:p>
    <w:p w14:paraId="53212A5F" w14:textId="77777777" w:rsidR="00EE60FA" w:rsidRDefault="00000000">
      <w:pPr>
        <w:ind w:left="260"/>
        <w:rPr>
          <w:rFonts w:ascii="Arial" w:eastAsia="Arial" w:hAnsi="Arial" w:cs="Arial"/>
        </w:rPr>
      </w:pPr>
      <w:r>
        <w:rPr>
          <w:rFonts w:ascii="Arial" w:eastAsia="Arial" w:hAnsi="Arial" w:cs="Arial"/>
        </w:rPr>
        <w:t>TDS: Total Monetary Value Summary</w:t>
      </w:r>
    </w:p>
    <w:p w14:paraId="3A6351FC" w14:textId="77777777" w:rsidR="00EE60FA" w:rsidRDefault="00EE60FA">
      <w:pPr>
        <w:ind w:left="260"/>
        <w:rPr>
          <w:rFonts w:ascii="Arial" w:eastAsia="Arial" w:hAnsi="Arial" w:cs="Arial"/>
        </w:rPr>
      </w:pPr>
    </w:p>
    <w:p w14:paraId="0F4CF15D" w14:textId="77777777" w:rsidR="00EE60FA" w:rsidRDefault="00000000">
      <w:pPr>
        <w:ind w:firstLine="260"/>
        <w:rPr>
          <w:rFonts w:ascii="Arial" w:eastAsia="Arial" w:hAnsi="Arial" w:cs="Arial"/>
        </w:rPr>
      </w:pPr>
      <w:r>
        <w:rPr>
          <w:rFonts w:ascii="Arial" w:eastAsia="Arial" w:hAnsi="Arial" w:cs="Arial"/>
        </w:rPr>
        <w:t>CAD: Carrier Details</w:t>
      </w:r>
    </w:p>
    <w:p w14:paraId="15D434D6" w14:textId="77777777" w:rsidR="00EE60FA" w:rsidRDefault="00EE60FA">
      <w:pPr>
        <w:ind w:left="260"/>
        <w:rPr>
          <w:rFonts w:ascii="Arial" w:eastAsia="Arial" w:hAnsi="Arial" w:cs="Arial"/>
        </w:rPr>
      </w:pPr>
    </w:p>
    <w:p w14:paraId="08FBA420" w14:textId="77777777" w:rsidR="00EE60FA" w:rsidRDefault="00000000">
      <w:pPr>
        <w:ind w:left="260"/>
        <w:rPr>
          <w:b/>
          <w:sz w:val="20"/>
          <w:szCs w:val="20"/>
        </w:rPr>
      </w:pPr>
      <w:r>
        <w:rPr>
          <w:rFonts w:ascii="Arial" w:eastAsia="Arial" w:hAnsi="Arial" w:cs="Arial"/>
        </w:rPr>
        <w:t>SE: Transaction Set Trailer</w:t>
      </w:r>
    </w:p>
    <w:p w14:paraId="38D423CF" w14:textId="77777777" w:rsidR="00EE60FA" w:rsidRDefault="00EE60FA">
      <w:pPr>
        <w:jc w:val="center"/>
      </w:pPr>
    </w:p>
    <w:p w14:paraId="3D6EA147" w14:textId="77777777" w:rsidR="00EE60FA" w:rsidRDefault="00000000">
      <w:pPr>
        <w:spacing w:after="160" w:line="259" w:lineRule="auto"/>
      </w:pPr>
      <w:r>
        <w:br w:type="page"/>
      </w:r>
    </w:p>
    <w:p w14:paraId="582DFBE8" w14:textId="77777777" w:rsidR="00EE60FA" w:rsidRDefault="00000000">
      <w:pPr>
        <w:tabs>
          <w:tab w:val="left" w:pos="6480"/>
        </w:tabs>
        <w:spacing w:line="276" w:lineRule="auto"/>
        <w:ind w:left="720"/>
        <w:rPr>
          <w:rFonts w:ascii="Arial" w:eastAsia="Arial" w:hAnsi="Arial" w:cs="Arial"/>
        </w:rPr>
      </w:pPr>
      <w:r>
        <w:rPr>
          <w:rFonts w:ascii="Arial" w:eastAsia="Arial" w:hAnsi="Arial" w:cs="Arial"/>
        </w:rPr>
        <w:lastRenderedPageBreak/>
        <w:t xml:space="preserve">                                                                                            20019346   Daire O’Neill</w:t>
      </w:r>
    </w:p>
    <w:p w14:paraId="7725C852" w14:textId="77777777" w:rsidR="00EE60FA" w:rsidRDefault="00000000">
      <w:pPr>
        <w:spacing w:line="276" w:lineRule="auto"/>
        <w:rPr>
          <w:rFonts w:ascii="Arial" w:eastAsia="Arial" w:hAnsi="Arial" w:cs="Arial"/>
        </w:rPr>
      </w:pPr>
      <w:r>
        <w:rPr>
          <w:noProof/>
        </w:rPr>
        <mc:AlternateContent>
          <mc:Choice Requires="wpg">
            <w:drawing>
              <wp:anchor distT="0" distB="0" distL="0" distR="0" simplePos="0" relativeHeight="251668480" behindDoc="1" locked="0" layoutInCell="1" hidden="0" allowOverlap="1" wp14:anchorId="5FE72C09" wp14:editId="429140B8">
                <wp:simplePos x="0" y="0"/>
                <wp:positionH relativeFrom="column">
                  <wp:posOffset>444500</wp:posOffset>
                </wp:positionH>
                <wp:positionV relativeFrom="paragraph">
                  <wp:posOffset>25400</wp:posOffset>
                </wp:positionV>
                <wp:extent cx="511175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790125" y="3777619"/>
                          <a:ext cx="5111750" cy="4763"/>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444500</wp:posOffset>
                </wp:positionH>
                <wp:positionV relativeFrom="paragraph">
                  <wp:posOffset>25400</wp:posOffset>
                </wp:positionV>
                <wp:extent cx="5111750" cy="12700"/>
                <wp:effectExtent b="0" l="0" r="0" t="0"/>
                <wp:wrapNone/>
                <wp:docPr id="4" name="image15.png"/>
                <a:graphic>
                  <a:graphicData uri="http://schemas.openxmlformats.org/drawingml/2006/picture">
                    <pic:pic>
                      <pic:nvPicPr>
                        <pic:cNvPr id="0" name="image15.png"/>
                        <pic:cNvPicPr preferRelativeResize="0"/>
                      </pic:nvPicPr>
                      <pic:blipFill>
                        <a:blip r:embed="rId27"/>
                        <a:srcRect/>
                        <a:stretch>
                          <a:fillRect/>
                        </a:stretch>
                      </pic:blipFill>
                      <pic:spPr>
                        <a:xfrm>
                          <a:off x="0" y="0"/>
                          <a:ext cx="5111750" cy="12700"/>
                        </a:xfrm>
                        <a:prstGeom prst="rect"/>
                        <a:ln/>
                      </pic:spPr>
                    </pic:pic>
                  </a:graphicData>
                </a:graphic>
              </wp:anchor>
            </w:drawing>
          </mc:Fallback>
        </mc:AlternateContent>
      </w:r>
    </w:p>
    <w:p w14:paraId="7F82F835" w14:textId="77777777" w:rsidR="00EE60FA" w:rsidRDefault="00EE60FA">
      <w:pPr>
        <w:spacing w:line="276" w:lineRule="auto"/>
        <w:rPr>
          <w:rFonts w:ascii="Arial" w:eastAsia="Arial" w:hAnsi="Arial" w:cs="Arial"/>
        </w:rPr>
      </w:pPr>
    </w:p>
    <w:p w14:paraId="5E79045C" w14:textId="77777777" w:rsidR="00EE60FA" w:rsidRDefault="00EE60FA">
      <w:pPr>
        <w:spacing w:line="276" w:lineRule="auto"/>
        <w:rPr>
          <w:rFonts w:ascii="Arial" w:eastAsia="Arial" w:hAnsi="Arial" w:cs="Arial"/>
        </w:rPr>
      </w:pPr>
    </w:p>
    <w:p w14:paraId="63A9280B" w14:textId="77777777" w:rsidR="00EE60FA" w:rsidRDefault="00000000">
      <w:pPr>
        <w:pStyle w:val="Heading1"/>
      </w:pPr>
      <w:bookmarkStart w:id="0" w:name="_Toc132038288"/>
      <w:r>
        <w:t xml:space="preserve">What is the difference between EDI and </w:t>
      </w:r>
      <w:proofErr w:type="spellStart"/>
      <w:r>
        <w:t>Edifact</w:t>
      </w:r>
      <w:proofErr w:type="spellEnd"/>
      <w:r>
        <w:t xml:space="preserve"> standards?</w:t>
      </w:r>
      <w:bookmarkEnd w:id="0"/>
    </w:p>
    <w:p w14:paraId="6B721A0A" w14:textId="77777777" w:rsidR="00EE60FA" w:rsidRDefault="00EE60FA">
      <w:pPr>
        <w:spacing w:line="276" w:lineRule="auto"/>
        <w:rPr>
          <w:rFonts w:ascii="Arial" w:eastAsia="Arial" w:hAnsi="Arial" w:cs="Arial"/>
        </w:rPr>
      </w:pPr>
    </w:p>
    <w:p w14:paraId="135DEEFE" w14:textId="77777777" w:rsidR="00EE60FA" w:rsidRDefault="00000000">
      <w:pPr>
        <w:spacing w:line="276" w:lineRule="auto"/>
        <w:rPr>
          <w:rFonts w:ascii="Arial" w:eastAsia="Arial" w:hAnsi="Arial" w:cs="Arial"/>
        </w:rPr>
      </w:pPr>
      <w:r>
        <w:rPr>
          <w:rFonts w:ascii="Arial" w:eastAsia="Arial" w:hAnsi="Arial" w:cs="Arial"/>
        </w:rPr>
        <w:t>The main contrast lies in geography, with EDI X12 being predominantly used in North America, especially in the United States, and EDIFACT being more commonly utilized by organizations based in Europe and Asia. The Accredited Standards Committee X12 maintains the standards for EDI X12, whereas The United Nations Economic Commission for Europe and the International Organization for Standardization support EDIFACT's standards. In meeting the healthcare industry's requirements, EDI X12 is employed to create HIPAA-compliant documents, while EDIFACT does not provide HIPAA documents. Although both standards perform data transfer, they differ slightly in terminology and document structures.</w:t>
      </w:r>
    </w:p>
    <w:p w14:paraId="15A63568" w14:textId="77777777" w:rsidR="00EE60FA" w:rsidRDefault="00EE60FA">
      <w:pPr>
        <w:spacing w:line="276" w:lineRule="auto"/>
        <w:rPr>
          <w:rFonts w:ascii="Arial" w:eastAsia="Arial" w:hAnsi="Arial" w:cs="Arial"/>
        </w:rPr>
      </w:pPr>
    </w:p>
    <w:p w14:paraId="245B93ED" w14:textId="77777777" w:rsidR="00EE60FA" w:rsidRDefault="00EE60FA">
      <w:pPr>
        <w:spacing w:line="276" w:lineRule="auto"/>
        <w:rPr>
          <w:rFonts w:ascii="Arial" w:eastAsia="Arial" w:hAnsi="Arial" w:cs="Arial"/>
        </w:rPr>
      </w:pPr>
    </w:p>
    <w:p w14:paraId="6846A6F7" w14:textId="77777777" w:rsidR="00EE60FA" w:rsidRDefault="00000000">
      <w:pPr>
        <w:pStyle w:val="Heading1"/>
      </w:pPr>
      <w:bookmarkStart w:id="1" w:name="_Toc132038289"/>
      <w:r>
        <w:t>Give an example of what a paper purchase order looks like in both standards.</w:t>
      </w:r>
      <w:bookmarkEnd w:id="1"/>
    </w:p>
    <w:p w14:paraId="79803096" w14:textId="77777777" w:rsidR="00EE60FA" w:rsidRDefault="00EE60FA">
      <w:pPr>
        <w:spacing w:line="276" w:lineRule="auto"/>
        <w:rPr>
          <w:rFonts w:ascii="Arial" w:eastAsia="Arial" w:hAnsi="Arial" w:cs="Arial"/>
        </w:rPr>
      </w:pPr>
    </w:p>
    <w:p w14:paraId="45D4E90C" w14:textId="77777777" w:rsidR="00EE60FA" w:rsidRDefault="00000000">
      <w:pPr>
        <w:pBdr>
          <w:top w:val="nil"/>
          <w:left w:val="nil"/>
          <w:bottom w:val="nil"/>
          <w:right w:val="nil"/>
          <w:between w:val="nil"/>
        </w:pBdr>
        <w:spacing w:after="200"/>
        <w:rPr>
          <w:rFonts w:ascii="Arial" w:eastAsia="Arial" w:hAnsi="Arial" w:cs="Arial"/>
          <w:color w:val="000000"/>
        </w:rPr>
      </w:pPr>
      <w:bookmarkStart w:id="2" w:name="_1fob9te" w:colFirst="0" w:colLast="0"/>
      <w:bookmarkEnd w:id="2"/>
      <w:r>
        <w:rPr>
          <w:rFonts w:ascii="Arial" w:eastAsia="Arial" w:hAnsi="Arial" w:cs="Arial"/>
          <w:color w:val="000000"/>
        </w:rPr>
        <w:t>Figure 1 An example of an EDI paper purchaser order would be EDI 850 Purchase Order</w:t>
      </w:r>
    </w:p>
    <w:p w14:paraId="13FD4342" w14:textId="77777777" w:rsidR="00EE60FA" w:rsidRDefault="00EE60FA">
      <w:pPr>
        <w:spacing w:line="276" w:lineRule="auto"/>
        <w:rPr>
          <w:rFonts w:ascii="Arial" w:eastAsia="Arial" w:hAnsi="Arial" w:cs="Arial"/>
        </w:rPr>
      </w:pPr>
    </w:p>
    <w:p w14:paraId="760A02E8" w14:textId="77777777" w:rsidR="00EE60FA" w:rsidRDefault="00EE60FA">
      <w:pPr>
        <w:spacing w:line="276" w:lineRule="auto"/>
        <w:rPr>
          <w:rFonts w:ascii="Arial" w:eastAsia="Arial" w:hAnsi="Arial" w:cs="Arial"/>
        </w:rPr>
      </w:pPr>
    </w:p>
    <w:p w14:paraId="791E6681" w14:textId="77777777" w:rsidR="00EE60FA" w:rsidRDefault="00EE60FA">
      <w:pPr>
        <w:spacing w:line="276" w:lineRule="auto"/>
        <w:rPr>
          <w:rFonts w:ascii="Arial" w:eastAsia="Arial" w:hAnsi="Arial" w:cs="Arial"/>
        </w:rPr>
      </w:pPr>
    </w:p>
    <w:p w14:paraId="1E4F562E" w14:textId="77777777" w:rsidR="00EE60FA" w:rsidRDefault="00000000">
      <w:pPr>
        <w:spacing w:line="200" w:lineRule="auto"/>
        <w:rPr>
          <w:rFonts w:ascii="Arial" w:eastAsia="Arial" w:hAnsi="Arial" w:cs="Arial"/>
        </w:rPr>
      </w:pPr>
      <w:r>
        <w:rPr>
          <w:rFonts w:ascii="Arial" w:eastAsia="Arial" w:hAnsi="Arial" w:cs="Arial"/>
          <w:noProof/>
        </w:rPr>
        <w:drawing>
          <wp:inline distT="0" distB="0" distL="0" distR="0" wp14:anchorId="596C9873" wp14:editId="36216A2A">
            <wp:extent cx="5724525" cy="305752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724525" cy="3057525"/>
                    </a:xfrm>
                    <a:prstGeom prst="rect">
                      <a:avLst/>
                    </a:prstGeom>
                    <a:ln/>
                  </pic:spPr>
                </pic:pic>
              </a:graphicData>
            </a:graphic>
          </wp:inline>
        </w:drawing>
      </w:r>
    </w:p>
    <w:p w14:paraId="64A9EB2A" w14:textId="77777777" w:rsidR="00EE60FA" w:rsidRDefault="00000000">
      <w:pPr>
        <w:jc w:val="center"/>
      </w:pPr>
      <w:r>
        <w:rPr>
          <w:noProof/>
        </w:rPr>
        <w:lastRenderedPageBreak/>
        <w:drawing>
          <wp:inline distT="0" distB="0" distL="0" distR="0" wp14:anchorId="3AF2A6CC" wp14:editId="09F5BC46">
            <wp:extent cx="5731510" cy="2422525"/>
            <wp:effectExtent l="0" t="0" r="0" b="0"/>
            <wp:docPr id="16" name="image1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Graphical user interface, text, application&#10;&#10;Description automatically generated"/>
                    <pic:cNvPicPr preferRelativeResize="0"/>
                  </pic:nvPicPr>
                  <pic:blipFill>
                    <a:blip r:embed="rId29"/>
                    <a:srcRect/>
                    <a:stretch>
                      <a:fillRect/>
                    </a:stretch>
                  </pic:blipFill>
                  <pic:spPr>
                    <a:xfrm>
                      <a:off x="0" y="0"/>
                      <a:ext cx="5731510" cy="2422525"/>
                    </a:xfrm>
                    <a:prstGeom prst="rect">
                      <a:avLst/>
                    </a:prstGeom>
                    <a:ln/>
                  </pic:spPr>
                </pic:pic>
              </a:graphicData>
            </a:graphic>
          </wp:inline>
        </w:drawing>
      </w:r>
    </w:p>
    <w:p w14:paraId="65AF9CE5" w14:textId="77777777" w:rsidR="00EE60FA" w:rsidRDefault="00EE60FA">
      <w:pPr>
        <w:jc w:val="center"/>
      </w:pPr>
    </w:p>
    <w:p w14:paraId="1D22F9F3" w14:textId="77777777" w:rsidR="00EE60FA" w:rsidRDefault="00EE60FA"/>
    <w:p w14:paraId="61DBA34F" w14:textId="77777777" w:rsidR="00EE60FA" w:rsidRDefault="00EE60FA"/>
    <w:p w14:paraId="42150B34" w14:textId="77777777" w:rsidR="00EE60FA" w:rsidRDefault="00EE60FA"/>
    <w:p w14:paraId="3C5BAD3F" w14:textId="77777777" w:rsidR="00EE60FA" w:rsidRDefault="00EE60FA"/>
    <w:p w14:paraId="24121E2F" w14:textId="77777777" w:rsidR="00EE60FA" w:rsidRDefault="00EE60FA"/>
    <w:p w14:paraId="661CB1CF" w14:textId="77777777" w:rsidR="00EE60FA" w:rsidRDefault="00EE60FA"/>
    <w:p w14:paraId="75DE5000" w14:textId="77777777" w:rsidR="00EE60FA" w:rsidRDefault="00EE60FA"/>
    <w:p w14:paraId="6CB00F3A" w14:textId="77777777" w:rsidR="00EE60FA" w:rsidRDefault="00EE60FA"/>
    <w:p w14:paraId="39450E65" w14:textId="77777777" w:rsidR="00EE60FA" w:rsidRDefault="00EE60FA"/>
    <w:p w14:paraId="294608F1" w14:textId="77777777" w:rsidR="00EE60FA" w:rsidRDefault="00EE60FA"/>
    <w:p w14:paraId="7ED1CDA1" w14:textId="653D2612" w:rsidR="00EE60FA" w:rsidRDefault="00000000">
      <w:pPr>
        <w:pBdr>
          <w:top w:val="nil"/>
          <w:left w:val="nil"/>
          <w:bottom w:val="nil"/>
          <w:right w:val="nil"/>
          <w:between w:val="nil"/>
        </w:pBdr>
        <w:spacing w:after="200"/>
        <w:rPr>
          <w:rFonts w:ascii="Arial" w:eastAsia="Arial" w:hAnsi="Arial" w:cs="Arial"/>
          <w:color w:val="000000"/>
        </w:rPr>
      </w:pPr>
      <w:bookmarkStart w:id="3" w:name="_3znysh7" w:colFirst="0" w:colLast="0"/>
      <w:bookmarkEnd w:id="3"/>
      <w:r>
        <w:rPr>
          <w:rFonts w:ascii="Arial" w:eastAsia="Arial" w:hAnsi="Arial" w:cs="Arial"/>
          <w:color w:val="000000"/>
        </w:rPr>
        <w:t>Figure 2</w:t>
      </w:r>
      <w:r w:rsidR="00CF4E8B">
        <w:rPr>
          <w:rFonts w:ascii="Arial" w:eastAsia="Arial" w:hAnsi="Arial" w:cs="Arial"/>
          <w:color w:val="000000"/>
        </w:rPr>
        <w:t xml:space="preserve"> </w:t>
      </w:r>
      <w:r>
        <w:rPr>
          <w:rFonts w:ascii="Arial" w:eastAsia="Arial" w:hAnsi="Arial" w:cs="Arial"/>
          <w:color w:val="000000"/>
        </w:rPr>
        <w:t xml:space="preserve">An example of an </w:t>
      </w:r>
      <w:proofErr w:type="spellStart"/>
      <w:r>
        <w:rPr>
          <w:rFonts w:ascii="Arial" w:eastAsia="Arial" w:hAnsi="Arial" w:cs="Arial"/>
          <w:color w:val="000000"/>
        </w:rPr>
        <w:t>Edifact</w:t>
      </w:r>
      <w:proofErr w:type="spellEnd"/>
      <w:r>
        <w:rPr>
          <w:rFonts w:ascii="Arial" w:eastAsia="Arial" w:hAnsi="Arial" w:cs="Arial"/>
          <w:color w:val="000000"/>
        </w:rPr>
        <w:t xml:space="preserve"> paper purchase order is very similar. </w:t>
      </w:r>
    </w:p>
    <w:p w14:paraId="51CA8FA6" w14:textId="77777777" w:rsidR="00EE60FA" w:rsidRDefault="00EE60FA"/>
    <w:p w14:paraId="62F5BE60" w14:textId="77777777" w:rsidR="00EE60FA" w:rsidRDefault="00EE60FA"/>
    <w:p w14:paraId="0895585F" w14:textId="77777777" w:rsidR="00EE60FA" w:rsidRDefault="00EE60FA"/>
    <w:p w14:paraId="646BF2C6" w14:textId="77777777" w:rsidR="00EE60FA" w:rsidRDefault="00000000">
      <w:r>
        <w:rPr>
          <w:noProof/>
        </w:rPr>
        <w:drawing>
          <wp:inline distT="0" distB="0" distL="0" distR="0" wp14:anchorId="33448CF1" wp14:editId="67DFC646">
            <wp:extent cx="5731510" cy="3061970"/>
            <wp:effectExtent l="0" t="0" r="0" b="0"/>
            <wp:docPr id="14" name="image8.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Graphical user interface, text&#10;&#10;Description automatically generated"/>
                    <pic:cNvPicPr preferRelativeResize="0"/>
                  </pic:nvPicPr>
                  <pic:blipFill>
                    <a:blip r:embed="rId28"/>
                    <a:srcRect/>
                    <a:stretch>
                      <a:fillRect/>
                    </a:stretch>
                  </pic:blipFill>
                  <pic:spPr>
                    <a:xfrm>
                      <a:off x="0" y="0"/>
                      <a:ext cx="5731510" cy="3061970"/>
                    </a:xfrm>
                    <a:prstGeom prst="rect">
                      <a:avLst/>
                    </a:prstGeom>
                    <a:ln/>
                  </pic:spPr>
                </pic:pic>
              </a:graphicData>
            </a:graphic>
          </wp:inline>
        </w:drawing>
      </w:r>
    </w:p>
    <w:p w14:paraId="1C4D93F6" w14:textId="77777777" w:rsidR="00EE60FA" w:rsidRDefault="00000000">
      <w:pPr>
        <w:pStyle w:val="Heading1"/>
      </w:pPr>
      <w:bookmarkStart w:id="4" w:name="_Toc132038290"/>
      <w:r>
        <w:t>In depth explanation of why standards are so important?</w:t>
      </w:r>
      <w:bookmarkEnd w:id="4"/>
    </w:p>
    <w:p w14:paraId="67320BC6" w14:textId="77777777" w:rsidR="00EE60FA" w:rsidRDefault="00EE60FA">
      <w:pPr>
        <w:spacing w:line="276" w:lineRule="auto"/>
      </w:pPr>
    </w:p>
    <w:p w14:paraId="05FA88BE" w14:textId="77777777" w:rsidR="00EE60FA" w:rsidRDefault="00000000">
      <w:pPr>
        <w:spacing w:line="276" w:lineRule="auto"/>
        <w:rPr>
          <w:rFonts w:ascii="Arial" w:eastAsia="Arial" w:hAnsi="Arial" w:cs="Arial"/>
        </w:rPr>
      </w:pPr>
      <w:r>
        <w:rPr>
          <w:rFonts w:ascii="Arial" w:eastAsia="Arial" w:hAnsi="Arial" w:cs="Arial"/>
        </w:rPr>
        <w:lastRenderedPageBreak/>
        <w:t xml:space="preserve">The importance of EDI and </w:t>
      </w:r>
      <w:proofErr w:type="spellStart"/>
      <w:r>
        <w:rPr>
          <w:rFonts w:ascii="Arial" w:eastAsia="Arial" w:hAnsi="Arial" w:cs="Arial"/>
        </w:rPr>
        <w:t>Edifact</w:t>
      </w:r>
      <w:proofErr w:type="spellEnd"/>
      <w:r>
        <w:rPr>
          <w:rFonts w:ascii="Arial" w:eastAsia="Arial" w:hAnsi="Arial" w:cs="Arial"/>
        </w:rPr>
        <w:t xml:space="preserve"> standards lies in their ability to ensure that business documents are exchanged accurately and efficiently between trading partners, regardless of the technology platforms they use. The standardization of codes and message designs allows companies to communicate seamlessly with their partners, reducing the need for manual intervention and increasing the speed and accuracy of data exchange.</w:t>
      </w:r>
    </w:p>
    <w:p w14:paraId="775CA462" w14:textId="77777777" w:rsidR="00EE60FA" w:rsidRDefault="00000000">
      <w:pPr>
        <w:spacing w:line="276" w:lineRule="auto"/>
        <w:rPr>
          <w:rFonts w:ascii="Arial" w:eastAsia="Arial" w:hAnsi="Arial" w:cs="Arial"/>
        </w:rPr>
      </w:pPr>
      <w:r>
        <w:rPr>
          <w:rFonts w:ascii="Arial" w:eastAsia="Arial" w:hAnsi="Arial" w:cs="Arial"/>
        </w:rPr>
        <w:t>Syntax is an important aspect of EDI and EDIFACT standards. Syntax refers to the rules and structure of the data being exchanged. The syntax defines the format of the data, including the order of the data elements, the delimiters used to separate the elements, and the identification values used to identify the data elements.</w:t>
      </w:r>
    </w:p>
    <w:p w14:paraId="381B28C1" w14:textId="77777777" w:rsidR="00EE60FA" w:rsidRDefault="00000000">
      <w:pPr>
        <w:spacing w:line="276" w:lineRule="auto"/>
        <w:rPr>
          <w:rFonts w:ascii="Arial" w:eastAsia="Arial" w:hAnsi="Arial" w:cs="Arial"/>
        </w:rPr>
      </w:pPr>
      <w:r>
        <w:rPr>
          <w:rFonts w:ascii="Arial" w:eastAsia="Arial" w:hAnsi="Arial" w:cs="Arial"/>
        </w:rPr>
        <w:t>For example, in an EDIFACT message, the syntax defines the segment structure, which consists of a three-letter segment identifier, followed by a series of data elements separated by a delimiter. The syntax also defines the identification values used to identify each data element, such as the code for the type of document being exchanged, the sender and recipient identification codes, and the date and time of transmission.</w:t>
      </w:r>
    </w:p>
    <w:p w14:paraId="04F75659" w14:textId="77777777" w:rsidR="00EE60FA" w:rsidRDefault="00000000">
      <w:pPr>
        <w:spacing w:line="276" w:lineRule="auto"/>
        <w:rPr>
          <w:rFonts w:ascii="Arial" w:eastAsia="Arial" w:hAnsi="Arial" w:cs="Arial"/>
        </w:rPr>
      </w:pPr>
      <w:r>
        <w:rPr>
          <w:rFonts w:ascii="Arial" w:eastAsia="Arial" w:hAnsi="Arial" w:cs="Arial"/>
        </w:rPr>
        <w:t>The standardization of syntax ensures that trading partners can communicate with each other effectively, even if they use different software systems or platforms. By following a standardized syntax, companies can reduce the risk of errors and misunderstandings in data exchange, improving the efficiency and accuracy of their supply chain processes.</w:t>
      </w:r>
    </w:p>
    <w:p w14:paraId="1FB84CD5" w14:textId="77777777" w:rsidR="00EE60FA" w:rsidRDefault="00000000">
      <w:pPr>
        <w:spacing w:line="276" w:lineRule="auto"/>
        <w:rPr>
          <w:rFonts w:ascii="Arial" w:eastAsia="Arial" w:hAnsi="Arial" w:cs="Arial"/>
        </w:rPr>
      </w:pPr>
      <w:r>
        <w:rPr>
          <w:rFonts w:ascii="Arial" w:eastAsia="Arial" w:hAnsi="Arial" w:cs="Arial"/>
        </w:rPr>
        <w:t>In summary, EDI and EDIFACT standards are essential for modern supply chain management, allowing companies to automate and streamline their business processes. The standardization of syntax, codes, message designs, and identification values ensures that trading partners can communicate with each other effectively, reducing errors, improving efficiency, and lowering costs.</w:t>
      </w:r>
    </w:p>
    <w:p w14:paraId="7C683934" w14:textId="77777777" w:rsidR="00EE60FA" w:rsidRDefault="00000000">
      <w:pPr>
        <w:pBdr>
          <w:top w:val="nil"/>
          <w:left w:val="nil"/>
          <w:bottom w:val="nil"/>
          <w:right w:val="nil"/>
          <w:between w:val="nil"/>
        </w:pBdr>
        <w:spacing w:after="200"/>
        <w:rPr>
          <w:rFonts w:ascii="Arial" w:eastAsia="Arial" w:hAnsi="Arial" w:cs="Arial"/>
          <w:color w:val="000000"/>
        </w:rPr>
      </w:pPr>
      <w:bookmarkStart w:id="5" w:name="_tyjcwt" w:colFirst="0" w:colLast="0"/>
      <w:bookmarkEnd w:id="5"/>
      <w:r>
        <w:rPr>
          <w:rFonts w:ascii="Arial" w:eastAsia="Arial" w:hAnsi="Arial" w:cs="Arial"/>
          <w:color w:val="000000"/>
        </w:rPr>
        <w:t>Figure 3 Diagram:</w:t>
      </w:r>
    </w:p>
    <w:p w14:paraId="45677813" w14:textId="77777777" w:rsidR="00EE60FA" w:rsidRDefault="00000000">
      <w:pPr>
        <w:spacing w:line="276" w:lineRule="auto"/>
        <w:rPr>
          <w:rFonts w:ascii="Arial" w:eastAsia="Arial" w:hAnsi="Arial" w:cs="Arial"/>
        </w:rPr>
      </w:pPr>
      <w:r>
        <w:rPr>
          <w:noProof/>
        </w:rPr>
        <w:drawing>
          <wp:inline distT="0" distB="0" distL="0" distR="0" wp14:anchorId="0EC66BA3" wp14:editId="6D1BF785">
            <wp:extent cx="5731510" cy="2748280"/>
            <wp:effectExtent l="0" t="0" r="0" b="0"/>
            <wp:docPr id="15" name="image7.png" descr="EDI Industry Standards | A Crash Course | Data Interchange"/>
            <wp:cNvGraphicFramePr/>
            <a:graphic xmlns:a="http://schemas.openxmlformats.org/drawingml/2006/main">
              <a:graphicData uri="http://schemas.openxmlformats.org/drawingml/2006/picture">
                <pic:pic xmlns:pic="http://schemas.openxmlformats.org/drawingml/2006/picture">
                  <pic:nvPicPr>
                    <pic:cNvPr id="0" name="image7.png" descr="EDI Industry Standards | A Crash Course | Data Interchange"/>
                    <pic:cNvPicPr preferRelativeResize="0"/>
                  </pic:nvPicPr>
                  <pic:blipFill>
                    <a:blip r:embed="rId30"/>
                    <a:srcRect/>
                    <a:stretch>
                      <a:fillRect/>
                    </a:stretch>
                  </pic:blipFill>
                  <pic:spPr>
                    <a:xfrm>
                      <a:off x="0" y="0"/>
                      <a:ext cx="5731510" cy="2748280"/>
                    </a:xfrm>
                    <a:prstGeom prst="rect">
                      <a:avLst/>
                    </a:prstGeom>
                    <a:ln/>
                  </pic:spPr>
                </pic:pic>
              </a:graphicData>
            </a:graphic>
          </wp:inline>
        </w:drawing>
      </w:r>
    </w:p>
    <w:p w14:paraId="2D76583B" w14:textId="77777777" w:rsidR="00EE60FA" w:rsidRDefault="00EE60FA">
      <w:pPr>
        <w:spacing w:line="276" w:lineRule="auto"/>
        <w:rPr>
          <w:rFonts w:ascii="Arial" w:eastAsia="Arial" w:hAnsi="Arial" w:cs="Arial"/>
        </w:rPr>
      </w:pPr>
    </w:p>
    <w:p w14:paraId="3023956B" w14:textId="77777777" w:rsidR="00EE60FA" w:rsidRDefault="00EE60FA">
      <w:pPr>
        <w:spacing w:after="160" w:line="259" w:lineRule="auto"/>
        <w:rPr>
          <w:rFonts w:ascii="Arial" w:eastAsia="Arial" w:hAnsi="Arial" w:cs="Arial"/>
        </w:rPr>
      </w:pPr>
    </w:p>
    <w:p w14:paraId="6027F65F" w14:textId="77777777" w:rsidR="00EE60FA" w:rsidRDefault="00000000">
      <w:pPr>
        <w:pStyle w:val="Heading1"/>
      </w:pPr>
      <w:bookmarkStart w:id="6" w:name="_Toc132038291"/>
      <w:r>
        <w:lastRenderedPageBreak/>
        <w:t>Explanation of Transaction Sets. Many Transaction Sets can be broken into three parts. Use an example to describe how tables in an X12 Standard document summarize the segments that may be used in each of these three parts of a transaction set.</w:t>
      </w:r>
      <w:bookmarkEnd w:id="6"/>
    </w:p>
    <w:p w14:paraId="782385CE" w14:textId="77777777" w:rsidR="00EE60FA" w:rsidRDefault="00EE60FA">
      <w:pPr>
        <w:spacing w:after="160" w:line="259" w:lineRule="auto"/>
      </w:pPr>
    </w:p>
    <w:p w14:paraId="05D1343D" w14:textId="77777777" w:rsidR="00EE60FA" w:rsidRDefault="00000000">
      <w:pPr>
        <w:spacing w:after="160" w:line="259" w:lineRule="auto"/>
        <w:rPr>
          <w:rFonts w:ascii="Arial" w:eastAsia="Arial" w:hAnsi="Arial" w:cs="Arial"/>
        </w:rPr>
      </w:pPr>
      <w:r>
        <w:rPr>
          <w:rFonts w:ascii="Arial" w:eastAsia="Arial" w:hAnsi="Arial" w:cs="Arial"/>
        </w:rPr>
        <w:t>Transaction sets are a series of (EDI) messages that are used to exchange specific types of business documents between trading partners. Each transaction set is identified by a unique three-digit number and contains a predefined format for the data that will be exchanged.</w:t>
      </w:r>
    </w:p>
    <w:p w14:paraId="45CDBA23" w14:textId="77777777" w:rsidR="00EE60FA" w:rsidRDefault="00000000">
      <w:pPr>
        <w:spacing w:after="160" w:line="259" w:lineRule="auto"/>
        <w:rPr>
          <w:rFonts w:ascii="Arial" w:eastAsia="Arial" w:hAnsi="Arial" w:cs="Arial"/>
        </w:rPr>
      </w:pPr>
      <w:r>
        <w:rPr>
          <w:rFonts w:ascii="Arial" w:eastAsia="Arial" w:hAnsi="Arial" w:cs="Arial"/>
        </w:rPr>
        <w:t>For example, the 850-transaction set is used for purchase orders, the 810-transaction set is used for invoices, and the 856-transaction set is used for shipping notices. Each transaction set includes a standard set of data elements that are required for the business document being exchanged.</w:t>
      </w:r>
    </w:p>
    <w:p w14:paraId="006AB07A" w14:textId="77777777" w:rsidR="00EE60FA" w:rsidRDefault="00000000">
      <w:pPr>
        <w:spacing w:after="160" w:line="259" w:lineRule="auto"/>
        <w:rPr>
          <w:rFonts w:ascii="Arial" w:eastAsia="Arial" w:hAnsi="Arial" w:cs="Arial"/>
        </w:rPr>
      </w:pPr>
      <w:r>
        <w:rPr>
          <w:rFonts w:ascii="Arial" w:eastAsia="Arial" w:hAnsi="Arial" w:cs="Arial"/>
        </w:rPr>
        <w:t>Transaction sets are commonly used in industries such as retail, healthcare, and transportation to facilitate electronic data interchange between trading partners. They help to streamline the exchange of information and reduce errors associated with manual data entry.</w:t>
      </w:r>
    </w:p>
    <w:p w14:paraId="1800F10B" w14:textId="77777777" w:rsidR="00EE60FA" w:rsidRDefault="00EE60FA">
      <w:pPr>
        <w:spacing w:after="160" w:line="259" w:lineRule="auto"/>
        <w:rPr>
          <w:rFonts w:ascii="Arial" w:eastAsia="Arial" w:hAnsi="Arial" w:cs="Arial"/>
        </w:rPr>
      </w:pPr>
    </w:p>
    <w:p w14:paraId="772BF9BA" w14:textId="77777777" w:rsidR="00EE60FA" w:rsidRDefault="00000000">
      <w:pPr>
        <w:spacing w:after="160" w:line="259" w:lineRule="auto"/>
        <w:rPr>
          <w:rFonts w:ascii="Arial" w:eastAsia="Arial" w:hAnsi="Arial" w:cs="Arial"/>
        </w:rPr>
      </w:pPr>
      <w:r>
        <w:rPr>
          <w:rFonts w:ascii="Arial" w:eastAsia="Arial" w:hAnsi="Arial" w:cs="Arial"/>
        </w:rPr>
        <w:t>Many transaction sets can be broken up into 3 parts: header, details, summary.</w:t>
      </w:r>
    </w:p>
    <w:p w14:paraId="6D184BE4" w14:textId="77777777" w:rsidR="00EE60FA" w:rsidRDefault="00EE60FA">
      <w:pPr>
        <w:spacing w:after="160" w:line="259" w:lineRule="auto"/>
        <w:rPr>
          <w:rFonts w:ascii="Arial" w:eastAsia="Arial" w:hAnsi="Arial" w:cs="Arial"/>
        </w:rPr>
      </w:pPr>
    </w:p>
    <w:p w14:paraId="5824610A" w14:textId="77777777" w:rsidR="00EE60FA" w:rsidRDefault="00000000">
      <w:pPr>
        <w:spacing w:after="160" w:line="259" w:lineRule="auto"/>
        <w:rPr>
          <w:rFonts w:ascii="Arial" w:eastAsia="Arial" w:hAnsi="Arial" w:cs="Arial"/>
        </w:rPr>
      </w:pPr>
      <w:r>
        <w:rPr>
          <w:rFonts w:ascii="Arial" w:eastAsia="Arial" w:hAnsi="Arial" w:cs="Arial"/>
        </w:rPr>
        <w:t>X12 is a widely used standard for EDI between businesses. X12 documents are structured into functional groups, which are further divided into transaction sets. Each transaction set contains a series of segments that provide specific information about the transaction being carried out.</w:t>
      </w:r>
    </w:p>
    <w:p w14:paraId="06AB962D" w14:textId="77777777" w:rsidR="00EE60FA" w:rsidRDefault="00000000">
      <w:pPr>
        <w:spacing w:after="160" w:line="259" w:lineRule="auto"/>
        <w:rPr>
          <w:rFonts w:ascii="Arial" w:eastAsia="Arial" w:hAnsi="Arial" w:cs="Arial"/>
        </w:rPr>
      </w:pPr>
      <w:r>
        <w:rPr>
          <w:rFonts w:ascii="Arial" w:eastAsia="Arial" w:hAnsi="Arial" w:cs="Arial"/>
        </w:rPr>
        <w:t>In X12 documents, tables are often used to summarize the segments that may be used in each of the three parts: header, details, and summary. Let's consider an example of an X12 810 Invoice document.</w:t>
      </w:r>
    </w:p>
    <w:p w14:paraId="7FACF225" w14:textId="77777777" w:rsidR="00EE60FA" w:rsidRDefault="00000000">
      <w:pPr>
        <w:spacing w:after="160" w:line="259" w:lineRule="auto"/>
        <w:rPr>
          <w:rFonts w:ascii="Arial" w:eastAsia="Arial" w:hAnsi="Arial" w:cs="Arial"/>
        </w:rPr>
      </w:pPr>
      <w:r>
        <w:rPr>
          <w:rFonts w:ascii="Arial" w:eastAsia="Arial" w:hAnsi="Arial" w:cs="Arial"/>
        </w:rPr>
        <w:t>The header of an X12 810 Invoice document typically contains information about the sender, recipient, and the type of transaction being conducted. Some of the segments that may be included in the header of an 810 Invoice include ST, BPR and N1.</w:t>
      </w:r>
    </w:p>
    <w:p w14:paraId="28D25F51" w14:textId="77777777" w:rsidR="00EE60FA" w:rsidRDefault="00000000">
      <w:pPr>
        <w:spacing w:after="160" w:line="259" w:lineRule="auto"/>
        <w:rPr>
          <w:rFonts w:ascii="Arial" w:eastAsia="Arial" w:hAnsi="Arial" w:cs="Arial"/>
        </w:rPr>
      </w:pPr>
      <w:r>
        <w:rPr>
          <w:rFonts w:ascii="Arial" w:eastAsia="Arial" w:hAnsi="Arial" w:cs="Arial"/>
        </w:rPr>
        <w:t>The details section of an X12 810 Invoice contains the specific line items for the products or services being billed. In the case of an 810 Invoice, the details section would include segments like LIN, PID, and QTY.</w:t>
      </w:r>
    </w:p>
    <w:p w14:paraId="651458E0" w14:textId="4497CAE3" w:rsidR="00EE60FA" w:rsidRDefault="00000000">
      <w:pPr>
        <w:spacing w:after="160" w:line="259" w:lineRule="auto"/>
        <w:rPr>
          <w:rFonts w:ascii="Arial" w:eastAsia="Arial" w:hAnsi="Arial" w:cs="Arial"/>
        </w:rPr>
      </w:pPr>
      <w:r>
        <w:rPr>
          <w:rFonts w:ascii="Arial" w:eastAsia="Arial" w:hAnsi="Arial" w:cs="Arial"/>
        </w:rPr>
        <w:t>The summary section of an X12 810 Invoice contains any additional information or calculations related to the invoice, such as the total amount due. Some of the segments that may be included in the summary of an 810 Invoice include TDS, CAD, and SE.</w:t>
      </w:r>
    </w:p>
    <w:p w14:paraId="58A27D4A" w14:textId="77777777" w:rsidR="00EE60FA" w:rsidRDefault="00000000">
      <w:pPr>
        <w:pStyle w:val="Heading1"/>
      </w:pPr>
      <w:bookmarkStart w:id="7" w:name="_Toc132038292"/>
      <w:r>
        <w:t>How do you get the X12 standard documents?</w:t>
      </w:r>
      <w:bookmarkEnd w:id="7"/>
    </w:p>
    <w:p w14:paraId="6CAD59A5" w14:textId="77777777" w:rsidR="00EE60FA" w:rsidRDefault="00EE60FA"/>
    <w:p w14:paraId="51550002" w14:textId="77777777" w:rsidR="00EE60FA" w:rsidRDefault="00000000">
      <w:pPr>
        <w:spacing w:after="160" w:line="259" w:lineRule="auto"/>
        <w:rPr>
          <w:rFonts w:ascii="Arial" w:eastAsia="Arial" w:hAnsi="Arial" w:cs="Arial"/>
        </w:rPr>
      </w:pPr>
      <w:r>
        <w:rPr>
          <w:rFonts w:ascii="Arial" w:eastAsia="Arial" w:hAnsi="Arial" w:cs="Arial"/>
        </w:rPr>
        <w:t xml:space="preserve">The X12 standard documents are typically available through the Accredited Standards Committee, which is responsible for developing and maintaining the X12 standards. You can find X12 standard documents at www.x12.org. </w:t>
      </w:r>
    </w:p>
    <w:p w14:paraId="44EE2A50" w14:textId="77777777" w:rsidR="00EE60FA" w:rsidRDefault="00EE60FA">
      <w:pPr>
        <w:spacing w:after="160" w:line="259" w:lineRule="auto"/>
        <w:rPr>
          <w:rFonts w:ascii="Arial" w:eastAsia="Arial" w:hAnsi="Arial" w:cs="Arial"/>
        </w:rPr>
      </w:pPr>
    </w:p>
    <w:p w14:paraId="7FDA13E1" w14:textId="77777777" w:rsidR="00EE60FA" w:rsidRDefault="00000000">
      <w:pPr>
        <w:pStyle w:val="Heading1"/>
      </w:pPr>
      <w:bookmarkStart w:id="8" w:name="_Toc132038293"/>
      <w:r>
        <w:lastRenderedPageBreak/>
        <w:t>Give an example of 3 X12 codes and a brief explanation of what they are used for?</w:t>
      </w:r>
      <w:bookmarkEnd w:id="8"/>
    </w:p>
    <w:p w14:paraId="6C399041" w14:textId="77777777" w:rsidR="00EE60FA" w:rsidRDefault="00EE60FA"/>
    <w:p w14:paraId="775FEEA4" w14:textId="77777777" w:rsidR="00EE60FA" w:rsidRDefault="00000000">
      <w:pPr>
        <w:spacing w:after="160" w:line="259" w:lineRule="auto"/>
        <w:rPr>
          <w:rFonts w:ascii="Arial" w:eastAsia="Arial" w:hAnsi="Arial" w:cs="Arial"/>
        </w:rPr>
      </w:pPr>
      <w:r>
        <w:rPr>
          <w:rFonts w:ascii="Arial" w:eastAsia="Arial" w:hAnsi="Arial" w:cs="Arial"/>
        </w:rPr>
        <w:t>810 Invoice, 830 Planning Schedule/Material Release, and 850 Purchase Order are three EDI transaction sets commonly used in supply chain management. Here's a brief explanation of each:</w:t>
      </w:r>
    </w:p>
    <w:p w14:paraId="36531279" w14:textId="77777777" w:rsidR="00EE60FA" w:rsidRDefault="00000000">
      <w:pPr>
        <w:spacing w:after="160" w:line="259" w:lineRule="auto"/>
        <w:rPr>
          <w:rFonts w:ascii="Arial" w:eastAsia="Arial" w:hAnsi="Arial" w:cs="Arial"/>
        </w:rPr>
      </w:pPr>
      <w:r>
        <w:rPr>
          <w:rFonts w:ascii="Arial" w:eastAsia="Arial" w:hAnsi="Arial" w:cs="Arial"/>
        </w:rPr>
        <w:t>810 Invoice: The 810 Invoice is an electronic document that is used to transmit billing information from a supplier to a buyer. This document includes details such as the product or service provided, the price, the payment terms, and any applicable discounts or taxes.</w:t>
      </w:r>
    </w:p>
    <w:p w14:paraId="2BF88067" w14:textId="77777777" w:rsidR="00EE60FA" w:rsidRDefault="00000000">
      <w:pPr>
        <w:spacing w:after="160" w:line="259" w:lineRule="auto"/>
        <w:rPr>
          <w:rFonts w:ascii="Arial" w:eastAsia="Arial" w:hAnsi="Arial" w:cs="Arial"/>
        </w:rPr>
      </w:pPr>
      <w:r>
        <w:rPr>
          <w:rFonts w:ascii="Arial" w:eastAsia="Arial" w:hAnsi="Arial" w:cs="Arial"/>
        </w:rPr>
        <w:t>830 Planning Schedule/Material Release: The 830 Planning Schedule/Material Release is an electronic document that is used to communicate the production schedule and material requirements from the buyer to the supplier. This document includes information such as the type and quantity of materials required, the date by which they are needed, and the delivery location.</w:t>
      </w:r>
    </w:p>
    <w:p w14:paraId="7762BE17" w14:textId="77777777" w:rsidR="00EE60FA" w:rsidRDefault="00000000">
      <w:pPr>
        <w:spacing w:after="160" w:line="259" w:lineRule="auto"/>
        <w:rPr>
          <w:rFonts w:ascii="Arial" w:eastAsia="Arial" w:hAnsi="Arial" w:cs="Arial"/>
        </w:rPr>
      </w:pPr>
      <w:r>
        <w:rPr>
          <w:rFonts w:ascii="Arial" w:eastAsia="Arial" w:hAnsi="Arial" w:cs="Arial"/>
        </w:rPr>
        <w:t>850 Purchase Order: The 850 Purchase Order is an electronic document that is used to initiate a purchase order between a buyer and a supplier. This document includes information such as the product or service being ordered, the quantity, the price, the delivery location, and the payment terms.</w:t>
      </w:r>
    </w:p>
    <w:p w14:paraId="6654EB8C" w14:textId="3F7347D7" w:rsidR="00EE60FA" w:rsidRDefault="00000000">
      <w:pPr>
        <w:spacing w:after="160" w:line="259" w:lineRule="auto"/>
        <w:rPr>
          <w:rFonts w:ascii="Arial" w:eastAsia="Arial" w:hAnsi="Arial" w:cs="Arial"/>
        </w:rPr>
      </w:pPr>
      <w:r>
        <w:rPr>
          <w:rFonts w:ascii="Arial" w:eastAsia="Arial" w:hAnsi="Arial" w:cs="Arial"/>
        </w:rPr>
        <w:t>Overall, these three EDI transaction sets help to facilitate the exchange of information and goods between buyers and suppliers, streamlining the supply chain process and improving efficiency.</w:t>
      </w:r>
    </w:p>
    <w:p w14:paraId="62DD3B7D" w14:textId="77777777" w:rsidR="00EE60FA" w:rsidRDefault="00000000">
      <w:pPr>
        <w:pStyle w:val="Heading1"/>
      </w:pPr>
      <w:bookmarkStart w:id="9" w:name="_Toc132038294"/>
      <w:r>
        <w:t>What is a functional group in EDI?</w:t>
      </w:r>
      <w:bookmarkEnd w:id="9"/>
    </w:p>
    <w:p w14:paraId="5C401E3F" w14:textId="77777777" w:rsidR="00EE60FA" w:rsidRDefault="00EE60FA"/>
    <w:p w14:paraId="22D5500C" w14:textId="77777777" w:rsidR="00EE60FA" w:rsidRDefault="00000000">
      <w:pPr>
        <w:spacing w:after="160" w:line="259" w:lineRule="auto"/>
        <w:rPr>
          <w:rFonts w:ascii="Arial" w:eastAsia="Arial" w:hAnsi="Arial" w:cs="Arial"/>
        </w:rPr>
      </w:pPr>
      <w:r>
        <w:rPr>
          <w:rFonts w:ascii="Arial" w:eastAsia="Arial" w:hAnsi="Arial" w:cs="Arial"/>
        </w:rPr>
        <w:t>In EDI, a functional group is a collection of related transactions or documents that are exchanged between trading partners. A functional group typically contains a header, a trailer, and one or more data segments that represent the individual transactions or documents.</w:t>
      </w:r>
    </w:p>
    <w:p w14:paraId="6C6CAB2E" w14:textId="77777777" w:rsidR="00EE60FA" w:rsidRDefault="00000000">
      <w:pPr>
        <w:spacing w:after="160" w:line="259" w:lineRule="auto"/>
        <w:rPr>
          <w:rFonts w:ascii="Arial" w:eastAsia="Arial" w:hAnsi="Arial" w:cs="Arial"/>
        </w:rPr>
      </w:pPr>
      <w:r>
        <w:rPr>
          <w:rFonts w:ascii="Arial" w:eastAsia="Arial" w:hAnsi="Arial" w:cs="Arial"/>
        </w:rPr>
        <w:t>Functional groups are used in EDI to organize and transmit related information in a standardized format. Each functional group is identified by a unique functional group identifier (FGID) that is included in the functional group header.</w:t>
      </w:r>
    </w:p>
    <w:p w14:paraId="1FF00736" w14:textId="77777777" w:rsidR="00EE60FA" w:rsidRDefault="00000000">
      <w:pPr>
        <w:spacing w:after="160" w:line="259" w:lineRule="auto"/>
        <w:rPr>
          <w:rFonts w:ascii="Arial" w:eastAsia="Arial" w:hAnsi="Arial" w:cs="Arial"/>
        </w:rPr>
      </w:pPr>
      <w:r>
        <w:rPr>
          <w:rFonts w:ascii="Arial" w:eastAsia="Arial" w:hAnsi="Arial" w:cs="Arial"/>
        </w:rPr>
        <w:t>Functional acknowledgements, also known as 997 acknowledgements, are used in EDI to control the transmission of functional groups between trading partners. A functional acknowledgement is a message that confirms the receipt and processing of a functional group by the receiver. It indicates whether the functional group was successfully processed or if there were any errors that need to be corrected.</w:t>
      </w:r>
    </w:p>
    <w:p w14:paraId="0DDE74AA" w14:textId="4F5D0AC7" w:rsidR="00EE60FA" w:rsidRDefault="00000000">
      <w:pPr>
        <w:spacing w:after="160" w:line="259" w:lineRule="auto"/>
        <w:rPr>
          <w:rFonts w:ascii="Arial" w:eastAsia="Arial" w:hAnsi="Arial" w:cs="Arial"/>
        </w:rPr>
      </w:pPr>
      <w:r>
        <w:rPr>
          <w:rFonts w:ascii="Arial" w:eastAsia="Arial" w:hAnsi="Arial" w:cs="Arial"/>
        </w:rPr>
        <w:t>When a sender transmits a functional group to a receiver, the receiver responds with a functional acknowledgement. If the functional group was successfully processed, the acknowledgement contains an acceptance message indicating that the functional group was accepted. If there were errors, the acknowledgement contains a rejection message indicating the errors that need to be corrected.</w:t>
      </w:r>
      <w:r w:rsidR="00CF4E8B">
        <w:rPr>
          <w:rFonts w:ascii="Arial" w:eastAsia="Arial" w:hAnsi="Arial" w:cs="Arial"/>
        </w:rPr>
        <w:t xml:space="preserve"> </w:t>
      </w:r>
      <w:r>
        <w:rPr>
          <w:rFonts w:ascii="Arial" w:eastAsia="Arial" w:hAnsi="Arial" w:cs="Arial"/>
        </w:rPr>
        <w:t>Functional acknowledgements play an</w:t>
      </w:r>
      <w:r w:rsidR="00CF4E8B">
        <w:rPr>
          <w:rFonts w:ascii="Arial" w:eastAsia="Arial" w:hAnsi="Arial" w:cs="Arial"/>
        </w:rPr>
        <w:t xml:space="preserve"> </w:t>
      </w:r>
      <w:r>
        <w:rPr>
          <w:rFonts w:ascii="Arial" w:eastAsia="Arial" w:hAnsi="Arial" w:cs="Arial"/>
        </w:rPr>
        <w:t>important role in EDI because they allow trading partners to ensure the accuracy and completeness.</w:t>
      </w:r>
    </w:p>
    <w:p w14:paraId="3F5538A6" w14:textId="0E4F40C2" w:rsidR="00EE60FA" w:rsidRDefault="00EE60FA">
      <w:pPr>
        <w:spacing w:after="160" w:line="259" w:lineRule="auto"/>
        <w:rPr>
          <w:rFonts w:ascii="Arial" w:eastAsia="Arial" w:hAnsi="Arial" w:cs="Arial"/>
        </w:rPr>
      </w:pPr>
    </w:p>
    <w:p w14:paraId="436B1C8F" w14:textId="77777777" w:rsidR="00EE60FA" w:rsidRDefault="00000000">
      <w:pPr>
        <w:spacing w:after="160" w:line="259" w:lineRule="auto"/>
        <w:rPr>
          <w:rFonts w:ascii="Arial" w:eastAsia="Arial" w:hAnsi="Arial" w:cs="Arial"/>
          <w:b/>
          <w:sz w:val="50"/>
          <w:szCs w:val="50"/>
        </w:rPr>
      </w:pPr>
      <w:r>
        <w:rPr>
          <w:rFonts w:ascii="Arial" w:eastAsia="Arial" w:hAnsi="Arial" w:cs="Arial"/>
          <w:b/>
          <w:sz w:val="50"/>
          <w:szCs w:val="50"/>
        </w:rPr>
        <w:lastRenderedPageBreak/>
        <w:t>References</w:t>
      </w:r>
    </w:p>
    <w:p w14:paraId="7F337522" w14:textId="77777777" w:rsidR="00EE60FA" w:rsidRDefault="00EE60FA">
      <w:pPr>
        <w:spacing w:line="480" w:lineRule="auto"/>
        <w:rPr>
          <w:rFonts w:ascii="Arial" w:eastAsia="Arial" w:hAnsi="Arial" w:cs="Arial"/>
        </w:rPr>
      </w:pPr>
    </w:p>
    <w:p w14:paraId="74219BB9" w14:textId="77777777" w:rsidR="00EE60FA" w:rsidRDefault="00000000">
      <w:pPr>
        <w:spacing w:line="480" w:lineRule="auto"/>
        <w:ind w:left="720"/>
        <w:rPr>
          <w:rFonts w:ascii="Arial" w:eastAsia="Arial" w:hAnsi="Arial" w:cs="Arial"/>
        </w:rPr>
      </w:pPr>
      <w:r>
        <w:rPr>
          <w:rFonts w:ascii="Arial" w:eastAsia="Arial" w:hAnsi="Arial" w:cs="Arial"/>
        </w:rPr>
        <w:t xml:space="preserve">“EDI Industry Standards | A Crash Course.” </w:t>
      </w:r>
      <w:r>
        <w:rPr>
          <w:rFonts w:ascii="Arial" w:eastAsia="Arial" w:hAnsi="Arial" w:cs="Arial"/>
          <w:i/>
        </w:rPr>
        <w:t>Data Interchange</w:t>
      </w:r>
      <w:r>
        <w:rPr>
          <w:rFonts w:ascii="Arial" w:eastAsia="Arial" w:hAnsi="Arial" w:cs="Arial"/>
        </w:rPr>
        <w:t>, https://datainterchange.com/edi-industry-standards/. Accessed 10 April 2023.</w:t>
      </w:r>
    </w:p>
    <w:p w14:paraId="48600A82" w14:textId="77777777" w:rsidR="00EE60FA" w:rsidRDefault="00000000">
      <w:pPr>
        <w:spacing w:line="480" w:lineRule="auto"/>
        <w:ind w:left="720"/>
        <w:rPr>
          <w:rFonts w:ascii="Arial" w:eastAsia="Arial" w:hAnsi="Arial" w:cs="Arial"/>
        </w:rPr>
      </w:pPr>
      <w:r>
        <w:rPr>
          <w:rFonts w:ascii="Arial" w:eastAsia="Arial" w:hAnsi="Arial" w:cs="Arial"/>
        </w:rPr>
        <w:t xml:space="preserve">“EDI X12 vs. EDIFACT: Learn the Difference.” </w:t>
      </w:r>
      <w:proofErr w:type="spellStart"/>
      <w:r>
        <w:rPr>
          <w:rFonts w:ascii="Arial" w:eastAsia="Arial" w:hAnsi="Arial" w:cs="Arial"/>
          <w:i/>
        </w:rPr>
        <w:t>GoAnywhere</w:t>
      </w:r>
      <w:proofErr w:type="spellEnd"/>
      <w:r>
        <w:rPr>
          <w:rFonts w:ascii="Arial" w:eastAsia="Arial" w:hAnsi="Arial" w:cs="Arial"/>
          <w:i/>
        </w:rPr>
        <w:t xml:space="preserve"> MFT</w:t>
      </w:r>
      <w:r>
        <w:rPr>
          <w:rFonts w:ascii="Arial" w:eastAsia="Arial" w:hAnsi="Arial" w:cs="Arial"/>
        </w:rPr>
        <w:t>, 9 December 2019, https://www.goanywhere.com/blog/edi-x12-vs-edifact-whats-the-difference. Accessed 10 April 2023.</w:t>
      </w:r>
    </w:p>
    <w:p w14:paraId="277FF246" w14:textId="77777777" w:rsidR="00EE60FA" w:rsidRDefault="00000000">
      <w:pPr>
        <w:spacing w:line="480" w:lineRule="auto"/>
        <w:ind w:left="720"/>
        <w:rPr>
          <w:rFonts w:ascii="Arial" w:eastAsia="Arial" w:hAnsi="Arial" w:cs="Arial"/>
        </w:rPr>
      </w:pPr>
      <w:r>
        <w:rPr>
          <w:rFonts w:ascii="Arial" w:eastAsia="Arial" w:hAnsi="Arial" w:cs="Arial"/>
        </w:rPr>
        <w:t xml:space="preserve">O'Neill, Brenda. </w:t>
      </w:r>
      <w:r>
        <w:rPr>
          <w:rFonts w:ascii="Arial" w:eastAsia="Arial" w:hAnsi="Arial" w:cs="Arial"/>
          <w:i/>
        </w:rPr>
        <w:t>Lecturer</w:t>
      </w:r>
      <w:r>
        <w:rPr>
          <w:rFonts w:ascii="Arial" w:eastAsia="Arial" w:hAnsi="Arial" w:cs="Arial"/>
        </w:rPr>
        <w:t>. Lecture Notes.</w:t>
      </w:r>
    </w:p>
    <w:p w14:paraId="727E211F" w14:textId="77777777" w:rsidR="00EE60FA" w:rsidRDefault="00000000">
      <w:pPr>
        <w:spacing w:line="480" w:lineRule="auto"/>
        <w:ind w:left="720"/>
        <w:rPr>
          <w:rFonts w:ascii="Arial" w:eastAsia="Arial" w:hAnsi="Arial" w:cs="Arial"/>
        </w:rPr>
      </w:pPr>
      <w:r>
        <w:rPr>
          <w:rFonts w:ascii="Arial" w:eastAsia="Arial" w:hAnsi="Arial" w:cs="Arial"/>
        </w:rPr>
        <w:t xml:space="preserve">“Transaction Set Envelope.” </w:t>
      </w:r>
      <w:r>
        <w:rPr>
          <w:rFonts w:ascii="Arial" w:eastAsia="Arial" w:hAnsi="Arial" w:cs="Arial"/>
          <w:i/>
        </w:rPr>
        <w:t>IBM</w:t>
      </w:r>
      <w:r>
        <w:rPr>
          <w:rFonts w:ascii="Arial" w:eastAsia="Arial" w:hAnsi="Arial" w:cs="Arial"/>
        </w:rPr>
        <w:t>, https://www.ibm.com/docs/en/scbn?topic=envelopes-transaction-set-envelope. Accessed 10 April 2023.</w:t>
      </w:r>
    </w:p>
    <w:p w14:paraId="6BC99D37" w14:textId="77777777" w:rsidR="00EE60FA" w:rsidRDefault="00000000">
      <w:pPr>
        <w:spacing w:line="480" w:lineRule="auto"/>
        <w:ind w:left="720"/>
        <w:rPr>
          <w:rFonts w:ascii="Arial" w:eastAsia="Arial" w:hAnsi="Arial" w:cs="Arial"/>
        </w:rPr>
      </w:pPr>
      <w:r>
        <w:rPr>
          <w:rFonts w:ascii="Arial" w:eastAsia="Arial" w:hAnsi="Arial" w:cs="Arial"/>
        </w:rPr>
        <w:t xml:space="preserve">“What Comprises an EDI Document?” </w:t>
      </w:r>
      <w:r>
        <w:rPr>
          <w:rFonts w:ascii="Arial" w:eastAsia="Arial" w:hAnsi="Arial" w:cs="Arial"/>
          <w:i/>
        </w:rPr>
        <w:t>EDI Basics</w:t>
      </w:r>
      <w:r>
        <w:rPr>
          <w:rFonts w:ascii="Arial" w:eastAsia="Arial" w:hAnsi="Arial" w:cs="Arial"/>
        </w:rPr>
        <w:t>, https://www.edibasics.co.uk/what-is-edi/what-comprises-an-edi-document/. Accessed 10 April 2023.</w:t>
      </w:r>
    </w:p>
    <w:p w14:paraId="30A14A08" w14:textId="77777777" w:rsidR="00EE60FA" w:rsidRDefault="00000000">
      <w:pPr>
        <w:spacing w:line="480" w:lineRule="auto"/>
        <w:ind w:left="720"/>
        <w:rPr>
          <w:rFonts w:ascii="Arial" w:eastAsia="Arial" w:hAnsi="Arial" w:cs="Arial"/>
        </w:rPr>
      </w:pPr>
      <w:r>
        <w:rPr>
          <w:rFonts w:ascii="Arial" w:eastAsia="Arial" w:hAnsi="Arial" w:cs="Arial"/>
        </w:rPr>
        <w:t xml:space="preserve">“X12 EDI Basics: </w:t>
      </w:r>
      <w:proofErr w:type="gramStart"/>
      <w:r>
        <w:rPr>
          <w:rFonts w:ascii="Arial" w:eastAsia="Arial" w:hAnsi="Arial" w:cs="Arial"/>
        </w:rPr>
        <w:t>a</w:t>
      </w:r>
      <w:proofErr w:type="gramEnd"/>
      <w:r>
        <w:rPr>
          <w:rFonts w:ascii="Arial" w:eastAsia="Arial" w:hAnsi="Arial" w:cs="Arial"/>
        </w:rPr>
        <w:t xml:space="preserve"> Guide to The X12 Standard.” </w:t>
      </w:r>
      <w:proofErr w:type="spellStart"/>
      <w:r>
        <w:rPr>
          <w:rFonts w:ascii="Arial" w:eastAsia="Arial" w:hAnsi="Arial" w:cs="Arial"/>
          <w:i/>
        </w:rPr>
        <w:t>CData</w:t>
      </w:r>
      <w:proofErr w:type="spellEnd"/>
      <w:r>
        <w:rPr>
          <w:rFonts w:ascii="Arial" w:eastAsia="Arial" w:hAnsi="Arial" w:cs="Arial"/>
          <w:i/>
        </w:rPr>
        <w:t xml:space="preserve"> Arc</w:t>
      </w:r>
      <w:r>
        <w:rPr>
          <w:rFonts w:ascii="Arial" w:eastAsia="Arial" w:hAnsi="Arial" w:cs="Arial"/>
        </w:rPr>
        <w:t>, https://arc.cdata.com/resources/edi/x12.rst. Accessed 10 April 2023.</w:t>
      </w:r>
    </w:p>
    <w:p w14:paraId="36A1E2E8" w14:textId="77777777" w:rsidR="00EE60FA" w:rsidRDefault="00EE60FA">
      <w:pPr>
        <w:spacing w:after="160" w:line="259" w:lineRule="auto"/>
        <w:rPr>
          <w:rFonts w:ascii="Arial" w:eastAsia="Arial" w:hAnsi="Arial" w:cs="Arial"/>
        </w:rPr>
      </w:pPr>
    </w:p>
    <w:sectPr w:rsidR="00EE60FA">
      <w:pgSz w:w="11900"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0FA"/>
    <w:rsid w:val="00872E81"/>
    <w:rsid w:val="00CF4E8B"/>
    <w:rsid w:val="00EE6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E5D6"/>
  <w15:docId w15:val="{9FDD63CF-B9AD-4F75-825A-AD67E8D8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CF4E8B"/>
    <w:pPr>
      <w:spacing w:after="100"/>
    </w:pPr>
  </w:style>
  <w:style w:type="character" w:styleId="Hyperlink">
    <w:name w:val="Hyperlink"/>
    <w:basedOn w:val="DefaultParagraphFont"/>
    <w:uiPriority w:val="99"/>
    <w:unhideWhenUsed/>
    <w:rsid w:val="00CF4E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university.com" TargetMode="External"/><Relationship Id="rId13" Type="http://schemas.openxmlformats.org/officeDocument/2006/relationships/image" Target="media/image13.png"/><Relationship Id="rId18" Type="http://schemas.openxmlformats.org/officeDocument/2006/relationships/image" Target="media/image3.png"/><Relationship Id="rId26" Type="http://schemas.openxmlformats.org/officeDocument/2006/relationships/hyperlink" Target="http://faculty.university.com"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university.com" TargetMode="External"/><Relationship Id="rId17" Type="http://schemas.openxmlformats.org/officeDocument/2006/relationships/image" Target="media/image2.png"/><Relationship Id="rId25" Type="http://schemas.openxmlformats.org/officeDocument/2006/relationships/hyperlink" Target="http://www.university.com"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www.university.com" TargetMode="External"/><Relationship Id="rId24" Type="http://schemas.openxmlformats.org/officeDocument/2006/relationships/image" Target="media/image8.jpg"/><Relationship Id="rId32" Type="http://schemas.openxmlformats.org/officeDocument/2006/relationships/theme" Target="theme/theme1.xml"/><Relationship Id="rId5" Type="http://schemas.openxmlformats.org/officeDocument/2006/relationships/hyperlink" Target="http://www.university.com" TargetMode="External"/><Relationship Id="rId15" Type="http://schemas.openxmlformats.org/officeDocument/2006/relationships/hyperlink" Target="http://researchgroup.university.com" TargetMode="External"/><Relationship Id="rId23" Type="http://schemas.openxmlformats.org/officeDocument/2006/relationships/image" Target="media/image7.png"/><Relationship Id="rId28" Type="http://schemas.openxmlformats.org/officeDocument/2006/relationships/image" Target="media/image9.png"/><Relationship Id="rId10" Type="http://schemas.openxmlformats.org/officeDocument/2006/relationships/hyperlink" Target="http://www.university.com"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versity.com" TargetMode="External"/><Relationship Id="rId14" Type="http://schemas.openxmlformats.org/officeDocument/2006/relationships/image" Target="media/image12.png"/><Relationship Id="rId22" Type="http://schemas.openxmlformats.org/officeDocument/2006/relationships/image" Target="media/image6.png"/><Relationship Id="rId27" Type="http://schemas.openxmlformats.org/officeDocument/2006/relationships/image" Target="media/image15.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December</b:Month>
    <b:DayAccessed>10</b:DayAccessed>
    <b:Day>9</b:Day>
    <b:Year>2019</b:Year>
    <b:SourceType>DocumentFromInternetSite</b:SourceType>
    <b:URL>https://www.goanywhere.com/blog/edi-x12-vs-edifact-whats-the-difference</b:URL>
    <b:Title>EDI X12 vs. EDIFACT: Learn the Difference</b:Title>
    <b:InternetSiteTitle>GoAnywhere MFT</b:InternetSiteTitle>
    <b:MonthAccessed>April</b:MonthAccessed>
    <b:YearAccessed>2023</b:YearAccessed>
    <b:Gdcea>{"AccessedType":"Website"}</b:Gdcea>
  </b:Source>
  <b:Source>
    <b:Tag>source2</b:Tag>
    <b:DayAccessed>10</b:DayAccessed>
    <b:SourceType>DocumentFromInternetSite</b:SourceType>
    <b:URL>https://www.edibasics.co.uk/what-is-edi/what-comprises-an-edi-document/</b:URL>
    <b:Title>What Comprises an EDI Document?</b:Title>
    <b:InternetSiteTitle>EDI Basics</b:InternetSiteTitle>
    <b:MonthAccessed>April</b:MonthAccessed>
    <b:YearAccessed>2023</b:YearAccessed>
    <b:Gdcea>{"AccessedType":"Website"}</b:Gdcea>
  </b:Source>
  <b:Source>
    <b:Tag>source3</b:Tag>
    <b:DayAccessed>10</b:DayAccessed>
    <b:SourceType>DocumentFromInternetSite</b:SourceType>
    <b:URL>https://datainterchange.com/edi-industry-standards/</b:URL>
    <b:Title>EDI Industry Standards | A Crash Course</b:Title>
    <b:InternetSiteTitle>Data Interchange</b:InternetSiteTitle>
    <b:MonthAccessed>April</b:MonthAccessed>
    <b:YearAccessed>2023</b:YearAccessed>
    <b:Gdcea>{"AccessedType":"Website"}</b:Gdcea>
  </b:Source>
  <b:Source>
    <b:Tag>source4</b:Tag>
    <b:DayAccessed>10</b:DayAccessed>
    <b:SourceType>DocumentFromInternetSite</b:SourceType>
    <b:URL>https://www.ibm.com/docs/en/scbn?topic=envelopes-transaction-set-envelope</b:URL>
    <b:Title>Transaction Set Envelope</b:Title>
    <b:InternetSiteTitle>IBM</b:InternetSiteTitle>
    <b:MonthAccessed>April</b:MonthAccessed>
    <b:YearAccessed>2023</b:YearAccessed>
    <b:Gdcea>{"AccessedType":"Website"}</b:Gdcea>
  </b:Source>
  <b:Source>
    <b:Tag>source5</b:Tag>
    <b:DayAccessed>10</b:DayAccessed>
    <b:SourceType>DocumentFromInternetSite</b:SourceType>
    <b:URL>https://arc.cdata.com/resources/edi/x12.rst</b:URL>
    <b:Title>X12 EDI Basics: a Guide to The X12 Standard</b:Title>
    <b:InternetSiteTitle>CData Arc</b:InternetSiteTitle>
    <b:MonthAccessed>April</b:MonthAccessed>
    <b:YearAccessed>2023</b:YearAccessed>
    <b:Gdcea>{"AccessedType":"Website"}</b:Gdcea>
  </b:Source>
  <b:Source>
    <b:Tag>source6</b:Tag>
    <b:SourceType>Misc</b:SourceType>
    <b:Title>Lecturer</b:Title>
    <b:Gdcea>{"Description":"Lecture Notes","AccessedType":"OnlineDatabase"}</b:Gdcea>
    <b:Author>
      <b:Author>
        <b:NameList>
          <b:Person>
            <b:First>Brenda</b:First>
            <b:Last>O'Neill</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Daire O`Neill</cp:lastModifiedBy>
  <cp:revision>2</cp:revision>
  <dcterms:created xsi:type="dcterms:W3CDTF">2023-04-10T15:51:00Z</dcterms:created>
  <dcterms:modified xsi:type="dcterms:W3CDTF">2023-04-10T16:02:00Z</dcterms:modified>
</cp:coreProperties>
</file>