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117dea97fdb87e5beb22fb3417f1379ef447c3"/>
    <w:p>
      <w:pPr>
        <w:pStyle w:val="Heading1"/>
      </w:pPr>
      <w:r>
        <w:t xml:space="preserve">CONTRATO DE PRESTACIÓN DE SERVICIOS - SOFTWARE COMO SERVICIO (SaaS)</w:t>
      </w:r>
    </w:p>
    <w:p>
      <w:pPr>
        <w:pStyle w:val="FirstParagraph"/>
      </w:pPr>
      <w:r>
        <w:t xml:space="preserve">Entre los suscritos, por una parte</w:t>
      </w:r>
      <w:r>
        <w:t xml:space="preserve"> </w:t>
      </w:r>
      <w:r>
        <w:rPr>
          <w:b/>
          <w:bCs/>
        </w:rPr>
        <w:t xml:space="preserve">Dairo Moreno Rentería</w:t>
      </w:r>
      <w:r>
        <w:t xml:space="preserve">, con NIT 1010094522, en adelante denominado</w:t>
      </w:r>
      <w:r>
        <w:t xml:space="preserve"> </w:t>
      </w:r>
      <w:r>
        <w:rPr>
          <w:b/>
          <w:bCs/>
        </w:rPr>
        <w:t xml:space="preserve">EL PROVEEDOR</w:t>
      </w:r>
      <w:r>
        <w:t xml:space="preserve">, y por la otra</w:t>
      </w:r>
      <w:r>
        <w:t xml:space="preserve"> </w:t>
      </w:r>
      <w:r>
        <w:rPr>
          <w:b/>
          <w:bCs/>
        </w:rPr>
        <w:t xml:space="preserve">Museo de Antioquia</w:t>
      </w:r>
      <w:r>
        <w:t xml:space="preserve">, con NIT 890980080-2, en adelante denominado</w:t>
      </w:r>
      <w:r>
        <w:t xml:space="preserve"> </w:t>
      </w:r>
      <w:r>
        <w:rPr>
          <w:b/>
          <w:bCs/>
        </w:rPr>
        <w:t xml:space="preserve">EL CLIENTE</w:t>
      </w:r>
      <w:r>
        <w:t xml:space="preserve">, se ha convenido celebrar el presente contrato de prestación de servicios y uso de software bajo la modalidad de suscripción (SaaS) para la plataforma</w:t>
      </w:r>
      <w:r>
        <w:t xml:space="preserve"> </w:t>
      </w:r>
      <w:r>
        <w:rPr>
          <w:b/>
          <w:bCs/>
        </w:rPr>
        <w:t xml:space="preserve">MisCompras</w:t>
      </w:r>
      <w:r>
        <w:t xml:space="preserve">, el cual se regirá por las siguientes cláusulas y condiciones:</w:t>
      </w:r>
    </w:p>
    <w:bookmarkStart w:id="9" w:name="cláusula-primera-objeto-del-contrato"/>
    <w:p>
      <w:pPr>
        <w:pStyle w:val="Heading2"/>
      </w:pPr>
      <w:r>
        <w:t xml:space="preserve">CLÁUSULA PRIMERA: OBJETO DEL CONTRATO</w:t>
      </w:r>
    </w:p>
    <w:p>
      <w:pPr>
        <w:pStyle w:val="FirstParagraph"/>
      </w:pPr>
      <w:r>
        <w:t xml:space="preserve">EL PROVEEDOR se obliga a prestar a EL CLIENTE el servicio de acceso, uso y mantenimiento de la plataforma de gestión de compras</w:t>
      </w:r>
      <w:r>
        <w:t xml:space="preserve"> </w:t>
      </w:r>
      <w:r>
        <w:t xml:space="preserve">“MisCompras”</w:t>
      </w:r>
      <w:r>
        <w:t xml:space="preserve"> </w:t>
      </w:r>
      <w:r>
        <w:t xml:space="preserve">bajo el modelo de suscripción mensual o SaaS (Software as a Service). Esto incluye la disponibilidad del sistema, provisión de la infraestructura tecnológica en la nube (Microsoft Azure), administración de la base de datos y el soporte técnico asociado.</w:t>
      </w:r>
    </w:p>
    <w:bookmarkEnd w:id="9"/>
    <w:bookmarkStart w:id="10" w:name="X71fc0339c3839c9e3831f96d4df2b0e62b56ec6"/>
    <w:p>
      <w:pPr>
        <w:pStyle w:val="Heading2"/>
      </w:pPr>
      <w:r>
        <w:t xml:space="preserve">CLÁUSULA SEGUNDA: ALCANCE DE LOS SERVICIOS Y BENEFICIOS</w:t>
      </w:r>
    </w:p>
    <w:p>
      <w:pPr>
        <w:pStyle w:val="FirstParagraph"/>
      </w:pPr>
      <w:r>
        <w:t xml:space="preserve">El servicio prestado mensual por EL PROVEEDOR incluye estrictamente lo siguiente: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Derecho de Uso (Licencia):</w:t>
      </w:r>
      <w:r>
        <w:t xml:space="preserve"> </w:t>
      </w:r>
      <w:r>
        <w:t xml:space="preserve">Licencia de acceso, no exclusiva e intransferible, para la utilización de la plataforma MisCompras durante toda la vigencia del contrato, sin necesidad de adquirir la propiedad del sistema.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Infraestructura Cloud:</w:t>
      </w:r>
      <w:r>
        <w:t xml:space="preserve"> </w:t>
      </w:r>
      <w:r>
        <w:t xml:space="preserve">Alojamiento (hosting) profesional en los servidores de Azure, asegurando óptimo rendimiento.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Mantenimiento y Seguridad Continua:</w:t>
      </w:r>
      <w:r>
        <w:t xml:space="preserve"> </w:t>
      </w:r>
      <w:r>
        <w:t xml:space="preserve">- Administración total del servidor y la base de datos.</w:t>
      </w:r>
      <w:r>
        <w:t xml:space="preserve"> </w:t>
      </w:r>
      <w:r>
        <w:t xml:space="preserve">- Ejecución de copias de seguridad (backups) diarios para prevenir la pérdida de información.</w:t>
      </w:r>
      <w:r>
        <w:t xml:space="preserve"> </w:t>
      </w:r>
      <w:r>
        <w:t xml:space="preserve">- Gestión de la seguridad informática y monitoreo de rendimiento 24/7.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Actualizaciones sin costo adicional:</w:t>
      </w:r>
      <w:r>
        <w:t xml:space="preserve"> </w:t>
      </w:r>
      <w:r>
        <w:t xml:space="preserve">Acceso inmediato a nuevas funcionalidades, mejoras de versión y corrección de bugs del software que EL PROVEEDOR despliegue para el sistema MisCompras de manera global.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Transferencia de Datos en Nube:</w:t>
      </w:r>
      <w:r>
        <w:t xml:space="preserve"> </w:t>
      </w:r>
      <w:r>
        <w:t xml:space="preserve">Los costos de infraestructura incluyen una transferencia mensual de hasta 50GB.</w:t>
      </w:r>
    </w:p>
    <w:bookmarkEnd w:id="10"/>
    <w:bookmarkStart w:id="11" w:name="cláusula-tercera-condiciones-económicas"/>
    <w:p>
      <w:pPr>
        <w:pStyle w:val="Heading2"/>
      </w:pPr>
      <w:r>
        <w:t xml:space="preserve">CLÁUSULA TERCERA: CONDICIONES ECONÓMICAS</w:t>
      </w:r>
    </w:p>
    <w:p>
      <w:pPr>
        <w:pStyle w:val="FirstParagraph"/>
      </w:pPr>
      <w:r>
        <w:t xml:space="preserve">EL CLIENTE se compromete a pagar a EL PROVEEDOR las siguientes contraprestaciones en pesos colombianos (COP):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 Inicial (Pago Único):</w:t>
      </w:r>
      <w:r>
        <w:t xml:space="preserve"> </w:t>
      </w:r>
      <w:r>
        <w:t xml:space="preserve">La suma de</w:t>
      </w:r>
      <w:r>
        <w:t xml:space="preserve"> </w:t>
      </w:r>
      <w:r>
        <w:rPr>
          <w:b/>
          <w:bCs/>
        </w:rPr>
        <w:t xml:space="preserve">$2.500.000 COP</w:t>
      </w:r>
      <w:r>
        <w:t xml:space="preserve">. Este valor se abona al</w:t>
      </w:r>
      <w:r>
        <w:t xml:space="preserve"> </w:t>
      </w:r>
      <w:r>
        <w:rPr>
          <w:b/>
          <w:bCs/>
        </w:rPr>
        <w:t xml:space="preserve">100% al inicio del proyecto</w:t>
      </w:r>
      <w:r>
        <w:t xml:space="preserve"> </w:t>
      </w:r>
      <w:r>
        <w:t xml:space="preserve">y cubre exclusivamente el despliegue técnico del software, la parametrización de bases de datos iniciales y la capacitación de los administradores y usuarios de EL CLIENTE.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Suscripción Mensual:</w:t>
      </w:r>
      <w:r>
        <w:t xml:space="preserve"> </w:t>
      </w:r>
      <w:r>
        <w:t xml:space="preserve">La suma recurrente de</w:t>
      </w:r>
      <w:r>
        <w:t xml:space="preserve"> </w:t>
      </w:r>
      <w:r>
        <w:rPr>
          <w:b/>
          <w:bCs/>
        </w:rPr>
        <w:t xml:space="preserve">$250.000 COP</w:t>
      </w:r>
      <w:r>
        <w:t xml:space="preserve">. Dicho valor garantiza el derecho de uso, el mantenimiento del servidor, la infraestructura técnica en la nube y el soporte ilimitado.</w:t>
      </w:r>
    </w:p>
    <w:bookmarkEnd w:id="11"/>
    <w:bookmarkStart w:id="12" w:name="Xbb02d348c8efdb68439a23d0f19f51ee6622b55"/>
    <w:p>
      <w:pPr>
        <w:pStyle w:val="Heading2"/>
      </w:pPr>
      <w:r>
        <w:t xml:space="preserve">CLÁUSULA CUARTA: PLAZO DE EJECUCIÓN Y PERMANENCIA MÍNIMA</w:t>
      </w:r>
    </w:p>
    <w:p>
      <w:pPr>
        <w:pStyle w:val="FirstParagraph"/>
      </w:pPr>
      <w:r>
        <w:t xml:space="preserve">El presente acuerdo tiene un término de</w:t>
      </w:r>
      <w:r>
        <w:t xml:space="preserve"> </w:t>
      </w:r>
      <w:r>
        <w:rPr>
          <w:b/>
          <w:bCs/>
        </w:rPr>
        <w:t xml:space="preserve">permanencia mínima obligatoria de doce (12) meses</w:t>
      </w:r>
      <w:r>
        <w:t xml:space="preserve">, contados a partir de la fecha de entrega y despliegue inicial de la plataforma (Setup).</w:t>
      </w:r>
      <w:r>
        <w:t xml:space="preserve"> </w:t>
      </w:r>
      <w:r>
        <w:t xml:space="preserve">Al finalizar dicho período, el servicio se renovará automáticamente por periodos de igual duración de forma sucesiva, a menos que alguna de las partes notifique su intención de no renovarlo, con un preaviso formal de al menos treinta (30) días calendario de anticipación previo al vencimiento.</w:t>
      </w:r>
    </w:p>
    <w:bookmarkEnd w:id="12"/>
    <w:bookmarkStart w:id="13" w:name="X8e979490caa35fd01f848ebb5d29aeb28b94341"/>
    <w:p>
      <w:pPr>
        <w:pStyle w:val="Heading2"/>
      </w:pPr>
      <w:r>
        <w:t xml:space="preserve">CLÁUSULA QUINTA: SUSPENSIÓN Y CORTE DEL SERVICIO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Suspensión por Mora:</w:t>
      </w:r>
      <w:r>
        <w:t xml:space="preserve"> </w:t>
      </w:r>
      <w:r>
        <w:t xml:space="preserve">El oportuno pago de la membresía es esencial para sostener los altos costos de infraestructura en la nube.</w:t>
      </w:r>
      <w:r>
        <w:t xml:space="preserve"> </w:t>
      </w:r>
      <w:r>
        <w:rPr>
          <w:b/>
          <w:bCs/>
        </w:rPr>
        <w:t xml:space="preserve">El incumplimiento o no pago de la mensualidad implicará la suspensión automática del servicio tras un acumulado de quince (15) o más días calendario de mora.</w:t>
      </w:r>
      <w:r>
        <w:t xml:space="preserve"> </w:t>
      </w:r>
      <w:r>
        <w:t xml:space="preserve">Durante la suspensión por mora, el Museo de Antioquia perderá el acceso al aplicativo hasta que se ponga al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Suspensión por Mantenimiento:</w:t>
      </w:r>
      <w:r>
        <w:t xml:space="preserve"> </w:t>
      </w:r>
      <w:r>
        <w:t xml:space="preserve">EL PROVEEDOR podrá suspender temporalmente el servicio con el propósito de llevar a cabo reparaciones o mantenimientos críticos del servidor Azure. Estos mantenimientos serán notificados y se programarán (salvo emergencias de fuerza mayor) de manera que impacten lo mínimo a la operación diaria de la entidad.</w:t>
      </w:r>
    </w:p>
    <w:bookmarkEnd w:id="13"/>
    <w:bookmarkStart w:id="14" w:name="X9656b68abdf2ef4804c4ff9a65bf357c909adef"/>
    <w:p>
      <w:pPr>
        <w:pStyle w:val="Heading2"/>
      </w:pPr>
      <w:r>
        <w:t xml:space="preserve">CLÁUSULA SEXTA: TITULARIDAD DE LA DATA Y PLAN DE DEVOLUCIÓN (EXIT PLAN)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Propiedad de los Datos:</w:t>
      </w:r>
      <w:r>
        <w:t xml:space="preserve"> </w:t>
      </w:r>
      <w:r>
        <w:t xml:space="preserve">Tanto los usuarios, como las transacciones financieras, registros, proveedores, procesos y toda la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alojada de MisCompras es de</w:t>
      </w:r>
      <w:r>
        <w:t xml:space="preserve"> </w:t>
      </w:r>
      <w:r>
        <w:rPr>
          <w:b/>
          <w:bCs/>
        </w:rPr>
        <w:t xml:space="preserve">exclusiva propiedad de EL CLIENTE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Restitución e Integridad:</w:t>
      </w:r>
      <w:r>
        <w:t xml:space="preserve"> </w:t>
      </w:r>
      <w:r>
        <w:t xml:space="preserve">En caso de no renovación o terminación por cualquier causa válida, EL PROVEEDOR garantiza</w:t>
      </w:r>
      <w:r>
        <w:t xml:space="preserve"> </w:t>
      </w:r>
      <w:r>
        <w:rPr>
          <w:b/>
          <w:bCs/>
        </w:rPr>
        <w:t xml:space="preserve">entregar de forma íntegra</w:t>
      </w:r>
      <w:r>
        <w:t xml:space="preserve"> </w:t>
      </w:r>
      <w:r>
        <w:t xml:space="preserve">la información digital alojada temporalmente en sus servidores hasta la fecha final del contrato, exportada en formatos tradicionales de base de datos o similares (csv, sql o excel). Una vez entregada y finalizado el contrato, dichos datos se depurarán definitivamente del servidor del proveedor por privacidad.</w:t>
      </w:r>
    </w:p>
    <w:bookmarkEnd w:id="14"/>
    <w:bookmarkStart w:id="15" w:name="Xf2c66b288ab7e44de7bd9e2acbd9a6445203ce2"/>
    <w:p>
      <w:pPr>
        <w:pStyle w:val="Heading2"/>
      </w:pPr>
      <w:r>
        <w:t xml:space="preserve">CLÁUSULA SÉPTIMA: PROPIEDAD INTELECTUAL Y DERECHOS DE AUTOR DEL SOFTWARE</w:t>
      </w:r>
    </w:p>
    <w:p>
      <w:pPr>
        <w:pStyle w:val="FirstParagraph"/>
      </w:pPr>
      <w:r>
        <w:t xml:space="preserve">La arquitectura, el código fuente, la lógica algorítmica y el esquema de las bases de datos funcionales subyacentes de</w:t>
      </w:r>
      <w:r>
        <w:t xml:space="preserve"> </w:t>
      </w:r>
      <w:r>
        <w:rPr>
          <w:b/>
          <w:bCs/>
        </w:rPr>
        <w:t xml:space="preserve">MisCompras</w:t>
      </w:r>
      <w:r>
        <w:t xml:space="preserve"> </w:t>
      </w:r>
      <w:r>
        <w:t xml:space="preserve">en sí están protegidos por el Derecho de Autor y son propiedad intelectual de</w:t>
      </w:r>
      <w:r>
        <w:t xml:space="preserve"> </w:t>
      </w:r>
      <w:r>
        <w:rPr>
          <w:b/>
          <w:bCs/>
        </w:rPr>
        <w:t xml:space="preserve">Dairo Moreno Rentería</w:t>
      </w:r>
      <w:r>
        <w:t xml:space="preserve">. Este contrato formaliza únicamente el usufructo del sistema como servicio temporal. Está rigurosamente prohibido y no autorizado para EL CLIENTE o sus delegados:</w:t>
      </w:r>
      <w:r>
        <w:t xml:space="preserve"> </w:t>
      </w:r>
      <w:r>
        <w:t xml:space="preserve">- Copiar, clonar, o modificar el código del aplicativo.</w:t>
      </w:r>
      <w:r>
        <w:t xml:space="preserve"> </w:t>
      </w:r>
      <w:r>
        <w:t xml:space="preserve">- Subarrendar, licenciar a terceros o revender parcial o totalmente la plataforma a entidades externas ajenas.</w:t>
      </w:r>
      <w:r>
        <w:t xml:space="preserve"> </w:t>
      </w:r>
      <w:r>
        <w:t xml:space="preserve">- Contratar ingeniería inversa sobre la propiedad industrial de MisCompras.</w:t>
      </w:r>
    </w:p>
    <w:bookmarkEnd w:id="15"/>
    <w:bookmarkStart w:id="16" w:name="X8c78f88596ed4c0b4e8f0e22dad87a584264553"/>
    <w:p>
      <w:pPr>
        <w:pStyle w:val="Heading2"/>
      </w:pPr>
      <w:r>
        <w:t xml:space="preserve">CLÁUSULA OCTAVA: SOPORTE TÉCNICO Y NIVELES DE SERVICIO (SLA)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Modalidad</w:t>
      </w:r>
      <w:r>
        <w:rPr>
          <w:b/>
          <w:bCs/>
        </w:rPr>
        <w:t xml:space="preserve"> </w:t>
      </w:r>
      <w:r>
        <w:rPr>
          <w:b/>
          <w:bCs/>
        </w:rPr>
        <w:t xml:space="preserve">‘Siempre Activo’</w:t>
      </w:r>
      <w:r>
        <w:rPr>
          <w:b/>
          <w:bCs/>
        </w:rPr>
        <w:t xml:space="preserve">:</w:t>
      </w:r>
      <w:r>
        <w:t xml:space="preserve"> </w:t>
      </w:r>
      <w:r>
        <w:t xml:space="preserve">Se brindará asistencia técnica funcional y remota permanente frente a incidencias. El soporte remoto estará siempre activo y este derecho a soporte continuará prolongado, es decir, el soporte no vence a los 2 años, sino que estará habilitado mientras la suscripción mensual exista ininterrumpida.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Priorización de Incidencias:</w:t>
      </w:r>
      <w:r>
        <w:t xml:space="preserve"> </w:t>
      </w:r>
      <w:r>
        <w:t xml:space="preserve">Se dará completa prioridad en los tiempos de respuesta para correcciones urgentes de incidencias críticas o bugs paralizantes de la aplicación, procurando restituir el servicio rápidamente y afectar al mínimo al Museo de Antioquia.</w:t>
      </w:r>
    </w:p>
    <w:bookmarkEnd w:id="16"/>
    <w:bookmarkStart w:id="17" w:name="X983cec267b4465720116c68656cf0d2ed1dd3c6"/>
    <w:p>
      <w:pPr>
        <w:pStyle w:val="Heading2"/>
      </w:pPr>
      <w:r>
        <w:t xml:space="preserve">CLÁUSULA NOVENA: OBLIGACIONES Y BUENAS PRÁCTICAS DEL CLIENTE</w:t>
      </w:r>
    </w:p>
    <w:p>
      <w:pPr>
        <w:pStyle w:val="Compact"/>
        <w:numPr>
          <w:ilvl w:val="0"/>
          <w:numId w:val="1004"/>
        </w:numPr>
      </w:pPr>
      <w:r>
        <w:t xml:space="preserve">Promover el uso correcto y legal de la plataforma por todos y cada uno de los colaboradores con credenciales.</w:t>
      </w:r>
    </w:p>
    <w:p>
      <w:pPr>
        <w:pStyle w:val="Compact"/>
        <w:numPr>
          <w:ilvl w:val="0"/>
          <w:numId w:val="1004"/>
        </w:numPr>
      </w:pPr>
      <w:r>
        <w:t xml:space="preserve">Hacer pagos oportunos dentro del marco del punto acordado y evitar cortes que perjudiquen el negocio.</w:t>
      </w:r>
    </w:p>
    <w:p>
      <w:pPr>
        <w:pStyle w:val="Compact"/>
        <w:numPr>
          <w:ilvl w:val="0"/>
          <w:numId w:val="1004"/>
        </w:numPr>
      </w:pPr>
      <w:r>
        <w:t xml:space="preserve">El uso responsable de usuarios, claves maestras y permisos delegados en roles (como administradores o líderes). Cualquier pérdida o manipulación indebida de roles internos u operaciones defectuosas dentro del ecosistema serán de absoluta responsabilidad de la entidad.</w:t>
      </w:r>
    </w:p>
    <w:bookmarkEnd w:id="17"/>
    <w:bookmarkStart w:id="18" w:name="cláusula-décima-confidencialidad"/>
    <w:p>
      <w:pPr>
        <w:pStyle w:val="Heading2"/>
      </w:pPr>
      <w:r>
        <w:t xml:space="preserve">CLÁUSULA DÉCIMA: CONFIDENCIALIDAD</w:t>
      </w:r>
    </w:p>
    <w:p>
      <w:pPr>
        <w:pStyle w:val="FirstParagraph"/>
      </w:pPr>
      <w:r>
        <w:t xml:space="preserve">Las partes y todo el equipo colaborador de MisCompras guardarán la más absoluta reserva legal sobre la información financiera, la estructura operativa, metodologías internas o transacciones registradas del respectivo asociado a la que logre acceder. Ninguna parte comercializará, informará o presentará a terceros dichos datos de operación bajo ningún motivo particular, manteniendo vigentes estos principios aún una vez terminado el presente acuerdo comercial.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constancia de aceptación e inicio formal de esta prestación de servicios digitales,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Dairo Moreno Rentería</w:t>
      </w:r>
      <w:r>
        <w:br/>
      </w:r>
      <w:r>
        <w:t xml:space="preserve">EL PROVEEDOR (MisCompras APP)</w:t>
      </w:r>
      <w:r>
        <w:t xml:space="preserve"> </w:t>
      </w:r>
      <w:r>
        <w:t xml:space="preserve">NIT: 1010094522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(Representante Legal o Delegado)</w:t>
      </w:r>
      <w:r>
        <w:br/>
      </w:r>
      <w:r>
        <w:rPr>
          <w:b/>
          <w:bCs/>
        </w:rPr>
        <w:t xml:space="preserve">MUSEO DE ANTIOQUIA</w:t>
      </w:r>
      <w:r>
        <w:t xml:space="preserve"> </w:t>
      </w:r>
      <w:r>
        <w:t xml:space="preserve">CLIENTE</w:t>
      </w:r>
      <w:r>
        <w:t xml:space="preserve"> </w:t>
      </w:r>
      <w:r>
        <w:t xml:space="preserve">NIT: 890980080-2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2026-03-04T02:04:09Z</dcterms:created>
  <dcterms:modified xsi:type="dcterms:W3CDTF">2026-03-04T02:04:09Z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