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Vectorial Cross-Section of Mathematical Language: A Cross-Civilizational Quantitative Scan from Euclid to Euler</w:t>
      </w:r>
    </w:p>
    <w:p>
      <w:pPr>
        <w:spacing w:line="336" w:lineRule="auto"/>
        <w:ind w:firstLine="283"/>
      </w:pPr>
      <w:r>
        <w:rPr>
          <w:rFonts w:ascii="Times New Roman" w:hAnsi="Times New Roman"/>
          <w:b/>
          <w:sz w:val="22"/>
        </w:rPr>
        <w:t>Author</w:t>
      </w:r>
      <w:r>
        <w:rPr>
          <w:rFonts w:ascii="Times New Roman" w:hAnsi="Times New Roman"/>
          <w:sz w:val="22"/>
        </w:rPr>
        <w:t>: Dai Rongzhen (戴荣臻)</w:t>
      </w:r>
    </w:p>
    <w:p>
      <w:pPr>
        <w:spacing w:line="336" w:lineRule="auto"/>
        <w:ind w:firstLine="283"/>
      </w:pPr>
      <w:r>
        <w:rPr>
          <w:rFonts w:ascii="Times New Roman" w:hAnsi="Times New Roman"/>
          <w:b/>
          <w:sz w:val="22"/>
        </w:rPr>
        <w:t>ORCID</w:t>
      </w:r>
      <w:r>
        <w:rPr>
          <w:rFonts w:ascii="Times New Roman" w:hAnsi="Times New Roman"/>
          <w:sz w:val="22"/>
        </w:rPr>
        <w:t>: [0009-0005-7165-0080](https://orcid.org/0009-0005-7165-0080)</w:t>
      </w:r>
    </w:p>
    <w:p>
      <w:pPr>
        <w:spacing w:line="336" w:lineRule="auto"/>
        <w:ind w:firstLine="283"/>
      </w:pPr>
      <w:r>
        <w:rPr>
          <w:rFonts w:ascii="Times New Roman" w:hAnsi="Times New Roman"/>
          <w:b/>
          <w:sz w:val="22"/>
        </w:rPr>
        <w:t>Date</w:t>
      </w:r>
      <w:r>
        <w:rPr>
          <w:rFonts w:ascii="Times New Roman" w:hAnsi="Times New Roman"/>
          <w:sz w:val="22"/>
        </w:rPr>
        <w:t>: April 2026</w:t>
      </w:r>
    </w:p>
    <w:p/>
    <w:p>
      <w:pPr>
        <w:pStyle w:val="Heading1"/>
      </w:pPr>
      <w:r>
        <w:rPr>
          <w:rFonts w:ascii="Times New Roman" w:hAnsi="Times New Roman"/>
          <w:b/>
          <w:sz w:val="30"/>
        </w:rPr>
        <w:t>Abstract</w:t>
      </w:r>
    </w:p>
    <w:p>
      <w:pPr>
        <w:spacing w:line="336" w:lineRule="auto"/>
        <w:ind w:firstLine="283"/>
      </w:pPr>
      <w:r>
        <w:rPr>
          <w:rFonts w:ascii="Times New Roman" w:hAnsi="Times New Roman"/>
          <w:sz w:val="22"/>
        </w:rPr>
        <w:t xml:space="preserve">Humans are severely lopsided animals. In sensory and physical capability we lag behind most other species, but one capability is pushed to the extreme: </w:t>
      </w:r>
      <w:r>
        <w:rPr>
          <w:rFonts w:ascii="Times New Roman" w:hAnsi="Times New Roman"/>
          <w:b/>
          <w:sz w:val="22"/>
        </w:rPr>
        <w:t>the granularity of our anxiety is exceptionally fine</w:t>
      </w:r>
      <w:r>
        <w:rPr>
          <w:rFonts w:ascii="Times New Roman" w:hAnsi="Times New Roman"/>
          <w:sz w:val="22"/>
        </w:rPr>
        <w:t xml:space="preserve"> — fine enough to need "how many more days the grain will last," "how many more feet the dike still needs," "how many years until the child comes of age." Rationality is the entropy-reduction tool for this anxiety. </w:t>
      </w:r>
      <w:r>
        <w:rPr>
          <w:rFonts w:ascii="Times New Roman" w:hAnsi="Times New Roman"/>
          <w:b/>
          <w:sz w:val="22"/>
        </w:rPr>
        <w:t>Language</w:t>
      </w:r>
      <w:r>
        <w:rPr>
          <w:rFonts w:ascii="Times New Roman" w:hAnsi="Times New Roman"/>
          <w:sz w:val="22"/>
        </w:rPr>
        <w:t xml:space="preserve"> externalizes anxiety from the individual brain into a transmissible signal; </w:t>
      </w:r>
      <w:r>
        <w:rPr>
          <w:rFonts w:ascii="Times New Roman" w:hAnsi="Times New Roman"/>
          <w:b/>
          <w:sz w:val="22"/>
        </w:rPr>
        <w:t>numbers</w:t>
      </w:r>
      <w:r>
        <w:rPr>
          <w:rFonts w:ascii="Times New Roman" w:hAnsi="Times New Roman"/>
          <w:sz w:val="22"/>
        </w:rPr>
        <w:t xml:space="preserve"> turn vague unease into precise values. But natural language is ambiguous, hazy, not verifiable. When anxiety becomes fine-grained enough to require a specific dike height, a specific plot of sown land, a specific count of border guards, natural language breaks down. </w:t>
      </w:r>
      <w:r>
        <w:rPr>
          <w:rFonts w:ascii="Times New Roman" w:hAnsi="Times New Roman"/>
          <w:b/>
          <w:sz w:val="22"/>
        </w:rPr>
        <w:t>Mathematical language emerges under this pressure as a specialized variant branching off from natural language</w:t>
      </w:r>
      <w:r>
        <w:rPr>
          <w:rFonts w:ascii="Times New Roman" w:hAnsi="Times New Roman"/>
          <w:sz w:val="22"/>
        </w:rPr>
        <w:t xml:space="preserve"> — sacrificing expressive richness in exchange for precision, reliability, and computability.</w:t>
      </w:r>
    </w:p>
    <w:p>
      <w:pPr>
        <w:spacing w:line="336" w:lineRule="auto"/>
        <w:ind w:firstLine="283"/>
      </w:pPr>
      <w:r>
        <w:rPr>
          <w:rFonts w:ascii="Times New Roman" w:hAnsi="Times New Roman"/>
          <w:sz w:val="22"/>
        </w:rPr>
        <w:t xml:space="preserve">A natural question follows: across civilizations and eras, what is the concentration of mathematical language in the textual record? Is it the exclusive province of a few elite canons, or does it permeate the wider ecology of writing? Before and after the Scientific Revolution, how does this distribution change? In the past such questions could only be answered qualitatively, through close reading of a handful of classics by historians of science. The arrival of AI text embedding models now makes it possible to </w:t>
      </w:r>
      <w:r>
        <w:rPr>
          <w:rFonts w:ascii="Times New Roman" w:hAnsi="Times New Roman"/>
          <w:b/>
          <w:sz w:val="22"/>
        </w:rPr>
        <w:t>slice these questions open quantitatively</w:t>
      </w:r>
      <w:r>
        <w:rPr>
          <w:rFonts w:ascii="Times New Roman" w:hAnsi="Times New Roman"/>
          <w:sz w:val="22"/>
        </w:rPr>
        <w:t>.</w:t>
      </w:r>
    </w:p>
    <w:p>
      <w:pPr>
        <w:spacing w:line="336" w:lineRule="auto"/>
        <w:ind w:firstLine="283"/>
      </w:pPr>
      <w:r>
        <w:rPr>
          <w:rFonts w:ascii="Times New Roman" w:hAnsi="Times New Roman"/>
          <w:sz w:val="22"/>
        </w:rPr>
        <w:t xml:space="preserve">This study uses the multilingual text embedding model </w:t>
      </w:r>
      <w:r>
        <w:rPr>
          <w:rFonts w:ascii="Times New Roman" w:hAnsi="Times New Roman"/>
          <w:b/>
          <w:sz w:val="22"/>
        </w:rPr>
        <w:t>BGE-M3</w:t>
      </w:r>
      <w:r>
        <w:rPr>
          <w:rFonts w:ascii="Times New Roman" w:hAnsi="Times New Roman"/>
          <w:sz w:val="22"/>
        </w:rPr>
        <w:t xml:space="preserve"> to scan five Western civilizational slices: </w:t>
      </w:r>
      <w:r>
        <w:rPr>
          <w:rFonts w:ascii="Times New Roman" w:hAnsi="Times New Roman"/>
          <w:b/>
          <w:sz w:val="22"/>
        </w:rPr>
        <w:t>Greek Classical + Hellenistic (339 English translations), Roman Empire (659), Renaissance 1400–1600 (365), Leibniz era 1684–1734 (983), Euler era 1740–1770 (1631)</w:t>
      </w:r>
      <w:r>
        <w:rPr>
          <w:rFonts w:ascii="Times New Roman" w:hAnsi="Times New Roman"/>
          <w:sz w:val="22"/>
        </w:rPr>
        <w:t xml:space="preserve"> — totaling </w:t>
      </w:r>
      <w:r>
        <w:rPr>
          <w:rFonts w:ascii="Times New Roman" w:hAnsi="Times New Roman"/>
          <w:b/>
          <w:sz w:val="22"/>
        </w:rPr>
        <w:t>3,977 works and 3.38 million paragraphs</w:t>
      </w:r>
      <w:r>
        <w:rPr>
          <w:rFonts w:ascii="Times New Roman" w:hAnsi="Times New Roman"/>
          <w:sz w:val="22"/>
        </w:rPr>
        <w:t xml:space="preserve">. The method: in each era we select a canonical mathematical work as the "vector center" (Euclid's </w:t>
      </w:r>
      <w:r>
        <w:rPr>
          <w:rFonts w:ascii="Times New Roman" w:hAnsi="Times New Roman"/>
          <w:i/>
          <w:sz w:val="22"/>
        </w:rPr>
        <w:t>Elements</w:t>
      </w:r>
      <w:r>
        <w:rPr>
          <w:rFonts w:ascii="Times New Roman" w:hAnsi="Times New Roman"/>
          <w:sz w:val="22"/>
        </w:rPr>
        <w:t xml:space="preserve"> for Greek and Roman; Cardano's </w:t>
      </w:r>
      <w:r>
        <w:rPr>
          <w:rFonts w:ascii="Times New Roman" w:hAnsi="Times New Roman"/>
          <w:i/>
          <w:sz w:val="22"/>
        </w:rPr>
        <w:t>Ars Magna</w:t>
      </w:r>
      <w:r>
        <w:rPr>
          <w:rFonts w:ascii="Times New Roman" w:hAnsi="Times New Roman"/>
          <w:sz w:val="22"/>
        </w:rPr>
        <w:t xml:space="preserve"> for Renaissance; Newton's </w:t>
      </w:r>
      <w:r>
        <w:rPr>
          <w:rFonts w:ascii="Times New Roman" w:hAnsi="Times New Roman"/>
          <w:i/>
          <w:sz w:val="22"/>
        </w:rPr>
        <w:t>Principia</w:t>
      </w:r>
      <w:r>
        <w:rPr>
          <w:rFonts w:ascii="Times New Roman" w:hAnsi="Times New Roman"/>
          <w:sz w:val="22"/>
        </w:rPr>
        <w:t xml:space="preserve"> for Leibniz era; Newton's </w:t>
      </w:r>
      <w:r>
        <w:rPr>
          <w:rFonts w:ascii="Times New Roman" w:hAnsi="Times New Roman"/>
          <w:i/>
          <w:sz w:val="22"/>
        </w:rPr>
        <w:t>Opticks</w:t>
      </w:r>
      <w:r>
        <w:rPr>
          <w:rFonts w:ascii="Times New Roman" w:hAnsi="Times New Roman"/>
          <w:sz w:val="22"/>
        </w:rPr>
        <w:t xml:space="preserve"> for Euler era), then scan each paragraph of every other text for its cosine similarity to this center. We use </w:t>
      </w:r>
      <w:r>
        <w:rPr>
          <w:rFonts w:ascii="Times New Roman" w:hAnsi="Times New Roman"/>
          <w:b/>
          <w:sz w:val="22"/>
        </w:rPr>
        <w:t>the proportion of paragraphs with similarity ≥ 0.6</w:t>
      </w:r>
      <w:r>
        <w:rPr>
          <w:rFonts w:ascii="Times New Roman" w:hAnsi="Times New Roman"/>
          <w:sz w:val="22"/>
        </w:rPr>
        <w:t xml:space="preserve"> as each book's "mathematical language density." Baseline tests show that the self-matching rate of the four mathematical centers ranges from 92.5% to 98.5%, confirming that the method reliably identifies mathematical-language style as a textual phenomenon.</w:t>
      </w:r>
    </w:p>
    <w:p>
      <w:pPr>
        <w:spacing w:line="336" w:lineRule="auto"/>
        <w:ind w:firstLine="283"/>
      </w:pPr>
      <w:r>
        <w:rPr>
          <w:rFonts w:ascii="Times New Roman" w:hAnsi="Times New Roman"/>
          <w:sz w:val="22"/>
        </w:rPr>
        <w:t xml:space="preserve">The results reveal </w:t>
      </w:r>
      <w:r>
        <w:rPr>
          <w:rFonts w:ascii="Times New Roman" w:hAnsi="Times New Roman"/>
          <w:b/>
          <w:sz w:val="22"/>
        </w:rPr>
        <w:t>two clear evolutionary curves</w:t>
      </w:r>
      <w:r>
        <w:rPr>
          <w:rFonts w:ascii="Times New Roman" w:hAnsi="Times New Roman"/>
          <w:sz w:val="22"/>
        </w:rPr>
        <w:t>.</w:t>
      </w:r>
    </w:p>
    <w:p>
      <w:pPr>
        <w:jc w:val="center"/>
      </w:pPr>
      <w:r>
        <w:drawing>
          <wp:inline xmlns:a="http://schemas.openxmlformats.org/drawingml/2006/main" xmlns:pic="http://schemas.openxmlformats.org/drawingml/2006/picture">
            <wp:extent cx="5400000" cy="2943472"/>
            <wp:docPr id="1" name="Picture 1"/>
            <wp:cNvGraphicFramePr>
              <a:graphicFrameLocks noChangeAspect="1"/>
            </wp:cNvGraphicFramePr>
            <a:graphic>
              <a:graphicData uri="http://schemas.openxmlformats.org/drawingml/2006/picture">
                <pic:pic>
                  <pic:nvPicPr>
                    <pic:cNvPr id="0" name="fig1_dual_curves.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Figure: Five-slice dual curve with three phases</w:t>
      </w:r>
    </w:p>
    <w:p>
      <w:pPr>
        <w:spacing w:line="336" w:lineRule="auto"/>
        <w:ind w:firstLine="283"/>
      </w:pPr>
      <w:r>
        <w:rPr>
          <w:rFonts w:ascii="Times New Roman" w:hAnsi="Times New Roman"/>
          <w:b/>
          <w:sz w:val="22"/>
        </w:rPr>
        <w:t>Vertical elite curve (Top 5 mean)</w:t>
      </w:r>
      <w:r>
        <w:rPr>
          <w:rFonts w:ascii="Times New Roman" w:hAnsi="Times New Roman"/>
          <w:sz w:val="22"/>
        </w:rPr>
        <w: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Greek</w:t>
            </w:r>
          </w:p>
        </w:tc>
        <w:tc>
          <w:tcPr>
            <w:tcW w:type="dxa" w:w="1881"/>
          </w:tcPr>
          <w:p>
            <w:pPr>
              <w:jc w:val="center"/>
            </w:pPr>
            <w:r/>
            <w:r>
              <w:rPr>
                <w:b/>
                <w:sz w:val="20"/>
              </w:rPr>
              <w:t>Roman</w:t>
            </w:r>
          </w:p>
        </w:tc>
        <w:tc>
          <w:tcPr>
            <w:tcW w:type="dxa" w:w="1881"/>
          </w:tcPr>
          <w:p>
            <w:pPr>
              <w:jc w:val="center"/>
            </w:pPr>
            <w:r/>
            <w:r>
              <w:rPr>
                <w:b/>
                <w:sz w:val="20"/>
              </w:rPr>
              <w:t>Renaissance</w:t>
            </w:r>
          </w:p>
        </w:tc>
        <w:tc>
          <w:tcPr>
            <w:tcW w:type="dxa" w:w="1881"/>
          </w:tcPr>
          <w:p>
            <w:pPr>
              <w:jc w:val="center"/>
            </w:pPr>
            <w:r/>
            <w:r>
              <w:rPr>
                <w:b/>
                <w:sz w:val="20"/>
              </w:rPr>
              <w:t>Leibniz</w:t>
            </w:r>
          </w:p>
        </w:tc>
        <w:tc>
          <w:tcPr>
            <w:tcW w:type="dxa" w:w="1881"/>
          </w:tcPr>
          <w:p>
            <w:pPr>
              <w:jc w:val="center"/>
            </w:pPr>
            <w:r/>
            <w:r>
              <w:rPr>
                <w:b/>
                <w:sz w:val="20"/>
              </w:rPr>
              <w:t>Euler</w:t>
            </w:r>
          </w:p>
        </w:tc>
      </w:tr>
      <w:tr>
        <w:tc>
          <w:tcPr>
            <w:tcW w:type="dxa" w:w="1881"/>
          </w:tcPr>
          <w:p>
            <w:pPr>
              <w:jc w:val="center"/>
            </w:pPr>
            <w:r/>
            <w:r>
              <w:rPr>
                <w:sz w:val="19"/>
              </w:rPr>
              <w:t>61.1%</w:t>
            </w:r>
          </w:p>
        </w:tc>
        <w:tc>
          <w:tcPr>
            <w:tcW w:type="dxa" w:w="1881"/>
          </w:tcPr>
          <w:p>
            <w:pPr>
              <w:jc w:val="center"/>
            </w:pPr>
            <w:r/>
            <w:r>
              <w:rPr>
                <w:sz w:val="19"/>
              </w:rPr>
              <w:t>47.4%</w:t>
            </w:r>
          </w:p>
        </w:tc>
        <w:tc>
          <w:tcPr>
            <w:tcW w:type="dxa" w:w="1881"/>
          </w:tcPr>
          <w:p>
            <w:pPr>
              <w:jc w:val="center"/>
            </w:pPr>
            <w:r/>
            <w:r>
              <w:rPr>
                <w:sz w:val="19"/>
              </w:rPr>
              <w:t>41.6%</w:t>
            </w:r>
          </w:p>
        </w:tc>
        <w:tc>
          <w:tcPr>
            <w:tcW w:type="dxa" w:w="1881"/>
          </w:tcPr>
          <w:p>
            <w:pPr>
              <w:jc w:val="center"/>
            </w:pPr>
            <w:r/>
            <w:r>
              <w:rPr>
                <w:b/>
                <w:sz w:val="19"/>
              </w:rPr>
              <w:t>89.6%</w:t>
            </w:r>
          </w:p>
        </w:tc>
        <w:tc>
          <w:tcPr>
            <w:tcW w:type="dxa" w:w="1881"/>
          </w:tcPr>
          <w:p>
            <w:pPr>
              <w:jc w:val="center"/>
            </w:pPr>
            <w:r/>
            <w:r>
              <w:rPr>
                <w:b/>
                <w:sz w:val="19"/>
              </w:rPr>
              <w:t>90.9%</w:t>
            </w:r>
          </w:p>
        </w:tc>
      </w:tr>
    </w:tbl>
    <w:p>
      <w:pPr>
        <w:spacing w:line="336" w:lineRule="auto"/>
        <w:ind w:firstLine="283"/>
      </w:pPr>
      <w:r>
        <w:rPr>
          <w:rFonts w:ascii="Times New Roman" w:hAnsi="Times New Roman"/>
          <w:sz w:val="22"/>
        </w:rPr>
        <w:t>The curve is U-shaped — the bottom, counterintuitively, lies in the Renaissance rather than Rome. A sharp jump occurs around 1600, with the elite level leaping from 42% to 90%, and remaining stable afterwards.</w:t>
      </w:r>
    </w:p>
    <w:p>
      <w:pPr>
        <w:spacing w:line="336" w:lineRule="auto"/>
        <w:ind w:firstLine="283"/>
      </w:pPr>
      <w:r>
        <w:rPr>
          <w:rFonts w:ascii="Times New Roman" w:hAnsi="Times New Roman"/>
          <w:b/>
          <w:sz w:val="22"/>
        </w:rPr>
        <w:t>Horizontal popularization curve (median)</w:t>
      </w:r>
      <w:r>
        <w:rPr>
          <w:rFonts w:ascii="Times New Roman" w:hAnsi="Times New Roman"/>
          <w:sz w:val="22"/>
        </w:rPr>
        <w: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Greek</w:t>
            </w:r>
          </w:p>
        </w:tc>
        <w:tc>
          <w:tcPr>
            <w:tcW w:type="dxa" w:w="1881"/>
          </w:tcPr>
          <w:p>
            <w:pPr>
              <w:jc w:val="center"/>
            </w:pPr>
            <w:r/>
            <w:r>
              <w:rPr>
                <w:b/>
                <w:sz w:val="20"/>
              </w:rPr>
              <w:t>Roman</w:t>
            </w:r>
          </w:p>
        </w:tc>
        <w:tc>
          <w:tcPr>
            <w:tcW w:type="dxa" w:w="1881"/>
          </w:tcPr>
          <w:p>
            <w:pPr>
              <w:jc w:val="center"/>
            </w:pPr>
            <w:r/>
            <w:r>
              <w:rPr>
                <w:b/>
                <w:sz w:val="20"/>
              </w:rPr>
              <w:t>Renaissance</w:t>
            </w:r>
          </w:p>
        </w:tc>
        <w:tc>
          <w:tcPr>
            <w:tcW w:type="dxa" w:w="1881"/>
          </w:tcPr>
          <w:p>
            <w:pPr>
              <w:jc w:val="center"/>
            </w:pPr>
            <w:r/>
            <w:r>
              <w:rPr>
                <w:b/>
                <w:sz w:val="20"/>
              </w:rPr>
              <w:t>Leibniz</w:t>
            </w:r>
          </w:p>
        </w:tc>
        <w:tc>
          <w:tcPr>
            <w:tcW w:type="dxa" w:w="1881"/>
          </w:tcPr>
          <w:p>
            <w:pPr>
              <w:jc w:val="center"/>
            </w:pPr>
            <w:r/>
            <w:r>
              <w:rPr>
                <w:b/>
                <w:sz w:val="20"/>
              </w:rPr>
              <w:t>Euler</w:t>
            </w:r>
          </w:p>
        </w:tc>
      </w:tr>
      <w:tr>
        <w:tc>
          <w:tcPr>
            <w:tcW w:type="dxa" w:w="1881"/>
          </w:tcPr>
          <w:p>
            <w:pPr>
              <w:jc w:val="center"/>
            </w:pPr>
            <w:r/>
            <w:r>
              <w:rPr>
                <w:sz w:val="19"/>
              </w:rPr>
              <w:t>0.31%</w:t>
            </w:r>
          </w:p>
        </w:tc>
        <w:tc>
          <w:tcPr>
            <w:tcW w:type="dxa" w:w="1881"/>
          </w:tcPr>
          <w:p>
            <w:pPr>
              <w:jc w:val="center"/>
            </w:pPr>
            <w:r/>
            <w:r>
              <w:rPr>
                <w:sz w:val="19"/>
              </w:rPr>
              <w:t>0.00%</w:t>
            </w:r>
          </w:p>
        </w:tc>
        <w:tc>
          <w:tcPr>
            <w:tcW w:type="dxa" w:w="1881"/>
          </w:tcPr>
          <w:p>
            <w:pPr>
              <w:jc w:val="center"/>
            </w:pPr>
            <w:r/>
            <w:r>
              <w:rPr>
                <w:sz w:val="19"/>
              </w:rPr>
              <w:t>0.00%</w:t>
            </w:r>
          </w:p>
        </w:tc>
        <w:tc>
          <w:tcPr>
            <w:tcW w:type="dxa" w:w="1881"/>
          </w:tcPr>
          <w:p>
            <w:pPr>
              <w:jc w:val="center"/>
            </w:pPr>
            <w:r/>
            <w:r>
              <w:rPr>
                <w:b/>
                <w:sz w:val="19"/>
              </w:rPr>
              <w:t>6.84%</w:t>
            </w:r>
          </w:p>
        </w:tc>
        <w:tc>
          <w:tcPr>
            <w:tcW w:type="dxa" w:w="1881"/>
          </w:tcPr>
          <w:p>
            <w:pPr>
              <w:jc w:val="center"/>
            </w:pPr>
            <w:r/>
            <w:r>
              <w:rPr>
                <w:b/>
                <w:sz w:val="19"/>
              </w:rPr>
              <w:t>3.12%</w:t>
            </w:r>
          </w:p>
        </w:tc>
      </w:tr>
    </w:tbl>
    <w:p>
      <w:pPr>
        <w:spacing w:line="336" w:lineRule="auto"/>
        <w:ind w:firstLine="283"/>
      </w:pPr>
      <w:r>
        <w:rPr>
          <w:rFonts w:ascii="Times New Roman" w:hAnsi="Times New Roman"/>
          <w:sz w:val="22"/>
        </w:rPr>
        <w:t xml:space="preserve">Before 1600 this curve is </w:t>
      </w:r>
      <w:r>
        <w:rPr>
          <w:rFonts w:ascii="Times New Roman" w:hAnsi="Times New Roman"/>
          <w:b/>
          <w:sz w:val="22"/>
        </w:rPr>
        <w:t>flat at zero</w:t>
      </w:r>
      <w:r>
        <w:rPr>
          <w:rFonts w:ascii="Times New Roman" w:hAnsi="Times New Roman"/>
          <w:sz w:val="22"/>
        </w:rPr>
        <w:t xml:space="preserve"> — if you picked any book at random from any of those eras, the most likely mathematical-language density is zero. In the Leibniz era the median first crosses zero, reaching 6.84%. In the Euler era it falls back to 3.12%, but does not return to zero.</w:t>
      </w:r>
    </w:p>
    <w:p>
      <w:pPr>
        <w:spacing w:line="336" w:lineRule="auto"/>
        <w:ind w:firstLine="283"/>
      </w:pPr>
      <w:r>
        <w:rPr>
          <w:rFonts w:ascii="Times New Roman" w:hAnsi="Times New Roman"/>
          <w:sz w:val="22"/>
        </w:rPr>
        <w:t>Read together, the two curves reveal a three-stage sequence:</w:t>
      </w:r>
    </w:p>
    <w:p>
      <w:pPr>
        <w:pStyle w:val="ListBullet"/>
      </w:pPr>
      <w:r>
        <w:rPr>
          <w:rFonts w:ascii="Times New Roman" w:hAnsi="Times New Roman"/>
          <w:b/>
          <w:sz w:val="22"/>
        </w:rPr>
        <w:t>Isolated Peaks (Greek–Renaissance)</w:t>
      </w:r>
      <w:r>
        <w:rPr>
          <w:rFonts w:ascii="Times New Roman" w:hAnsi="Times New Roman"/>
          <w:sz w:val="22"/>
        </w:rPr>
        <w:t>: Euclid, Plato, Cardano stand alone — below them lies an expanse of 0%. Mathematics is the business of a very few.</w:t>
      </w:r>
    </w:p>
    <w:p>
      <w:pPr>
        <w:pStyle w:val="ListBullet"/>
      </w:pPr>
      <w:r>
        <w:rPr>
          <w:rFonts w:ascii="Times New Roman" w:hAnsi="Times New Roman"/>
          <w:b/>
          <w:sz w:val="22"/>
        </w:rPr>
        <w:t>Stratified Layer (Leibniz era)</w:t>
      </w:r>
      <w:r>
        <w:rPr>
          <w:rFonts w:ascii="Times New Roman" w:hAnsi="Times New Roman"/>
          <w:sz w:val="22"/>
        </w:rPr>
        <w:t>: Newton, Huygens, Spinoza, Galileo, Bacon, Locke, Boyle, Hooke form a continuous high plateau, with Top 10 scores all above 77%. An entire scientific community starts sharing a common language. Typical texts take on mathematical coloration for the first time.</w:t>
      </w:r>
    </w:p>
    <w:p>
      <w:pPr>
        <w:pStyle w:val="ListBullet"/>
      </w:pPr>
      <w:r>
        <w:rPr>
          <w:rFonts w:ascii="Times New Roman" w:hAnsi="Times New Roman"/>
          <w:b/>
          <w:sz w:val="22"/>
        </w:rPr>
        <w:t>Diluted Stratum (Euler era)</w:t>
      </w:r>
      <w:r>
        <w:rPr>
          <w:rFonts w:ascii="Times New Roman" w:hAnsi="Times New Roman"/>
          <w:sz w:val="22"/>
        </w:rPr>
        <w:t>: The Top 5 continues to climb, but the median is cut in half. Elites are still there — the mass-market publication industry just expanded faster than the scientific community.</w:t>
      </w:r>
    </w:p>
    <w:p>
      <w:pPr>
        <w:spacing w:line="336" w:lineRule="auto"/>
        <w:ind w:firstLine="283"/>
      </w:pPr>
      <w:r>
        <w:rPr>
          <w:rFonts w:ascii="Times New Roman" w:hAnsi="Times New Roman"/>
          <w:sz w:val="22"/>
        </w:rPr>
        <w:t xml:space="preserve">The most important quantitative finding of this study is </w:t>
      </w:r>
      <w:r>
        <w:rPr>
          <w:rFonts w:ascii="Times New Roman" w:hAnsi="Times New Roman"/>
          <w:b/>
          <w:sz w:val="22"/>
        </w:rPr>
        <w:t>the jump in the median from 0 to 6.84%</w:t>
      </w:r>
      <w:r>
        <w:rPr>
          <w:rFonts w:ascii="Times New Roman" w:hAnsi="Times New Roman"/>
          <w:sz w:val="22"/>
        </w:rPr>
        <w:t xml:space="preserve">. The traditional narrative of the Scientific Revolution centers on Newton, Galileo, Descartes, and a handful of other heroes; our data reveals the other face of the revolution — not that the Top 5 rose (Greek's Top 5 was already high), but that </w:t>
      </w:r>
      <w:r>
        <w:rPr>
          <w:rFonts w:ascii="Times New Roman" w:hAnsi="Times New Roman"/>
          <w:b/>
          <w:sz w:val="22"/>
        </w:rPr>
        <w:t>the zero floor was broken</w:t>
      </w:r>
      <w:r>
        <w:rPr>
          <w:rFonts w:ascii="Times New Roman" w:hAnsi="Times New Roman"/>
          <w:sz w:val="22"/>
        </w:rPr>
        <w:t>. Mathematical language transformed from isolated peaks into a geological stratum.</w:t>
      </w:r>
    </w:p>
    <w:p>
      <w:pPr>
        <w:spacing w:line="336" w:lineRule="auto"/>
        <w:ind w:firstLine="283"/>
      </w:pPr>
      <w:r>
        <w:rPr>
          <w:rFonts w:ascii="Times New Roman" w:hAnsi="Times New Roman"/>
          <w:sz w:val="22"/>
        </w:rPr>
        <w:t xml:space="preserve">The main limitations of this study: all texts are English translations (translator style affects absolute values); Gutenberg and Perseus samples do not equal the real historical reading ecosystem; the method identifies </w:t>
      </w:r>
      <w:r>
        <w:rPr>
          <w:rFonts w:ascii="Times New Roman" w:hAnsi="Times New Roman"/>
          <w:b/>
          <w:sz w:val="22"/>
        </w:rPr>
        <w:t>textual style, not mathematical substance</w:t>
      </w:r>
      <w:r>
        <w:rPr>
          <w:rFonts w:ascii="Times New Roman" w:hAnsi="Times New Roman"/>
          <w:sz w:val="22"/>
        </w:rPr>
        <w:t xml:space="preserve"> (Spinoza's </w:t>
      </w:r>
      <w:r>
        <w:rPr>
          <w:rFonts w:ascii="Times New Roman" w:hAnsi="Times New Roman"/>
          <w:i/>
          <w:sz w:val="22"/>
        </w:rPr>
        <w:t>Ethics</w:t>
      </w:r>
      <w:r>
        <w:rPr>
          <w:rFonts w:ascii="Times New Roman" w:hAnsi="Times New Roman"/>
          <w:sz w:val="22"/>
        </w:rPr>
        <w:t xml:space="preserve"> scores 89% mathematical only because it mimics the "definition–axiom–proposition–proof" form of Euclid — its content is metaphysics). These limitations mean conclusions should be read mainly as </w:t>
      </w:r>
      <w:r>
        <w:rPr>
          <w:rFonts w:ascii="Times New Roman" w:hAnsi="Times New Roman"/>
          <w:b/>
          <w:sz w:val="22"/>
        </w:rPr>
        <w:t>relative relationships</w:t>
      </w:r>
      <w:r>
        <w:rPr>
          <w:rFonts w:ascii="Times New Roman" w:hAnsi="Times New Roman"/>
          <w:sz w:val="22"/>
        </w:rPr>
        <w:t>, not absolute claims.</w:t>
      </w:r>
    </w:p>
    <w:p>
      <w:pPr>
        <w:spacing w:line="336" w:lineRule="auto"/>
        <w:ind w:firstLine="283"/>
      </w:pPr>
      <w:r>
        <w:rPr>
          <w:rFonts w:ascii="Times New Roman" w:hAnsi="Times New Roman"/>
          <w:sz w:val="22"/>
        </w:rPr>
        <w:t xml:space="preserve">The contributions of this work are threefold: (1) it offers a reproducible, extensible quantitative method for cross-civilizational textual analysis; (2) with the </w:t>
      </w:r>
      <w:r>
        <w:rPr>
          <w:rFonts w:ascii="Times New Roman" w:hAnsi="Times New Roman"/>
          <w:b/>
          <w:sz w:val="22"/>
        </w:rPr>
        <w:t>median jump</w:t>
      </w:r>
      <w:r>
        <w:rPr>
          <w:rFonts w:ascii="Times New Roman" w:hAnsi="Times New Roman"/>
          <w:sz w:val="22"/>
        </w:rPr>
        <w:t xml:space="preserve"> at its center, it provides a new quantitative characterization of the "Scientific Revolution"; (3) it offers quantitative evidence of the </w:t>
      </w:r>
      <w:r>
        <w:rPr>
          <w:rFonts w:ascii="Times New Roman" w:hAnsi="Times New Roman"/>
          <w:b/>
          <w:sz w:val="22"/>
        </w:rPr>
        <w:t>dilution phenomenon</w:t>
      </w:r>
      <w:r>
        <w:rPr>
          <w:rFonts w:ascii="Times New Roman" w:hAnsi="Times New Roman"/>
          <w:sz w:val="22"/>
        </w:rPr>
        <w:t xml:space="preserve"> in the print era.</w:t>
      </w:r>
    </w:p>
    <w:p>
      <w:pPr>
        <w:spacing w:line="336" w:lineRule="auto"/>
        <w:ind w:firstLine="283"/>
      </w:pPr>
      <w:r>
        <w:rPr>
          <w:rFonts w:ascii="Times New Roman" w:hAnsi="Times New Roman"/>
          <w:b/>
          <w:sz w:val="22"/>
        </w:rPr>
        <w:t>Keywords</w:t>
      </w:r>
      <w:r>
        <w:rPr>
          <w:rFonts w:ascii="Times New Roman" w:hAnsi="Times New Roman"/>
          <w:sz w:val="22"/>
        </w:rPr>
        <w:t>: digital humanities, text embeddings, Scientific Revolution, mathematical language, BGE-M3, textual stratigraphy</w:t>
      </w:r>
    </w:p>
    <w:p/>
    <w:p>
      <w:pPr>
        <w:pStyle w:val="Heading1"/>
      </w:pPr>
      <w:r>
        <w:rPr>
          <w:rFonts w:ascii="Times New Roman" w:hAnsi="Times New Roman"/>
          <w:b/>
          <w:sz w:val="30"/>
        </w:rPr>
        <w:t>1. Research Motivation</w:t>
      </w:r>
    </w:p>
    <w:p>
      <w:pPr>
        <w:pStyle w:val="Heading2"/>
      </w:pPr>
      <w:r>
        <w:rPr>
          <w:rFonts w:ascii="Times New Roman" w:hAnsi="Times New Roman"/>
          <w:b/>
          <w:sz w:val="25"/>
        </w:rPr>
        <w:t>1.1 How Anxiety Became Numbers</w:t>
      </w:r>
    </w:p>
    <w:p>
      <w:pPr>
        <w:spacing w:line="336" w:lineRule="auto"/>
        <w:ind w:firstLine="283"/>
      </w:pPr>
      <w:r>
        <w:rPr>
          <w:rFonts w:ascii="Times New Roman" w:hAnsi="Times New Roman"/>
          <w:sz w:val="22"/>
        </w:rPr>
        <w:t>Humans are severely lopsided animals. Our senses and physical abilities fall short of most animals — our sight is inferior to a hawk's, our smell to a dog's, our speed to a wolf's. But there is one capacity in which we score at the top: the granularity of our anxiety is exceptionally fine. Other animals have fear; human anxiety can be precise to "how many days the grain will last," "how many feet the dike is short by," "how many years until the child comes of age."</w:t>
      </w:r>
    </w:p>
    <w:p>
      <w:pPr>
        <w:spacing w:line="336" w:lineRule="auto"/>
        <w:ind w:firstLine="283"/>
      </w:pPr>
      <w:r>
        <w:rPr>
          <w:rFonts w:ascii="Times New Roman" w:hAnsi="Times New Roman"/>
          <w:sz w:val="22"/>
        </w:rPr>
        <w:t xml:space="preserve">This high-resolution anxiety is the ground of rationality. People did not develop rationality first and then use it to quantify the world — they quantify because without quantification they are uneasy, and rationality grew out of the need to reduce that unease. Rationality is the entropy-reduction tool for anxiety. But anxiety in a single brain is only vague unease; to become a world-changing force it needs two externalization channels: </w:t>
      </w:r>
      <w:r>
        <w:rPr>
          <w:rFonts w:ascii="Times New Roman" w:hAnsi="Times New Roman"/>
          <w:b/>
          <w:sz w:val="22"/>
        </w:rPr>
        <w:t>language</w:t>
      </w:r>
      <w:r>
        <w:rPr>
          <w:rFonts w:ascii="Times New Roman" w:hAnsi="Times New Roman"/>
          <w:sz w:val="22"/>
        </w:rPr>
        <w:t xml:space="preserve"> lifts anxiety out of the individual brain into a transmissible signal, and </w:t>
      </w:r>
      <w:r>
        <w:rPr>
          <w:rFonts w:ascii="Times New Roman" w:hAnsi="Times New Roman"/>
          <w:b/>
          <w:sz w:val="22"/>
        </w:rPr>
        <w:t>numbers</w:t>
      </w:r>
      <w:r>
        <w:rPr>
          <w:rFonts w:ascii="Times New Roman" w:hAnsi="Times New Roman"/>
          <w:sz w:val="22"/>
        </w:rPr>
        <w:t xml:space="preserve"> convert anxiety from vague to precise — "danger" becomes "three wolves," "winter is coming" becomes "forty days away."</w:t>
      </w:r>
    </w:p>
    <w:p>
      <w:pPr>
        <w:spacing w:line="336" w:lineRule="auto"/>
        <w:ind w:firstLine="283"/>
      </w:pPr>
      <w:r>
        <w:rPr>
          <w:rFonts w:ascii="Times New Roman" w:hAnsi="Times New Roman"/>
          <w:sz w:val="22"/>
        </w:rPr>
        <w:t>Language has intrinsic defects: ambiguity, haze, imprecision, unverifiability. "Many" cannot be used to build a dike; "roughly" cannot be used to divide grain; "early" cannot be used to set the calendar. When anxiety becomes fine-grained enough to demand specific dike heights, specific planted fields, specific numbers of border guards, natural language fails immediately. Mathematical language emerges under this pressure — it is a specialized variant that branches off from natural language, sacrificing expressive richness in exchange for unambiguous precision, verifiable reliability, and computable inference.</w:t>
      </w:r>
    </w:p>
    <w:p>
      <w:pPr>
        <w:spacing w:line="336" w:lineRule="auto"/>
        <w:ind w:firstLine="283"/>
      </w:pPr>
      <w:r>
        <w:rPr>
          <w:rFonts w:ascii="Times New Roman" w:hAnsi="Times New Roman"/>
          <w:sz w:val="22"/>
        </w:rPr>
        <w:t xml:space="preserve">Euclid's </w:t>
      </w:r>
      <w:r>
        <w:rPr>
          <w:rFonts w:ascii="Times New Roman" w:hAnsi="Times New Roman"/>
          <w:i/>
          <w:sz w:val="22"/>
        </w:rPr>
        <w:t>Elements</w:t>
      </w:r>
      <w:r>
        <w:rPr>
          <w:rFonts w:ascii="Times New Roman" w:hAnsi="Times New Roman"/>
          <w:sz w:val="22"/>
        </w:rPr>
        <w:t xml:space="preserve">, the </w:t>
      </w:r>
      <w:r>
        <w:rPr>
          <w:rFonts w:ascii="Times New Roman" w:hAnsi="Times New Roman"/>
          <w:i/>
          <w:sz w:val="22"/>
        </w:rPr>
        <w:t>Nine Chapters on the Mathematical Art</w:t>
      </w:r>
      <w:r>
        <w:rPr>
          <w:rFonts w:ascii="Times New Roman" w:hAnsi="Times New Roman"/>
          <w:sz w:val="22"/>
        </w:rPr>
        <w:t xml:space="preserve">, </w:t>
      </w:r>
      <w:r>
        <w:rPr>
          <w:rFonts w:ascii="Times New Roman" w:hAnsi="Times New Roman"/>
          <w:i/>
          <w:sz w:val="22"/>
        </w:rPr>
        <w:t>Ars Magna</w:t>
      </w:r>
      <w:r>
        <w:rPr>
          <w:rFonts w:ascii="Times New Roman" w:hAnsi="Times New Roman"/>
          <w:sz w:val="22"/>
        </w:rPr>
        <w:t xml:space="preserve">, </w:t>
      </w:r>
      <w:r>
        <w:rPr>
          <w:rFonts w:ascii="Times New Roman" w:hAnsi="Times New Roman"/>
          <w:i/>
          <w:sz w:val="22"/>
        </w:rPr>
        <w:t>Principia</w:t>
      </w:r>
      <w:r>
        <w:rPr>
          <w:rFonts w:ascii="Times New Roman" w:hAnsi="Times New Roman"/>
          <w:sz w:val="22"/>
        </w:rPr>
        <w:t xml:space="preserve"> — these canons did not appear as cultural miracles out of nowhere. They are the crystallized products of anxiety evolved to a certain precision. The accumulated mathematical-text density of a civilization is, in essence, the fossil record of that civilization's anxiety-granularity.</w:t>
      </w:r>
    </w:p>
    <w:p>
      <w:pPr>
        <w:pStyle w:val="Heading2"/>
      </w:pPr>
      <w:r>
        <w:rPr>
          <w:rFonts w:ascii="Times New Roman" w:hAnsi="Times New Roman"/>
          <w:b/>
          <w:sz w:val="25"/>
        </w:rPr>
        <w:t>1.2 From Philosophical Proposition to Testable Question</w:t>
      </w:r>
    </w:p>
    <w:p>
      <w:pPr>
        <w:spacing w:line="336" w:lineRule="auto"/>
        <w:ind w:firstLine="283"/>
      </w:pPr>
      <w:r>
        <w:rPr>
          <w:rFonts w:ascii="Times New Roman" w:hAnsi="Times New Roman"/>
          <w:sz w:val="22"/>
        </w:rPr>
        <w:t>If mathematical language is the fossilized record of evolving anxiety, then the density of mathematical text in different civilizations and eras should tell us how fine-grained the anxieties of those people became — how precisely they had to plan dikes, how strictly they needed to lay out projects, how carefully they had to reason through logic.</w:t>
      </w:r>
    </w:p>
    <w:p>
      <w:pPr>
        <w:spacing w:line="336" w:lineRule="auto"/>
        <w:ind w:firstLine="283"/>
      </w:pPr>
      <w:r>
        <w:rPr>
          <w:rFonts w:ascii="Times New Roman" w:hAnsi="Times New Roman"/>
          <w:sz w:val="22"/>
        </w:rPr>
        <w:t>The question is how to measure it. Traditionally, we rely on reading — close reading of a few key canons, with judgment based on intuition. This mode reaches only the summit texts and misses the wider ecology; it is also subjective, with different scholars reading the same book and drawing different conclusions, and results that cannot be independently verified.</w:t>
      </w:r>
    </w:p>
    <w:p>
      <w:pPr>
        <w:spacing w:line="336" w:lineRule="auto"/>
        <w:ind w:firstLine="283"/>
      </w:pPr>
      <w:r>
        <w:rPr>
          <w:rFonts w:ascii="Times New Roman" w:hAnsi="Times New Roman"/>
          <w:sz w:val="22"/>
        </w:rPr>
        <w:t xml:space="preserve">We want a different mode: </w:t>
      </w:r>
      <w:r>
        <w:rPr>
          <w:rFonts w:ascii="Times New Roman" w:hAnsi="Times New Roman"/>
          <w:b/>
          <w:sz w:val="22"/>
        </w:rPr>
        <w:t>a quantitative, verifiable, cross-temporally comparable indicator</w:t>
      </w:r>
      <w:r>
        <w:rPr>
          <w:rFonts w:ascii="Times New Roman" w:hAnsi="Times New Roman"/>
          <w:sz w:val="22"/>
        </w:rPr>
        <w:t>. If we had a ruler that, given any two paragraphs of text, could compute their "distance" along the dimension of mathematical language, we could slice open any era and observe its distribution — how high the elite layer is, how much the typical layer contains, how it changes over time.</w:t>
      </w:r>
    </w:p>
    <w:p>
      <w:pPr>
        <w:spacing w:line="336" w:lineRule="auto"/>
        <w:ind w:firstLine="283"/>
      </w:pPr>
      <w:r>
        <w:rPr>
          <w:rFonts w:ascii="Times New Roman" w:hAnsi="Times New Roman"/>
          <w:sz w:val="22"/>
        </w:rPr>
        <w:t xml:space="preserve">That is how the philosophical proposition "mathematical language is the fossil of anxiety" becomes a testable research question: </w:t>
      </w:r>
      <w:r>
        <w:rPr>
          <w:rFonts w:ascii="Times New Roman" w:hAnsi="Times New Roman"/>
          <w:b/>
          <w:sz w:val="22"/>
        </w:rPr>
        <w:t>build the ruler, slice the cross-section, read the distribution.</w:t>
      </w:r>
    </w:p>
    <w:p>
      <w:pPr>
        <w:pStyle w:val="Heading2"/>
      </w:pPr>
      <w:r>
        <w:rPr>
          <w:rFonts w:ascii="Times New Roman" w:hAnsi="Times New Roman"/>
          <w:b/>
          <w:sz w:val="25"/>
        </w:rPr>
        <w:t>1.3 Feasibility with AI Embedding Models</w:t>
      </w:r>
    </w:p>
    <w:p>
      <w:pPr>
        <w:spacing w:line="336" w:lineRule="auto"/>
        <w:ind w:firstLine="283"/>
      </w:pPr>
      <w:r>
        <w:rPr>
          <w:rFonts w:ascii="Times New Roman" w:hAnsi="Times New Roman"/>
          <w:sz w:val="22"/>
        </w:rPr>
        <w:t>Ten years ago this problem could not be attacked. To quantify "the stylistic distance between two passages of text," one needs a tool that maps arbitrary text into a numerical space. Traditional bag-of-words models (like TF-IDF) partially address this but only see word frequencies, not meaning — "circle" and "圆" are, to them, two unrelated words.</w:t>
      </w:r>
    </w:p>
    <w:p>
      <w:pPr>
        <w:spacing w:line="336" w:lineRule="auto"/>
        <w:ind w:firstLine="283"/>
      </w:pPr>
      <w:r>
        <w:rPr>
          <w:rFonts w:ascii="Times New Roman" w:hAnsi="Times New Roman"/>
          <w:sz w:val="22"/>
        </w:rPr>
        <w:t xml:space="preserve">Since 2018 the deep-learning text-embedding models (BERT, the GPT and T5 embedding layers) have solved this. They map a passage of text into a high-dimensional vector space in which semantically close passages are close to each other. The 2024 model </w:t>
      </w:r>
      <w:r>
        <w:rPr>
          <w:rFonts w:ascii="Times New Roman" w:hAnsi="Times New Roman"/>
          <w:b/>
          <w:sz w:val="22"/>
        </w:rPr>
        <w:t>BGE-M3</w:t>
      </w:r>
      <w:r>
        <w:rPr>
          <w:rFonts w:ascii="Times New Roman" w:hAnsi="Times New Roman"/>
          <w:sz w:val="22"/>
        </w:rPr>
        <w:t xml:space="preserve"> from Beijing Academy of Artificial Intelligence (BAAI) is among the most capable in this generation for multilingual and long-text support (see Chapter 2).</w:t>
      </w:r>
    </w:p>
    <w:p>
      <w:pPr>
        <w:spacing w:line="336" w:lineRule="auto"/>
        <w:ind w:firstLine="283"/>
      </w:pPr>
      <w:r>
        <w:rPr>
          <w:rFonts w:ascii="Times New Roman" w:hAnsi="Times New Roman"/>
          <w:sz w:val="22"/>
        </w:rPr>
        <w:t>This study uses BGE-M3 to do one simple thing: encode each era's canonical mathematical work into a "vector center," then scan every other text paragraph of the era to see how close to this center it lies. That turns the vague feeling of "does this read like mathematics" into a computable number.</w:t>
      </w:r>
    </w:p>
    <w:p>
      <w:pPr>
        <w:pStyle w:val="Heading2"/>
      </w:pPr>
      <w:r>
        <w:rPr>
          <w:rFonts w:ascii="Times New Roman" w:hAnsi="Times New Roman"/>
          <w:b/>
          <w:sz w:val="25"/>
        </w:rPr>
        <w:t>1.4 Research Questions</w:t>
      </w:r>
    </w:p>
    <w:p>
      <w:pPr>
        <w:spacing w:line="336" w:lineRule="auto"/>
        <w:ind w:firstLine="283"/>
      </w:pPr>
      <w:r>
        <w:rPr>
          <w:rFonts w:ascii="Times New Roman" w:hAnsi="Times New Roman"/>
          <w:sz w:val="22"/>
        </w:rPr>
        <w:t>We ask three layered questions:</w:t>
      </w:r>
    </w:p>
    <w:p>
      <w:pPr>
        <w:spacing w:line="336" w:lineRule="auto"/>
        <w:ind w:firstLine="283"/>
      </w:pPr>
      <w:r>
        <w:rPr>
          <w:rFonts w:ascii="Times New Roman" w:hAnsi="Times New Roman"/>
          <w:b/>
          <w:sz w:val="22"/>
        </w:rPr>
        <w:t>Q1 (Elite Layer)</w:t>
      </w:r>
      <w:r>
        <w:rPr>
          <w:rFonts w:ascii="Times New Roman" w:hAnsi="Times New Roman"/>
          <w:sz w:val="22"/>
        </w:rPr>
        <w:t>: For each civilizational era, how mathematically dense are the most-mathematical books? How does this change across time?</w:t>
      </w:r>
    </w:p>
    <w:p>
      <w:pPr>
        <w:spacing w:line="336" w:lineRule="auto"/>
        <w:ind w:firstLine="283"/>
      </w:pPr>
      <w:r>
        <w:rPr>
          <w:rFonts w:ascii="Times New Roman" w:hAnsi="Times New Roman"/>
          <w:b/>
          <w:sz w:val="22"/>
        </w:rPr>
        <w:t>Q2 (Popular Layer)</w:t>
      </w:r>
      <w:r>
        <w:rPr>
          <w:rFonts w:ascii="Times New Roman" w:hAnsi="Times New Roman"/>
          <w:sz w:val="22"/>
        </w:rPr>
        <w:t xml:space="preserve">: How mathematical is a </w:t>
      </w:r>
      <w:r>
        <w:rPr>
          <w:rFonts w:ascii="Times New Roman" w:hAnsi="Times New Roman"/>
          <w:b/>
          <w:sz w:val="22"/>
        </w:rPr>
        <w:t>typical book</w:t>
      </w:r>
      <w:r>
        <w:rPr>
          <w:rFonts w:ascii="Times New Roman" w:hAnsi="Times New Roman"/>
          <w:sz w:val="22"/>
        </w:rPr>
        <w:t xml:space="preserve"> in each era (measured by median)? Is mathematical language confined to elite canons, or has it diffused into broader writing?</w:t>
      </w:r>
    </w:p>
    <w:p>
      <w:pPr>
        <w:spacing w:line="336" w:lineRule="auto"/>
        <w:ind w:firstLine="283"/>
      </w:pPr>
      <w:r>
        <w:rPr>
          <w:rFonts w:ascii="Times New Roman" w:hAnsi="Times New Roman"/>
          <w:b/>
          <w:sz w:val="22"/>
        </w:rPr>
        <w:t>Q3 (Dilution)</w:t>
      </w:r>
      <w:r>
        <w:rPr>
          <w:rFonts w:ascii="Times New Roman" w:hAnsi="Times New Roman"/>
          <w:sz w:val="22"/>
        </w:rPr>
        <w:t>: After the spread of printing (post-1500), as the publication market expands and mass genres (novels, travel writing, theology, biography) proliferate, is the relative density of elite scientific text in the wider textual ecology diluted? Is there quantitative evidence for such dilution?</w:t>
      </w:r>
    </w:p>
    <w:p>
      <w:pPr>
        <w:spacing w:line="336" w:lineRule="auto"/>
        <w:ind w:firstLine="283"/>
      </w:pPr>
      <w:r>
        <w:rPr>
          <w:rFonts w:ascii="Times New Roman" w:hAnsi="Times New Roman"/>
          <w:sz w:val="22"/>
        </w:rPr>
        <w:t xml:space="preserve">Q1 corresponds to the existing narrative of the history of science — the evolution of elite mathematical canons. Q2 and Q3 are the new angles this study hopes to offer; they require </w:t>
      </w:r>
      <w:r>
        <w:rPr>
          <w:rFonts w:ascii="Times New Roman" w:hAnsi="Times New Roman"/>
          <w:b/>
          <w:sz w:val="22"/>
        </w:rPr>
        <w:t>large-scale, cross-temporal</w:t>
      </w:r>
      <w:r>
        <w:rPr>
          <w:rFonts w:ascii="Times New Roman" w:hAnsi="Times New Roman"/>
          <w:sz w:val="22"/>
        </w:rPr>
        <w:t xml:space="preserve"> data to become visible — exactly what AI embedding models make possible.</w:t>
      </w:r>
    </w:p>
    <w:p>
      <w:pPr>
        <w:pStyle w:val="Heading2"/>
      </w:pPr>
      <w:r>
        <w:rPr>
          <w:rFonts w:ascii="Times New Roman" w:hAnsi="Times New Roman"/>
          <w:b/>
          <w:sz w:val="25"/>
        </w:rPr>
        <w:t>1.5 Human–AI Collaboration</w:t>
      </w:r>
    </w:p>
    <w:p>
      <w:pPr>
        <w:spacing w:line="336" w:lineRule="auto"/>
        <w:ind w:firstLine="283"/>
      </w:pPr>
      <w:r>
        <w:rPr>
          <w:rFonts w:ascii="Times New Roman" w:hAnsi="Times New Roman"/>
          <w:sz w:val="22"/>
        </w:rPr>
        <w:t xml:space="preserve">This work was carried out by </w:t>
      </w:r>
      <w:r>
        <w:rPr>
          <w:rFonts w:ascii="Times New Roman" w:hAnsi="Times New Roman"/>
          <w:b/>
          <w:sz w:val="22"/>
        </w:rPr>
        <w:t>Dai Rongzhen in collaboration with Anthropic's Claude</w:t>
      </w:r>
      <w:r>
        <w:rPr>
          <w:rFonts w:ascii="Times New Roman" w:hAnsi="Times New Roman"/>
          <w:sz w:val="22"/>
        </w:rPr>
        <w:t>. Without AI assistance, the scale of the work — scanning nearly 4,000 books, processing over 3.3 million paragraphs of text, and iterating the methodology repeatedly — would be beyond what an independent researcher without a lab or team could do.</w:t>
      </w:r>
    </w:p>
    <w:p/>
    <w:p>
      <w:pPr>
        <w:pStyle w:val="Heading1"/>
      </w:pPr>
      <w:r>
        <w:rPr>
          <w:rFonts w:ascii="Times New Roman" w:hAnsi="Times New Roman"/>
          <w:b/>
          <w:sz w:val="30"/>
        </w:rPr>
        <w:t>2. Method</w:t>
      </w:r>
    </w:p>
    <w:p>
      <w:pPr>
        <w:pStyle w:val="Heading2"/>
      </w:pPr>
      <w:r>
        <w:rPr>
          <w:rFonts w:ascii="Times New Roman" w:hAnsi="Times New Roman"/>
          <w:b/>
          <w:sz w:val="25"/>
        </w:rPr>
        <w:t>2.1 Why BGE-M3</w:t>
      </w:r>
    </w:p>
    <w:p>
      <w:pPr>
        <w:spacing w:line="336" w:lineRule="auto"/>
        <w:ind w:firstLine="283"/>
      </w:pPr>
      <w:r>
        <w:rPr>
          <w:rFonts w:ascii="Times New Roman" w:hAnsi="Times New Roman"/>
          <w:b/>
          <w:sz w:val="22"/>
        </w:rPr>
        <w:t>BGE-M3</w:t>
      </w:r>
      <w:r>
        <w:rPr>
          <w:rFonts w:ascii="Times New Roman" w:hAnsi="Times New Roman"/>
          <w:sz w:val="22"/>
        </w:rPr>
        <w:t xml:space="preserve"> (BAAI General Embedding — Multi-lingual, Multi-functional, Multi-granularity) was released in January 2024 by the Beijing Academy of Artificial Intelligence. The "BAAI" is the academy's English acronym; "M3" denotes three properties: multi-lingual, multi-functional, multi-granularity.</w:t>
      </w:r>
    </w:p>
    <w:p>
      <w:pPr>
        <w:spacing w:line="336" w:lineRule="auto"/>
        <w:ind w:firstLine="283"/>
      </w:pPr>
      <w:r>
        <w:rPr>
          <w:rFonts w:ascii="Times New Roman" w:hAnsi="Times New Roman"/>
          <w:sz w:val="22"/>
        </w:rPr>
        <w:t xml:space="preserve">The model's basic operation: given a passage of text as input, it outputs a </w:t>
      </w:r>
      <w:r>
        <w:rPr>
          <w:rFonts w:ascii="Times New Roman" w:hAnsi="Times New Roman"/>
          <w:b/>
          <w:sz w:val="22"/>
        </w:rPr>
        <w:t>1024-dimensional vector</w:t>
      </w:r>
      <w:r>
        <w:rPr>
          <w:rFonts w:ascii="Times New Roman" w:hAnsi="Times New Roman"/>
          <w:sz w:val="22"/>
        </w:rPr>
        <w:t xml:space="preserve"> representing the text's position in a semantic space. Semantically close texts have vectors that are close; stylistically distant texts have vectors far apart. This mapping is learned via contrastive learning on massive corpora (hundreds of billions of tokens).</w:t>
      </w:r>
    </w:p>
    <w:p>
      <w:pPr>
        <w:spacing w:line="336" w:lineRule="auto"/>
        <w:ind w:firstLine="283"/>
      </w:pPr>
      <w:r>
        <w:rPr>
          <w:rFonts w:ascii="Times New Roman" w:hAnsi="Times New Roman"/>
          <w:sz w:val="22"/>
        </w:rPr>
        <w:t>We chose BGE-M3 over other embedding models for four reasons:</w:t>
      </w:r>
    </w:p>
    <w:p>
      <w:pPr>
        <w:spacing w:line="336" w:lineRule="auto"/>
        <w:ind w:firstLine="283"/>
      </w:pPr>
      <w:r>
        <w:rPr>
          <w:rFonts w:ascii="Times New Roman" w:hAnsi="Times New Roman"/>
          <w:b/>
          <w:sz w:val="22"/>
        </w:rPr>
        <w:t>(i) Multilingual coverage.</w:t>
      </w:r>
      <w:r>
        <w:rPr>
          <w:rFonts w:ascii="Times New Roman" w:hAnsi="Times New Roman"/>
          <w:sz w:val="22"/>
        </w:rPr>
        <w:t xml:space="preserve"> BGE-M3 was trained on 100+ languages. It handles modern English, Chinese, French, and German well; it also yields usable (if imperfect) embeddings for low-resource languages like Latin and Ancient Greek. This matters for cross-era, cross-civilizational comparison. All texts in this study are scanned in English translation (see §2.6), and BGE-M3's English capability is more than sufficient.</w:t>
      </w:r>
    </w:p>
    <w:p>
      <w:pPr>
        <w:spacing w:line="336" w:lineRule="auto"/>
        <w:ind w:firstLine="283"/>
      </w:pPr>
      <w:r>
        <w:rPr>
          <w:rFonts w:ascii="Times New Roman" w:hAnsi="Times New Roman"/>
          <w:b/>
          <w:sz w:val="22"/>
        </w:rPr>
        <w:t>(ii) Long-input support.</w:t>
      </w:r>
      <w:r>
        <w:rPr>
          <w:rFonts w:ascii="Times New Roman" w:hAnsi="Times New Roman"/>
          <w:sz w:val="22"/>
        </w:rPr>
        <w:t xml:space="preserve"> BGE-M3 accepts up to </w:t>
      </w:r>
      <w:r>
        <w:rPr>
          <w:rFonts w:ascii="Times New Roman" w:hAnsi="Times New Roman"/>
          <w:b/>
          <w:sz w:val="22"/>
        </w:rPr>
        <w:t>8,192 tokens</w:t>
      </w:r>
      <w:r>
        <w:rPr>
          <w:rFonts w:ascii="Times New Roman" w:hAnsi="Times New Roman"/>
          <w:sz w:val="22"/>
        </w:rPr>
        <w:t xml:space="preserve"> (≈6,000 English words) per input, whereas most comparable models top out at 512. This lets us feed whole natural paragraphs into the model without fragmenting them.</w:t>
      </w:r>
    </w:p>
    <w:p>
      <w:pPr>
        <w:spacing w:line="336" w:lineRule="auto"/>
        <w:ind w:firstLine="283"/>
      </w:pPr>
      <w:r>
        <w:rPr>
          <w:rFonts w:ascii="Times New Roman" w:hAnsi="Times New Roman"/>
          <w:b/>
          <w:sz w:val="22"/>
        </w:rPr>
        <w:t>(iii) Open-source and free.</w:t>
      </w:r>
      <w:r>
        <w:rPr>
          <w:rFonts w:ascii="Times New Roman" w:hAnsi="Times New Roman"/>
          <w:sz w:val="22"/>
        </w:rPr>
        <w:t xml:space="preserve"> Model weights are publicly hosted on HuggingFace. This study was run locally on a consumer-grade GPU (NVIDIA GeForce RTX 5070, 12 GB VRAM), with no API costs — important for independent researchers.</w:t>
      </w:r>
    </w:p>
    <w:p>
      <w:pPr>
        <w:spacing w:line="336" w:lineRule="auto"/>
        <w:ind w:firstLine="283"/>
      </w:pPr>
      <w:r>
        <w:rPr>
          <w:rFonts w:ascii="Times New Roman" w:hAnsi="Times New Roman"/>
          <w:b/>
          <w:sz w:val="22"/>
        </w:rPr>
        <w:t>(iv) Compact output.</w:t>
      </w:r>
      <w:r>
        <w:rPr>
          <w:rFonts w:ascii="Times New Roman" w:hAnsi="Times New Roman"/>
          <w:sz w:val="22"/>
        </w:rPr>
        <w:t xml:space="preserve"> A 1024-dimensional vector is computationally affordable; scans of thousands of books complete in a day or two. Higher-dimensional models (e.g., OpenAI text-embedding-3 at 4096 dims) yield negligibly better precision on our task but are significantly more expensive.</w:t>
      </w:r>
    </w:p>
    <w:p>
      <w:pPr>
        <w:spacing w:line="336" w:lineRule="auto"/>
        <w:ind w:firstLine="283"/>
      </w:pPr>
      <w:r>
        <w:rPr>
          <w:rFonts w:ascii="Times New Roman" w:hAnsi="Times New Roman"/>
          <w:sz w:val="22"/>
        </w:rPr>
        <w:t xml:space="preserve">A caveat: BGE-M3 is not specifically designed for "style analysis" or "history of science." It is a </w:t>
      </w:r>
      <w:r>
        <w:rPr>
          <w:rFonts w:ascii="Times New Roman" w:hAnsi="Times New Roman"/>
          <w:b/>
          <w:sz w:val="22"/>
        </w:rPr>
        <w:t>general-purpose semantic vectorizer</w:t>
      </w:r>
      <w:r>
        <w:rPr>
          <w:rFonts w:ascii="Times New Roman" w:hAnsi="Times New Roman"/>
          <w:sz w:val="22"/>
        </w:rPr>
        <w:t>. We exploit a side-effect of its design — that "mathematical-style" texts naturally cluster in its vector space — and must validate this empirically (see §2.7 baseline tests).</w:t>
      </w:r>
    </w:p>
    <w:p>
      <w:pPr>
        <w:pStyle w:val="Heading2"/>
      </w:pPr>
      <w:r>
        <w:rPr>
          <w:rFonts w:ascii="Times New Roman" w:hAnsi="Times New Roman"/>
          <w:b/>
          <w:sz w:val="25"/>
        </w:rPr>
        <w:t>2.2 Core Pipeline</w:t>
      </w:r>
    </w:p>
    <w:p>
      <w:pPr>
        <w:spacing w:line="336" w:lineRule="auto"/>
        <w:ind w:firstLine="283"/>
      </w:pPr>
      <w:r>
        <w:rPr>
          <w:rFonts w:ascii="Times New Roman" w:hAnsi="Times New Roman"/>
          <w:sz w:val="22"/>
        </w:rPr>
        <w:t>The pipeline has four steps, each corresponding to concrete code:</w:t>
      </w:r>
    </w:p>
    <w:p>
      <w:pPr>
        <w:spacing w:line="336" w:lineRule="auto"/>
        <w:ind w:firstLine="283"/>
      </w:pPr>
      <w:r>
        <w:rPr>
          <w:rFonts w:ascii="Times New Roman" w:hAnsi="Times New Roman"/>
          <w:b/>
          <w:sz w:val="22"/>
        </w:rPr>
        <w:t>Step 1: Paragraph splitting.</w:t>
      </w:r>
      <w:r>
        <w:rPr>
          <w:rFonts w:ascii="Times New Roman" w:hAnsi="Times New Roman"/>
          <w:sz w:val="22"/>
        </w:rPr>
        <w:t xml:space="preserve"> Split a book's full text into natural paragraphs. Each paragraph is the basic unit of analysis.</w:t>
      </w:r>
    </w:p>
    <w:p>
      <w:pPr>
        <w:spacing w:line="336" w:lineRule="auto"/>
        <w:ind w:firstLine="283"/>
      </w:pPr>
      <w:r>
        <w:rPr>
          <w:rFonts w:ascii="Times New Roman" w:hAnsi="Times New Roman"/>
          <w:b/>
          <w:sz w:val="22"/>
        </w:rPr>
        <w:t>Step 2: Encoding.</w:t>
      </w:r>
      <w:r>
        <w:rPr>
          <w:rFonts w:ascii="Times New Roman" w:hAnsi="Times New Roman"/>
          <w:sz w:val="22"/>
        </w:rPr>
        <w:t xml:space="preserve"> Feed each paragraph into BGE-M3, receive a 1024-dim vector. A 1000-paragraph book yields a 1000 × 1024 matrix.</w:t>
      </w:r>
    </w:p>
    <w:p>
      <w:pPr>
        <w:spacing w:line="336" w:lineRule="auto"/>
        <w:ind w:firstLine="283"/>
      </w:pPr>
      <w:r>
        <w:rPr>
          <w:rFonts w:ascii="Times New Roman" w:hAnsi="Times New Roman"/>
          <w:b/>
          <w:sz w:val="22"/>
        </w:rPr>
        <w:t>Step 3: Building the center.</w:t>
      </w:r>
      <w:r>
        <w:rPr>
          <w:rFonts w:ascii="Times New Roman" w:hAnsi="Times New Roman"/>
          <w:sz w:val="22"/>
        </w:rPr>
        <w:t xml:space="preserve"> Take a canonical mathematical work (e.g., Euclid's </w:t>
      </w:r>
      <w:r>
        <w:rPr>
          <w:rFonts w:ascii="Times New Roman" w:hAnsi="Times New Roman"/>
          <w:i/>
          <w:sz w:val="22"/>
        </w:rPr>
        <w:t>Elements</w:t>
      </w:r>
      <w:r>
        <w:rPr>
          <w:rFonts w:ascii="Times New Roman" w:hAnsi="Times New Roman"/>
          <w:sz w:val="22"/>
        </w:rPr>
        <w:t>), average all its paragraph vectors, normalize to unit length — this gives a single 1024-dim "mathematical-language center vector."</w:t>
      </w:r>
    </w:p>
    <w:p>
      <w:pPr>
        <w:spacing w:line="336" w:lineRule="auto"/>
        <w:ind w:firstLine="283"/>
      </w:pPr>
      <w:r>
        <w:rPr>
          <w:rFonts w:ascii="Times New Roman" w:hAnsi="Times New Roman"/>
          <w:b/>
          <w:sz w:val="22"/>
        </w:rPr>
        <w:t>Step 4: Computing similarities.</w:t>
      </w:r>
      <w:r>
        <w:rPr>
          <w:rFonts w:ascii="Times New Roman" w:hAnsi="Times New Roman"/>
          <w:sz w:val="22"/>
        </w:rPr>
        <w:t xml:space="preserve"> For any text to be scanned, compute the dot product of each paragraph's vector against the center (this is the cosine similarity, ranging −1 to +1, typically 0.3–0.9). This yields a distribution of similarities per book, from which we extract statistics (see §2.5).</w:t>
      </w:r>
    </w:p>
    <w:p>
      <w:pPr>
        <w:spacing w:line="336" w:lineRule="auto"/>
        <w:ind w:firstLine="283"/>
      </w:pPr>
      <w:r>
        <w:rPr>
          <w:rFonts w:ascii="Times New Roman" w:hAnsi="Times New Roman"/>
          <w:sz w:val="22"/>
        </w:rPr>
        <w:t>Key code (Python, using `sentence-transformers`):</w:t>
      </w:r>
    </w:p>
    <w:p>
      <w:pPr>
        <w:ind w:left="283"/>
        <w:shd w:val="clear" w:color="auto" w:fill="F4F4F4"/>
      </w:pPr>
      <w:r>
        <w:rPr>
          <w:rFonts w:ascii="Consolas" w:hAnsi="Consolas"/>
          <w:sz w:val="18"/>
        </w:rPr>
        <w:t>from sentence_transformers import SentenceTransformer</w:t>
        <w:br/>
        <w:t>import numpy as np</w:t>
        <w:br/>
        <w:br/>
        <w:t>model = SentenceTransformer('BAAI/bge-m3')</w:t>
        <w:br/>
        <w:br/>
        <w:t># Build the center, using Euclid's Elements as example</w:t>
        <w:br/>
        <w:t>euclid_paras = split_into_paragraphs(euclid_text)  # ~5,900 paragraphs</w:t>
        <w:br/>
        <w:t>euclid_vecs = model.encode(euclid_paras,</w:t>
        <w:br/>
        <w:t xml:space="preserve">                            normalize_embeddings=True,</w:t>
        <w:br/>
        <w:t xml:space="preserve">                            batch_size=8)</w:t>
        <w:br/>
        <w:t>center = euclid_vecs.mean(axis=0)</w:t>
        <w:br/>
        <w:t>center = center / np.linalg.norm(center)</w:t>
        <w:br/>
        <w:br/>
        <w:t># Scan a target text</w:t>
        <w:br/>
        <w:t>target_paras = split_into_paragraphs(target_text)</w:t>
        <w:br/>
        <w:t>target_vecs = model.encode(target_paras, normalize_embeddings=True, batch_size=8)</w:t>
        <w:br/>
        <w:t>similarities = target_vecs @ center   # matrix product = paragraph-wise cosine similarity</w:t>
        <w:br/>
        <w:br/>
        <w:t># Statistics</w:t>
        <w:br/>
        <w:t>ratio_above_06 = (similarities &gt;= 0.6).mean()</w:t>
        <w:br/>
        <w:t>max_sim = similarities.max()</w:t>
      </w:r>
    </w:p>
    <w:p>
      <w:pPr>
        <w:pStyle w:val="Heading2"/>
      </w:pPr>
      <w:r>
        <w:rPr>
          <w:rFonts w:ascii="Times New Roman" w:hAnsi="Times New Roman"/>
          <w:b/>
          <w:sz w:val="25"/>
        </w:rPr>
        <w:t>2.3 Design of the Five Slices</w:t>
      </w:r>
    </w:p>
    <w:p>
      <w:pPr>
        <w:spacing w:line="336" w:lineRule="auto"/>
        <w:ind w:firstLine="283"/>
      </w:pPr>
      <w:r>
        <w:rPr>
          <w:rFonts w:ascii="Times New Roman" w:hAnsi="Times New Roman"/>
          <w:sz w:val="22"/>
        </w:rPr>
        <w:t xml:space="preserve">This study uses five Western civilizational slices. Each "mathematical center" choice obeys one iron rule: </w:t>
      </w:r>
      <w:r>
        <w:rPr>
          <w:rFonts w:ascii="Times New Roman" w:hAnsi="Times New Roman"/>
          <w:b/>
          <w:sz w:val="22"/>
        </w:rPr>
        <w:t>each era uses its own canonical mathematical work — centers are not shared across eras.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Slice</w:t>
            </w:r>
          </w:p>
        </w:tc>
        <w:tc>
          <w:tcPr>
            <w:tcW w:type="dxa" w:w="1881"/>
          </w:tcPr>
          <w:p>
            <w:pPr>
              <w:jc w:val="center"/>
            </w:pPr>
            <w:r/>
            <w:r>
              <w:rPr>
                <w:b/>
                <w:sz w:val="20"/>
              </w:rPr>
              <w:t>Period</w:t>
            </w:r>
          </w:p>
        </w:tc>
        <w:tc>
          <w:tcPr>
            <w:tcW w:type="dxa" w:w="1881"/>
          </w:tcPr>
          <w:p>
            <w:pPr>
              <w:jc w:val="center"/>
            </w:pPr>
            <w:r/>
            <w:r>
              <w:rPr>
                <w:b/>
                <w:sz w:val="20"/>
              </w:rPr>
              <w:t>Mathematical Center</w:t>
            </w:r>
          </w:p>
        </w:tc>
        <w:tc>
          <w:tcPr>
            <w:tcW w:type="dxa" w:w="1881"/>
          </w:tcPr>
          <w:p>
            <w:pPr>
              <w:jc w:val="center"/>
            </w:pPr>
            <w:r/>
            <w:r>
              <w:rPr>
                <w:b/>
                <w:sz w:val="20"/>
              </w:rPr>
              <w:t>Translation</w:t>
            </w:r>
          </w:p>
        </w:tc>
        <w:tc>
          <w:tcPr>
            <w:tcW w:type="dxa" w:w="1881"/>
          </w:tcPr>
          <w:p>
            <w:pPr>
              <w:jc w:val="center"/>
            </w:pPr>
            <w:r/>
            <w:r>
              <w:rPr>
                <w:b/>
                <w:sz w:val="20"/>
              </w:rPr>
              <w:t>Paragraphs</w:t>
            </w:r>
          </w:p>
        </w:tc>
      </w:tr>
      <w:tr>
        <w:tc>
          <w:tcPr>
            <w:tcW w:type="dxa" w:w="1881"/>
          </w:tcPr>
          <w:p>
            <w:pPr>
              <w:jc w:val="center"/>
            </w:pPr>
            <w:r/>
            <w:r>
              <w:rPr>
                <w:sz w:val="19"/>
              </w:rPr>
              <w:t>Greek Classical + Hellenistic</w:t>
            </w:r>
          </w:p>
        </w:tc>
        <w:tc>
          <w:tcPr>
            <w:tcW w:type="dxa" w:w="1881"/>
          </w:tcPr>
          <w:p>
            <w:pPr>
              <w:jc w:val="center"/>
            </w:pPr>
            <w:r/>
            <w:r>
              <w:rPr>
                <w:sz w:val="19"/>
              </w:rPr>
              <w:t>~500 BCE – 50 BCE</w:t>
            </w:r>
          </w:p>
        </w:tc>
        <w:tc>
          <w:tcPr>
            <w:tcW w:type="dxa" w:w="1881"/>
          </w:tcPr>
          <w:p>
            <w:pPr>
              <w:jc w:val="center"/>
            </w:pPr>
            <w:r/>
            <w:r>
              <w:rPr>
                <w:sz w:val="19"/>
              </w:rPr>
              <w:t>Euclid, Elements</w:t>
            </w:r>
          </w:p>
        </w:tc>
        <w:tc>
          <w:tcPr>
            <w:tcW w:type="dxa" w:w="1881"/>
          </w:tcPr>
          <w:p>
            <w:pPr>
              <w:jc w:val="center"/>
            </w:pPr>
            <w:r/>
            <w:r>
              <w:rPr>
                <w:sz w:val="19"/>
              </w:rPr>
              <w:t>Heath 1908</w:t>
            </w:r>
          </w:p>
        </w:tc>
        <w:tc>
          <w:tcPr>
            <w:tcW w:type="dxa" w:w="1881"/>
          </w:tcPr>
          <w:p>
            <w:pPr>
              <w:jc w:val="center"/>
            </w:pPr>
            <w:r/>
            <w:r>
              <w:rPr>
                <w:sz w:val="19"/>
              </w:rPr>
              <w:t>5,911</w:t>
            </w:r>
          </w:p>
        </w:tc>
      </w:tr>
      <w:tr>
        <w:tc>
          <w:tcPr>
            <w:tcW w:type="dxa" w:w="1881"/>
          </w:tcPr>
          <w:p>
            <w:pPr>
              <w:jc w:val="center"/>
            </w:pPr>
            <w:r/>
            <w:r>
              <w:rPr>
                <w:sz w:val="19"/>
              </w:rPr>
              <w:t>Roman Empire</w:t>
            </w:r>
          </w:p>
        </w:tc>
        <w:tc>
          <w:tcPr>
            <w:tcW w:type="dxa" w:w="1881"/>
          </w:tcPr>
          <w:p>
            <w:pPr>
              <w:jc w:val="center"/>
            </w:pPr>
            <w:r/>
            <w:r>
              <w:rPr>
                <w:sz w:val="19"/>
              </w:rPr>
              <w:t>~50 BCE – 400 CE</w:t>
            </w:r>
          </w:p>
        </w:tc>
        <w:tc>
          <w:tcPr>
            <w:tcW w:type="dxa" w:w="1881"/>
          </w:tcPr>
          <w:p>
            <w:pPr>
              <w:jc w:val="center"/>
            </w:pPr>
            <w:r/>
            <w:r>
              <w:rPr>
                <w:sz w:val="19"/>
              </w:rPr>
              <w:t>Euclid (borrowed)</w:t>
            </w:r>
          </w:p>
        </w:tc>
        <w:tc>
          <w:tcPr>
            <w:tcW w:type="dxa" w:w="1881"/>
          </w:tcPr>
          <w:p>
            <w:pPr>
              <w:jc w:val="center"/>
            </w:pPr>
            <w:r/>
            <w:r>
              <w:rPr>
                <w:sz w:val="19"/>
              </w:rPr>
              <w:t>same</w:t>
            </w:r>
          </w:p>
        </w:tc>
        <w:tc>
          <w:tcPr>
            <w:tcW w:type="dxa" w:w="1881"/>
          </w:tcPr>
          <w:p>
            <w:pPr>
              <w:jc w:val="center"/>
            </w:pPr>
            <w:r/>
            <w:r>
              <w:rPr>
                <w:sz w:val="19"/>
              </w:rPr>
              <w:t>—</w:t>
            </w:r>
          </w:p>
        </w:tc>
      </w:tr>
      <w:tr>
        <w:tc>
          <w:tcPr>
            <w:tcW w:type="dxa" w:w="1881"/>
          </w:tcPr>
          <w:p>
            <w:pPr>
              <w:jc w:val="center"/>
            </w:pPr>
            <w:r/>
            <w:r>
              <w:rPr>
                <w:sz w:val="19"/>
              </w:rPr>
              <w:t>Renaissance</w:t>
            </w:r>
          </w:p>
        </w:tc>
        <w:tc>
          <w:tcPr>
            <w:tcW w:type="dxa" w:w="1881"/>
          </w:tcPr>
          <w:p>
            <w:pPr>
              <w:jc w:val="center"/>
            </w:pPr>
            <w:r/>
            <w:r>
              <w:rPr>
                <w:sz w:val="19"/>
              </w:rPr>
              <w:t>1400 – 1600</w:t>
            </w:r>
          </w:p>
        </w:tc>
        <w:tc>
          <w:tcPr>
            <w:tcW w:type="dxa" w:w="1881"/>
          </w:tcPr>
          <w:p>
            <w:pPr>
              <w:jc w:val="center"/>
            </w:pPr>
            <w:r/>
            <w:r>
              <w:rPr>
                <w:sz w:val="19"/>
              </w:rPr>
              <w:t>Cardano, Ars Magna</w:t>
            </w:r>
          </w:p>
        </w:tc>
        <w:tc>
          <w:tcPr>
            <w:tcW w:type="dxa" w:w="1881"/>
          </w:tcPr>
          <w:p>
            <w:pPr>
              <w:jc w:val="center"/>
            </w:pPr>
            <w:r/>
            <w:r>
              <w:rPr>
                <w:sz w:val="19"/>
              </w:rPr>
              <w:t>Witmer 1968</w:t>
            </w:r>
          </w:p>
        </w:tc>
        <w:tc>
          <w:tcPr>
            <w:tcW w:type="dxa" w:w="1881"/>
          </w:tcPr>
          <w:p>
            <w:pPr>
              <w:jc w:val="center"/>
            </w:pPr>
            <w:r/>
            <w:r>
              <w:rPr>
                <w:sz w:val="19"/>
              </w:rPr>
              <w:t>291</w:t>
            </w:r>
          </w:p>
        </w:tc>
      </w:tr>
      <w:tr>
        <w:tc>
          <w:tcPr>
            <w:tcW w:type="dxa" w:w="1881"/>
          </w:tcPr>
          <w:p>
            <w:pPr>
              <w:jc w:val="center"/>
            </w:pPr>
            <w:r/>
            <w:r>
              <w:rPr>
                <w:sz w:val="19"/>
              </w:rPr>
              <w:t>Leibniz Era</w:t>
            </w:r>
          </w:p>
        </w:tc>
        <w:tc>
          <w:tcPr>
            <w:tcW w:type="dxa" w:w="1881"/>
          </w:tcPr>
          <w:p>
            <w:pPr>
              <w:jc w:val="center"/>
            </w:pPr>
            <w:r/>
            <w:r>
              <w:rPr>
                <w:sz w:val="19"/>
              </w:rPr>
              <w:t>1684 – 1734</w:t>
            </w:r>
          </w:p>
        </w:tc>
        <w:tc>
          <w:tcPr>
            <w:tcW w:type="dxa" w:w="1881"/>
          </w:tcPr>
          <w:p>
            <w:pPr>
              <w:jc w:val="center"/>
            </w:pPr>
            <w:r/>
            <w:r>
              <w:rPr>
                <w:sz w:val="19"/>
              </w:rPr>
              <w:t>Newton, Principia</w:t>
            </w:r>
          </w:p>
        </w:tc>
        <w:tc>
          <w:tcPr>
            <w:tcW w:type="dxa" w:w="1881"/>
          </w:tcPr>
          <w:p>
            <w:pPr>
              <w:jc w:val="center"/>
            </w:pPr>
            <w:r/>
            <w:r>
              <w:rPr>
                <w:sz w:val="19"/>
              </w:rPr>
              <w:t>Motte 1729 / Global Grey</w:t>
            </w:r>
          </w:p>
        </w:tc>
        <w:tc>
          <w:tcPr>
            <w:tcW w:type="dxa" w:w="1881"/>
          </w:tcPr>
          <w:p>
            <w:pPr>
              <w:jc w:val="center"/>
            </w:pPr>
            <w:r/>
            <w:r>
              <w:rPr>
                <w:sz w:val="19"/>
              </w:rPr>
              <w:t>2,024</w:t>
            </w:r>
          </w:p>
        </w:tc>
      </w:tr>
      <w:tr>
        <w:tc>
          <w:tcPr>
            <w:tcW w:type="dxa" w:w="1881"/>
          </w:tcPr>
          <w:p>
            <w:pPr>
              <w:jc w:val="center"/>
            </w:pPr>
            <w:r/>
            <w:r>
              <w:rPr>
                <w:sz w:val="19"/>
              </w:rPr>
              <w:t>Euler Era</w:t>
            </w:r>
          </w:p>
        </w:tc>
        <w:tc>
          <w:tcPr>
            <w:tcW w:type="dxa" w:w="1881"/>
          </w:tcPr>
          <w:p>
            <w:pPr>
              <w:jc w:val="center"/>
            </w:pPr>
            <w:r/>
            <w:r>
              <w:rPr>
                <w:sz w:val="19"/>
              </w:rPr>
              <w:t>1740 – 1770</w:t>
            </w:r>
          </w:p>
        </w:tc>
        <w:tc>
          <w:tcPr>
            <w:tcW w:type="dxa" w:w="1881"/>
          </w:tcPr>
          <w:p>
            <w:pPr>
              <w:jc w:val="center"/>
            </w:pPr>
            <w:r/>
            <w:r>
              <w:rPr>
                <w:sz w:val="19"/>
              </w:rPr>
              <w:t>Newton, Opticks</w:t>
            </w:r>
          </w:p>
        </w:tc>
        <w:tc>
          <w:tcPr>
            <w:tcW w:type="dxa" w:w="1881"/>
          </w:tcPr>
          <w:p>
            <w:pPr>
              <w:jc w:val="center"/>
            </w:pPr>
            <w:r/>
            <w:r>
              <w:rPr>
                <w:sz w:val="19"/>
              </w:rPr>
              <w:t>Gutenberg 33504</w:t>
            </w:r>
          </w:p>
        </w:tc>
        <w:tc>
          <w:tcPr>
            <w:tcW w:type="dxa" w:w="1881"/>
          </w:tcPr>
          <w:p>
            <w:pPr>
              <w:jc w:val="center"/>
            </w:pPr>
            <w:r/>
            <w:r>
              <w:rPr>
                <w:sz w:val="19"/>
              </w:rPr>
              <w:t>529</w:t>
            </w:r>
          </w:p>
        </w:tc>
      </w:tr>
    </w:tbl>
    <w:p>
      <w:pPr>
        <w:spacing w:line="336" w:lineRule="auto"/>
        <w:ind w:firstLine="283"/>
      </w:pPr>
      <w:r>
        <w:rPr>
          <w:rFonts w:ascii="Times New Roman" w:hAnsi="Times New Roman"/>
          <w:b/>
          <w:sz w:val="22"/>
        </w:rPr>
        <w:t>Why no shared center?</w:t>
      </w:r>
      <w:r>
        <w:rPr>
          <w:rFonts w:ascii="Times New Roman" w:hAnsi="Times New Roman"/>
          <w:sz w:val="22"/>
        </w:rPr>
        <w:t xml:space="preserve"> Because mathematical language itself evolves. Classical Greek mathematics is deductive geometry (Euclid's "definitions, postulates, propositions, proofs"); the Renaissance is symbolic algebra (Cardano solving cubics); Newton's era is geometrized physics (</w:t>
      </w:r>
      <w:r>
        <w:rPr>
          <w:rFonts w:ascii="Times New Roman" w:hAnsi="Times New Roman"/>
          <w:i/>
          <w:sz w:val="22"/>
        </w:rPr>
        <w:t>Principia</w:t>
      </w:r>
      <w:r>
        <w:rPr>
          <w:rFonts w:ascii="Times New Roman" w:hAnsi="Times New Roman"/>
          <w:sz w:val="22"/>
        </w:rPr>
        <w:t>'s "laws and corollaries") and experimental optics (</w:t>
      </w:r>
      <w:r>
        <w:rPr>
          <w:rFonts w:ascii="Times New Roman" w:hAnsi="Times New Roman"/>
          <w:i/>
          <w:sz w:val="22"/>
        </w:rPr>
        <w:t>Opticks</w:t>
      </w:r>
      <w:r>
        <w:rPr>
          <w:rFonts w:ascii="Times New Roman" w:hAnsi="Times New Roman"/>
          <w:sz w:val="22"/>
        </w:rPr>
        <w:t>' observational narrative); after Euler comes analysis (series, differentials, integrals). Using Euclid as center for all eras would systematically under-score later texts whose mathematical form has shifted.</w:t>
      </w:r>
    </w:p>
    <w:p>
      <w:pPr>
        <w:spacing w:line="336" w:lineRule="auto"/>
        <w:ind w:firstLine="283"/>
      </w:pPr>
      <w:r>
        <w:rPr>
          <w:rFonts w:ascii="Times New Roman" w:hAnsi="Times New Roman"/>
          <w:b/>
          <w:sz w:val="22"/>
        </w:rPr>
        <w:t>Why does Rome borrow Euclid?</w:t>
      </w:r>
      <w:r>
        <w:rPr>
          <w:rFonts w:ascii="Times New Roman" w:hAnsi="Times New Roman"/>
          <w:sz w:val="22"/>
        </w:rPr>
        <w:t xml:space="preserve"> Because Rome produced no original pure mathematical canon — itself an empirical observation. Roman mathematical life consists mainly of inheritance, commentary, and application of Greek mathematics (Vitruvius' architecture, Pliny's natural history, Boethius on substance). Using Euclid as center measures exactly the breadth and attenuation of this inheritance.</w:t>
      </w:r>
    </w:p>
    <w:p>
      <w:pPr>
        <w:pStyle w:val="Heading2"/>
      </w:pPr>
      <w:r>
        <w:rPr>
          <w:rFonts w:ascii="Times New Roman" w:hAnsi="Times New Roman"/>
          <w:b/>
          <w:sz w:val="25"/>
        </w:rPr>
        <w:t>2.4 Segmentation Strategy</w:t>
      </w:r>
    </w:p>
    <w:p>
      <w:pPr>
        <w:spacing w:line="336" w:lineRule="auto"/>
        <w:ind w:firstLine="283"/>
      </w:pPr>
      <w:r>
        <w:rPr>
          <w:rFonts w:ascii="Times New Roman" w:hAnsi="Times New Roman"/>
          <w:sz w:val="22"/>
        </w:rPr>
        <w:t xml:space="preserve">We segment by </w:t>
      </w:r>
      <w:r>
        <w:rPr>
          <w:rFonts w:ascii="Times New Roman" w:hAnsi="Times New Roman"/>
          <w:b/>
          <w:sz w:val="22"/>
        </w:rPr>
        <w:t>natural paragraph</w:t>
      </w:r>
      <w:r>
        <w:rPr>
          <w:rFonts w:ascii="Times New Roman" w:hAnsi="Times New Roman"/>
          <w:sz w:val="22"/>
        </w:rPr>
        <w:t>, not by fixed length. The paragraph boundaries drawn by the author are the primary units of thought and expression — a definition is one paragraph, a proof is one paragraph, a narrative unit is one paragraph. Cutting by 200 characters or by 5 sentences would fragment complete reasoning units. Segmenting by natural paragraph aligns our method with the text's own logical structure and covers prose, poetry, drama, and textbooks equally well.</w:t>
      </w:r>
    </w:p>
    <w:p>
      <w:pPr>
        <w:spacing w:line="336" w:lineRule="auto"/>
        <w:ind w:firstLine="283"/>
      </w:pPr>
      <w:r>
        <w:rPr>
          <w:rFonts w:ascii="Times New Roman" w:hAnsi="Times New Roman"/>
          <w:sz w:val="22"/>
        </w:rPr>
        <w:t>On this foundation we add two rules:</w:t>
      </w:r>
    </w:p>
    <w:p>
      <w:pPr>
        <w:spacing w:line="336" w:lineRule="auto"/>
        <w:ind w:firstLine="283"/>
      </w:pPr>
      <w:r>
        <w:rPr>
          <w:rFonts w:ascii="Times New Roman" w:hAnsi="Times New Roman"/>
          <w:b/>
          <w:sz w:val="22"/>
        </w:rPr>
        <w:t>Lower bound of 30 characters</w:t>
      </w:r>
      <w:r>
        <w:rPr>
          <w:rFonts w:ascii="Times New Roman" w:hAnsi="Times New Roman"/>
          <w:sz w:val="22"/>
        </w:rPr>
        <w:t>. Paragraphs shorter than 30 characters are filtered as noise — chapter titles, headers, footers, TEI pointer placeholders, and the like.</w:t>
      </w:r>
    </w:p>
    <w:p>
      <w:pPr>
        <w:spacing w:line="336" w:lineRule="auto"/>
        <w:ind w:firstLine="283"/>
      </w:pPr>
      <w:r>
        <w:rPr>
          <w:rFonts w:ascii="Times New Roman" w:hAnsi="Times New Roman"/>
          <w:b/>
          <w:sz w:val="22"/>
        </w:rPr>
        <w:t>Upper bound of 1000 characters</w:t>
      </w:r>
      <w:r>
        <w:rPr>
          <w:rFonts w:ascii="Times New Roman" w:hAnsi="Times New Roman"/>
          <w:sz w:val="22"/>
        </w:rPr>
        <w:t xml:space="preserve">. Paragraphs longer than 1000 characters are recursively split on sentence boundaries (`.`, `!`, `?` followed by whitespace) into chunks of at most 1000 characters. Some Gutenberg classics contain individual paragraphs of 4000+ characters, and BGE-M3's attention-based computation has quadratic memory cost in sequence length — without an upper bound, inference becomes unstable. At 1000 characters we preserve roughly 150–200 English words, or two to three complete sentences, which keeps semantic content intact. The threshold is 1000 rather than smaller specifically to </w:t>
      </w:r>
      <w:r>
        <w:rPr>
          <w:rFonts w:ascii="Times New Roman" w:hAnsi="Times New Roman"/>
          <w:b/>
          <w:sz w:val="22"/>
        </w:rPr>
        <w:t>cut natural paragraphs as little as possible</w:t>
      </w:r>
      <w:r>
        <w:rPr>
          <w:rFonts w:ascii="Times New Roman" w:hAnsi="Times New Roman"/>
          <w:sz w:val="22"/>
        </w:rPr>
        <w:t>.</w:t>
      </w:r>
    </w:p>
    <w:p>
      <w:pPr>
        <w:spacing w:line="336" w:lineRule="auto"/>
        <w:ind w:firstLine="283"/>
      </w:pPr>
      <w:r>
        <w:rPr>
          <w:rFonts w:ascii="Times New Roman" w:hAnsi="Times New Roman"/>
          <w:b/>
          <w:sz w:val="22"/>
        </w:rPr>
        <w:t>Perseus TEI XML (Greek and Roman slices)</w:t>
      </w:r>
    </w:p>
    <w:p>
      <w:pPr>
        <w:spacing w:line="336" w:lineRule="auto"/>
        <w:ind w:firstLine="283"/>
      </w:pPr>
      <w:r>
        <w:rPr>
          <w:rFonts w:ascii="Times New Roman" w:hAnsi="Times New Roman"/>
          <w:sz w:val="22"/>
        </w:rPr>
        <w:t>Perseus Digital Library's texts use TEI standard XML. Prose paragraphs are marked by `&lt;p&gt;`, drama uses `&lt;sp&gt;` (speaker turn) and `&lt;l&gt;` (line), poetry uses `&lt;l&gt;`. Our extraction precedence is: first `&lt;p&gt;`, falling back to `&lt;sp&gt;`, finally combining `&lt;l&gt;` lines into 20-line units (~150–300 words, roughly one complete scene or lyrical stanza).</w:t>
      </w:r>
    </w:p>
    <w:p>
      <w:pPr>
        <w:ind w:left="283"/>
        <w:shd w:val="clear" w:color="auto" w:fill="F4F4F4"/>
      </w:pPr>
      <w:r>
        <w:rPr>
          <w:rFonts w:ascii="Consolas" w:hAnsi="Consolas"/>
          <w:sz w:val="18"/>
        </w:rPr>
        <w:t>import re</w:t>
        <w:br/>
        <w:br/>
        <w:t>def extract_tei(xml_path):</w:t>
        <w:br/>
        <w:t xml:space="preserve">    text = xml_path.read_text(encoding='utf-8', errors='replace')</w:t>
        <w:br/>
        <w:t xml:space="preserve">    for ent, rep in [('&amp;mdash;','—'),('&amp;aelig;','ae'),('&amp;amp;','&amp;'), ...]:</w:t>
        <w:br/>
        <w:t xml:space="preserve">        text = text.replace(ent, rep)</w:t>
        <w:br/>
        <w:t xml:space="preserve">    # Prefer &lt;p&gt; prose paragraphs</w:t>
        <w:br/>
        <w:t xml:space="preserve">    paras = re.findall(r'&lt;p\b[^&gt;]*&gt;(.*?)&lt;/p&gt;', text, re.DOTALL)</w:t>
        <w:br/>
        <w:t xml:space="preserve">    if paras:</w:t>
        <w:br/>
        <w:t xml:space="preserve">        return [clean(p) for p in paras if len(clean(p)) &gt;= 30]</w:t>
        <w:br/>
        <w:t xml:space="preserve">    # Fall back to &lt;sp&gt; drama speeches</w:t>
        <w:br/>
        <w:t xml:space="preserve">    sps = re.findall(r'&lt;sp\b[^&gt;]*&gt;(.*?)&lt;/sp&gt;', text, re.DOTALL)</w:t>
        <w:br/>
        <w:t xml:space="preserve">    if sps:</w:t>
        <w:br/>
        <w:t xml:space="preserve">        return [clean(sp) for sp in sps if len(clean(sp)) &gt;= 30]</w:t>
        <w:br/>
        <w:t xml:space="preserve">    # Finally combine &lt;l&gt; poetic lines into 20-line units</w:t>
        <w:br/>
        <w:t xml:space="preserve">    ls = re.findall(r'&lt;l\b[^&gt;]*&gt;(.*?)&lt;/l&gt;', text, re.DOTALL)</w:t>
        <w:br/>
        <w:t xml:space="preserve">    if ls:</w:t>
        <w:br/>
        <w:t xml:space="preserve">        lines = [clean(l) for l in ls if clean(l)]</w:t>
        <w:br/>
        <w:t xml:space="preserve">        return [' '.join(lines[i:i+20]) for i in range(0, len(lines), 20)]</w:t>
      </w:r>
    </w:p>
    <w:p>
      <w:pPr>
        <w:spacing w:line="336" w:lineRule="auto"/>
        <w:ind w:firstLine="283"/>
      </w:pPr>
      <w:r>
        <w:rPr>
          <w:rFonts w:ascii="Times New Roman" w:hAnsi="Times New Roman"/>
          <w:b/>
          <w:sz w:val="22"/>
        </w:rPr>
        <w:t>Gutenberg plain text (Renaissance, Leibniz, Euler slices)</w:t>
      </w:r>
    </w:p>
    <w:p>
      <w:pPr>
        <w:spacing w:line="336" w:lineRule="auto"/>
        <w:ind w:firstLine="283"/>
      </w:pPr>
      <w:r>
        <w:rPr>
          <w:rFonts w:ascii="Times New Roman" w:hAnsi="Times New Roman"/>
          <w:sz w:val="22"/>
        </w:rPr>
        <w:t>Project Gutenberg's `.txt` files delimit the main body with `*</w:t>
      </w:r>
      <w:r>
        <w:rPr>
          <w:rFonts w:ascii="Times New Roman" w:hAnsi="Times New Roman"/>
          <w:b/>
          <w:sz w:val="22"/>
        </w:rPr>
        <w:t xml:space="preserve"> START` and `</w:t>
      </w:r>
      <w:r>
        <w:rPr>
          <w:rFonts w:ascii="Times New Roman" w:hAnsi="Times New Roman"/>
          <w:sz w:val="22"/>
        </w:rPr>
        <w:t>* END`, and separate natural paragraphs by double newlines (`\n\n`):</w:t>
      </w:r>
    </w:p>
    <w:p>
      <w:pPr>
        <w:ind w:left="283"/>
        <w:shd w:val="clear" w:color="auto" w:fill="F4F4F4"/>
      </w:pPr>
      <w:r>
        <w:rPr>
          <w:rFonts w:ascii="Consolas" w:hAnsi="Consolas"/>
          <w:sz w:val="18"/>
        </w:rPr>
        <w:t>def extract_gutenberg(txt_path):</w:t>
        <w:br/>
        <w:t xml:space="preserve">    text = txt_path.read_text(encoding='utf-8', errors='replace')</w:t>
        <w:br/>
        <w:t xml:space="preserve">    start = text.find('*** START')</w:t>
        <w:br/>
        <w:t xml:space="preserve">    end = text.find('*** END')</w:t>
        <w:br/>
        <w:t xml:space="preserve">    if start &gt; 0:</w:t>
        <w:br/>
        <w:t xml:space="preserve">        text = text[text.find('\n', start)+1 : end if end &gt; 0 else len(text)]</w:t>
        <w:br/>
        <w:t xml:space="preserve">    paras = re.split(r'\n\s*\n', text)</w:t>
        <w:br/>
        <w:t xml:space="preserve">    result = []</w:t>
        <w:br/>
        <w:t xml:space="preserve">    for p in paras:</w:t>
        <w:br/>
        <w:t xml:space="preserve">        p = p.strip()</w:t>
        <w:br/>
        <w:t xml:space="preserve">        if len(p) &gt;= 30:</w:t>
        <w:br/>
        <w:t xml:space="preserve">            result.extend(split_long(p))</w:t>
        <w:br/>
        <w:t xml:space="preserve">    return result</w:t>
        <w:br/>
        <w:br/>
        <w:t>def split_long(para, max_len=1000):</w:t>
        <w:br/>
        <w:t xml:space="preserve">    """Recursively split paragraphs over max_len on sentence boundaries."""</w:t>
        <w:br/>
        <w:t xml:space="preserve">    if len(para) &lt;= max_len:</w:t>
        <w:br/>
        <w:t xml:space="preserve">        return [para]</w:t>
        <w:br/>
        <w:t xml:space="preserve">    sents = re.split(r'(?&lt;=[.!?])\s+', para)</w:t>
        <w:br/>
        <w:t xml:space="preserve">    chunks, cur = [], ''</w:t>
        <w:br/>
        <w:t xml:space="preserve">    for s in sents:</w:t>
        <w:br/>
        <w:t xml:space="preserve">        if len(cur) + len(s) + 1 &lt;= max_len:</w:t>
        <w:br/>
        <w:t xml:space="preserve">            cur = (cur + ' ' + s).strip() if cur else s</w:t>
        <w:br/>
        <w:t xml:space="preserve">        else:</w:t>
        <w:br/>
        <w:t xml:space="preserve">            if cur: chunks.append(cur)</w:t>
        <w:br/>
        <w:t xml:space="preserve">            cur = s</w:t>
        <w:br/>
        <w:t xml:space="preserve">    if cur: chunks.append(cur)</w:t>
        <w:br/>
        <w:t xml:space="preserve">    return [c for c in chunks if len(c) &gt;= 30]</w:t>
      </w:r>
    </w:p>
    <w:p>
      <w:pPr>
        <w:spacing w:line="336" w:lineRule="auto"/>
        <w:ind w:firstLine="283"/>
      </w:pPr>
      <w:r>
        <w:rPr>
          <w:rFonts w:ascii="Times New Roman" w:hAnsi="Times New Roman"/>
          <w:b/>
          <w:sz w:val="22"/>
        </w:rPr>
        <w:t>Effect of paragraph length on hit rate</w:t>
      </w:r>
    </w:p>
    <w:p>
      <w:pPr>
        <w:spacing w:line="336" w:lineRule="auto"/>
        <w:ind w:firstLine="283"/>
      </w:pPr>
      <w:r>
        <w:rPr>
          <w:rFonts w:ascii="Times New Roman" w:hAnsi="Times New Roman"/>
          <w:sz w:val="22"/>
        </w:rPr>
        <w:t xml:space="preserve">Cross-slice comparison requires asking: does the different paragraph-length distribution across sources systematically bias the hit rate? On the Greek slice's 339 texts, the Pearson correlation between mean paragraph length and `≥0.6` hit rate is only </w:t>
      </w:r>
      <w:r>
        <w:rPr>
          <w:rFonts w:ascii="Times New Roman" w:hAnsi="Times New Roman"/>
          <w:b/>
          <w:sz w:val="22"/>
        </w:rPr>
        <w:t>0.058</w:t>
      </w:r>
      <w:r>
        <w:rPr>
          <w:rFonts w:ascii="Times New Roman" w:hAnsi="Times New Roman"/>
          <w:sz w:val="22"/>
        </w:rPr>
        <w:t xml:space="preserve"> — essentially none. Grouped: books with paragraphs &gt; 500 characters have mean hit rate 2.8%, those with paragraphs ≤ 300 characters have 7.1% — short paragraphs are if anything slightly higher. This confirms that BGE captures the semantic direction of paragraph content, not paragraph length itself. Cosine similarity reads only direction; BGE's internal normalization absorbs length into vector magnitude, which is normalized away. The segmentation strategy is statistically robust.</w:t>
      </w:r>
    </w:p>
    <w:p>
      <w:pPr>
        <w:pStyle w:val="Heading2"/>
      </w:pPr>
      <w:r>
        <w:rPr>
          <w:rFonts w:ascii="Times New Roman" w:hAnsi="Times New Roman"/>
          <w:b/>
          <w:sz w:val="25"/>
        </w:rPr>
        <w:t>2.5 Metrics</w:t>
      </w:r>
    </w:p>
    <w:p>
      <w:pPr>
        <w:spacing w:line="336" w:lineRule="auto"/>
        <w:ind w:firstLine="283"/>
      </w:pPr>
      <w:r>
        <w:rPr>
          <w:rFonts w:ascii="Times New Roman" w:hAnsi="Times New Roman"/>
          <w:sz w:val="22"/>
        </w:rPr>
        <w:t>For each book we record three numbers:</w:t>
      </w:r>
    </w:p>
    <w:p>
      <w:pPr>
        <w:pStyle w:val="ListBullet"/>
      </w:pPr>
      <w:r>
        <w:rPr>
          <w:rFonts w:ascii="Times New Roman" w:hAnsi="Times New Roman"/>
          <w:b/>
          <w:sz w:val="22"/>
        </w:rPr>
        <w:t>max</w:t>
      </w:r>
      <w:r>
        <w:rPr>
          <w:rFonts w:ascii="Times New Roman" w:hAnsi="Times New Roman"/>
          <w:sz w:val="22"/>
        </w:rPr>
        <w:t xml:space="preserve"> — the highest similarity found in the book.</w:t>
      </w:r>
    </w:p>
    <w:p>
      <w:pPr>
        <w:pStyle w:val="ListBullet"/>
      </w:pPr>
      <w:r>
        <w:rPr>
          <w:rFonts w:ascii="Times New Roman" w:hAnsi="Times New Roman"/>
          <w:b/>
          <w:sz w:val="22"/>
        </w:rPr>
        <w:t>ratio_06</w:t>
      </w:r>
      <w:r>
        <w:rPr>
          <w:rFonts w:ascii="Times New Roman" w:hAnsi="Times New Roman"/>
          <w:sz w:val="22"/>
        </w:rPr>
        <w:t xml:space="preserve"> — the proportion of paragraphs with similarity ≥ 0.6. </w:t>
      </w:r>
      <w:r>
        <w:rPr>
          <w:rFonts w:ascii="Times New Roman" w:hAnsi="Times New Roman"/>
          <w:b/>
          <w:sz w:val="22"/>
        </w:rPr>
        <w:t>This is the study's core metric.</w:t>
      </w:r>
    </w:p>
    <w:p>
      <w:pPr>
        <w:pStyle w:val="ListBullet"/>
      </w:pPr>
      <w:r>
        <w:rPr>
          <w:rFonts w:ascii="Times New Roman" w:hAnsi="Times New Roman"/>
          <w:b/>
          <w:sz w:val="22"/>
        </w:rPr>
        <w:t>p50, p95</w:t>
      </w:r>
      <w:r>
        <w:rPr>
          <w:rFonts w:ascii="Times New Roman" w:hAnsi="Times New Roman"/>
          <w:sz w:val="22"/>
        </w:rPr>
        <w:t xml:space="preserve"> — the 50th and 95th percentile similarities, as supplementary distributional shape indicators.</w:t>
      </w:r>
    </w:p>
    <w:p>
      <w:pPr>
        <w:spacing w:line="336" w:lineRule="auto"/>
        <w:ind w:firstLine="283"/>
      </w:pPr>
      <w:r>
        <w:rPr>
          <w:rFonts w:ascii="Times New Roman" w:hAnsi="Times New Roman"/>
          <w:sz w:val="22"/>
        </w:rPr>
        <w:t>For each slice we aggregate all books' `ratio_06` values into a distribution, then extract:</w:t>
      </w:r>
    </w:p>
    <w:p>
      <w:pPr>
        <w:pStyle w:val="ListBullet"/>
      </w:pPr>
      <w:r>
        <w:rPr>
          <w:rFonts w:ascii="Times New Roman" w:hAnsi="Times New Roman"/>
          <w:b/>
          <w:sz w:val="22"/>
        </w:rPr>
        <w:t>Top-5 mean</w:t>
      </w:r>
      <w:r>
        <w:rPr>
          <w:rFonts w:ascii="Times New Roman" w:hAnsi="Times New Roman"/>
          <w:sz w:val="22"/>
        </w:rPr>
        <w:t xml:space="preserve"> — the mean of the five highest-`ratio_06` books. </w:t>
      </w:r>
      <w:r>
        <w:rPr>
          <w:rFonts w:ascii="Times New Roman" w:hAnsi="Times New Roman"/>
          <w:b/>
          <w:sz w:val="22"/>
        </w:rPr>
        <w:t>Elite-layer</w:t>
      </w:r>
      <w:r>
        <w:rPr>
          <w:rFonts w:ascii="Times New Roman" w:hAnsi="Times New Roman"/>
          <w:sz w:val="22"/>
        </w:rPr>
        <w:t xml:space="preserve"> indicator.</w:t>
      </w:r>
    </w:p>
    <w:p>
      <w:pPr>
        <w:pStyle w:val="ListBullet"/>
      </w:pPr>
      <w:r>
        <w:rPr>
          <w:rFonts w:ascii="Times New Roman" w:hAnsi="Times New Roman"/>
          <w:b/>
          <w:sz w:val="22"/>
        </w:rPr>
        <w:t>Top-10 mean, Top-1% mean</w:t>
      </w:r>
      <w:r>
        <w:rPr>
          <w:rFonts w:ascii="Times New Roman" w:hAnsi="Times New Roman"/>
          <w:sz w:val="22"/>
        </w:rPr>
        <w:t xml:space="preserve"> — finer-grained elite-layer views.</w:t>
      </w:r>
    </w:p>
    <w:p>
      <w:pPr>
        <w:pStyle w:val="ListBullet"/>
      </w:pPr>
      <w:r>
        <w:rPr>
          <w:rFonts w:ascii="Times New Roman" w:hAnsi="Times New Roman"/>
          <w:b/>
          <w:sz w:val="22"/>
        </w:rPr>
        <w:t>Simple mean</w:t>
      </w:r>
      <w:r>
        <w:rPr>
          <w:rFonts w:ascii="Times New Roman" w:hAnsi="Times New Roman"/>
          <w:sz w:val="22"/>
        </w:rPr>
        <w:t xml:space="preserve"> — arithmetic mean of all books' `ratio_06`. Measures overall concentration but is sensitive to extremes.</w:t>
      </w:r>
    </w:p>
    <w:p>
      <w:pPr>
        <w:pStyle w:val="ListBullet"/>
      </w:pPr>
      <w:r>
        <w:rPr>
          <w:rFonts w:ascii="Times New Roman" w:hAnsi="Times New Roman"/>
          <w:b/>
          <w:sz w:val="22"/>
        </w:rPr>
        <w:t>Paragraph-weighted mean</w:t>
      </w:r>
      <w:r>
        <w:rPr>
          <w:rFonts w:ascii="Times New Roman" w:hAnsi="Times New Roman"/>
          <w:sz w:val="22"/>
        </w:rPr>
        <w:t xml:space="preserve"> — weighted by each book's paragraph count. Measures per-paragraph mean hit rate.</w:t>
      </w:r>
    </w:p>
    <w:p>
      <w:pPr>
        <w:pStyle w:val="ListBullet"/>
      </w:pPr>
      <w:r>
        <w:rPr>
          <w:rFonts w:ascii="Times New Roman" w:hAnsi="Times New Roman"/>
          <w:b/>
          <w:sz w:val="22"/>
        </w:rPr>
        <w:t>Median</w:t>
      </w:r>
      <w:r>
        <w:rPr>
          <w:rFonts w:ascii="Times New Roman" w:hAnsi="Times New Roman"/>
          <w:sz w:val="22"/>
        </w:rPr>
        <w:t xml:space="preserve"> — the middle book's `ratio_06`. </w:t>
      </w:r>
      <w:r>
        <w:rPr>
          <w:rFonts w:ascii="Times New Roman" w:hAnsi="Times New Roman"/>
          <w:b/>
          <w:sz w:val="22"/>
        </w:rPr>
        <w:t>Typical-book</w:t>
      </w:r>
      <w:r>
        <w:rPr>
          <w:rFonts w:ascii="Times New Roman" w:hAnsi="Times New Roman"/>
          <w:sz w:val="22"/>
        </w:rPr>
        <w:t xml:space="preserve"> indicator.</w:t>
      </w:r>
    </w:p>
    <w:p>
      <w:pPr>
        <w:spacing w:line="336" w:lineRule="auto"/>
        <w:ind w:firstLine="283"/>
      </w:pPr>
      <w:r>
        <w:rPr>
          <w:rFonts w:ascii="Times New Roman" w:hAnsi="Times New Roman"/>
          <w:b/>
          <w:sz w:val="22"/>
        </w:rPr>
        <w:t>Why multiple metrics.</w:t>
      </w:r>
      <w:r>
        <w:rPr>
          <w:rFonts w:ascii="Times New Roman" w:hAnsi="Times New Roman"/>
          <w:sz w:val="22"/>
        </w:rPr>
        <w:t xml:space="preserve"> Simple mean alone gets pulled high by a few extreme canons (Euclid at 99%). Median alone ignores the elite layer (a median of 0 does not mean no mathematicians). Only by reading the three together can we see the </w:t>
      </w:r>
      <w:r>
        <w:rPr>
          <w:rFonts w:ascii="Times New Roman" w:hAnsi="Times New Roman"/>
          <w:b/>
          <w:sz w:val="22"/>
        </w:rPr>
        <w:t>separation between elite and typical</w:t>
      </w:r>
      <w:r>
        <w:rPr>
          <w:rFonts w:ascii="Times New Roman" w:hAnsi="Times New Roman"/>
          <w:sz w:val="22"/>
        </w:rPr>
        <w:t xml:space="preserve"> — precisely the structure this study wants to reveal.</w:t>
      </w:r>
    </w:p>
    <w:p>
      <w:pPr>
        <w:spacing w:line="336" w:lineRule="auto"/>
        <w:ind w:firstLine="283"/>
      </w:pPr>
      <w:r>
        <w:rPr>
          <w:rFonts w:ascii="Times New Roman" w:hAnsi="Times New Roman"/>
          <w:b/>
          <w:sz w:val="22"/>
        </w:rPr>
        <w:t>Choice of threshold 0.6.</w:t>
      </w:r>
      <w:r>
        <w:rPr>
          <w:rFonts w:ascii="Times New Roman" w:hAnsi="Times New Roman"/>
          <w:sz w:val="22"/>
        </w:rPr>
        <w:t xml:space="preserve"> We use `ratio_06` as the core metric; 0.6 is empirical. In BGE-M3's cosine similarity distributions, values above 0.5 indicate "some semantic relation," and above 0.7 is "highly similar." At 0.6 we avoid both permissiveness (too many loose matches) and severity (only textbooks pass). A sensitivity analysis (Appendix B) confirms that varying the threshold between 0.5 and 0.7 preserves the relative ordering across slices; only absolute values shift uniformly.</w:t>
      </w:r>
    </w:p>
    <w:p>
      <w:pPr>
        <w:pStyle w:val="Heading2"/>
      </w:pPr>
      <w:r>
        <w:rPr>
          <w:rFonts w:ascii="Times New Roman" w:hAnsi="Times New Roman"/>
          <w:b/>
          <w:sz w:val="25"/>
        </w:rPr>
        <w:t>2.6 On English Translation: The Need for a Unified Language Layer</w:t>
      </w:r>
    </w:p>
    <w:p>
      <w:pPr>
        <w:spacing w:line="336" w:lineRule="auto"/>
        <w:ind w:firstLine="283"/>
      </w:pPr>
      <w:r>
        <w:rPr>
          <w:rFonts w:ascii="Times New Roman" w:hAnsi="Times New Roman"/>
          <w:sz w:val="22"/>
        </w:rPr>
        <w:t>All texts in this study are scanned as English translations. Greek, Latin, and other originals do not enter the scanning pipeline directly. This is a deliberate choice, for three reasons:</w:t>
      </w:r>
    </w:p>
    <w:p>
      <w:pPr>
        <w:spacing w:line="336" w:lineRule="auto"/>
        <w:ind w:firstLine="283"/>
      </w:pPr>
      <w:r>
        <w:rPr>
          <w:rFonts w:ascii="Times New Roman" w:hAnsi="Times New Roman"/>
          <w:b/>
          <w:sz w:val="22"/>
        </w:rPr>
        <w:t>(i) Cross-era comparison requires a unified language layer.</w:t>
      </w:r>
      <w:r>
        <w:rPr>
          <w:rFonts w:ascii="Times New Roman" w:hAnsi="Times New Roman"/>
          <w:sz w:val="22"/>
        </w:rPr>
        <w:t xml:space="preserve"> The five slices span a riot of languages — Ancient Greek, Latin, Italian, English, German, French (many key Leibniz-era works were originally in Latin, French, or German). If each slice were scanned in its own original language, the vector space would be dominated by language differences, and cross-era stylistic comparison would disappear beneath them. Unified English translations put all slices into the same linguistic ecology, where the differences we observe are genuine stylistic differences.</w:t>
      </w:r>
    </w:p>
    <w:p>
      <w:pPr>
        <w:spacing w:line="336" w:lineRule="auto"/>
        <w:ind w:firstLine="283"/>
      </w:pPr>
      <w:r>
        <w:rPr>
          <w:rFonts w:ascii="Times New Roman" w:hAnsi="Times New Roman"/>
          <w:b/>
          <w:sz w:val="22"/>
        </w:rPr>
        <w:t>(ii) BGE-M3 is strongest in modern English.</w:t>
      </w:r>
      <w:r>
        <w:rPr>
          <w:rFonts w:ascii="Times New Roman" w:hAnsi="Times New Roman"/>
          <w:sz w:val="22"/>
        </w:rPr>
        <w:t xml:space="preserve"> English has the largest training corpus and the highest embedding precision for this model. Scanning English translations projects every era onto BGE-M3's best coordinate system.</w:t>
      </w:r>
    </w:p>
    <w:p>
      <w:pPr>
        <w:spacing w:line="336" w:lineRule="auto"/>
        <w:ind w:firstLine="283"/>
      </w:pPr>
      <w:r>
        <w:rPr>
          <w:rFonts w:ascii="Times New Roman" w:hAnsi="Times New Roman"/>
          <w:b/>
          <w:sz w:val="22"/>
        </w:rPr>
        <w:t>(iii) The cost is translator effect.</w:t>
      </w:r>
      <w:r>
        <w:rPr>
          <w:rFonts w:ascii="Times New Roman" w:hAnsi="Times New Roman"/>
          <w:sz w:val="22"/>
        </w:rPr>
        <w:t xml:space="preserve"> What we measure is not "how the original author used mathematical language," but "what the text's style looks like through a 19th–20th century English translation." Since the late 19th century, classicists have converged on a fairly stable "canonical translation tradition" (Euclid through Heath, Homer through Murray or Rieu, Cicero through Loeb), which carries its own Victorian academic English flavor. Some of the stylistic differences we observe between eras come from translators rather than from the original works.</w:t>
      </w:r>
    </w:p>
    <w:p>
      <w:pPr>
        <w:spacing w:line="336" w:lineRule="auto"/>
        <w:ind w:firstLine="283"/>
      </w:pPr>
      <w:r>
        <w:rPr>
          <w:rFonts w:ascii="Times New Roman" w:hAnsi="Times New Roman"/>
          <w:sz w:val="22"/>
        </w:rPr>
        <w:t>We mitigate translator effect two ways:</w:t>
      </w:r>
    </w:p>
    <w:p>
      <w:pPr>
        <w:pStyle w:val="ListNumber"/>
      </w:pPr>
      <w:r>
        <w:rPr>
          <w:rFonts w:ascii="Times New Roman" w:hAnsi="Times New Roman"/>
          <w:b/>
          <w:sz w:val="22"/>
        </w:rPr>
        <w:t>The center and the scanned texts in each slice are drawn from translators of the same era as much as possible.</w:t>
      </w:r>
      <w:r>
        <w:rPr>
          <w:rFonts w:ascii="Times New Roman" w:hAnsi="Times New Roman"/>
          <w:sz w:val="22"/>
        </w:rPr>
        <w:t xml:space="preserve"> E.g., Greek's Euclid center (Heath 1908) and most Greek texts (Perseus's late-19th to early-20th-century translations) come from the same stylistic generation; Newton's </w:t>
      </w:r>
      <w:r>
        <w:rPr>
          <w:rFonts w:ascii="Times New Roman" w:hAnsi="Times New Roman"/>
          <w:i/>
          <w:sz w:val="22"/>
        </w:rPr>
        <w:t>Principia</w:t>
      </w:r>
      <w:r>
        <w:rPr>
          <w:rFonts w:ascii="Times New Roman" w:hAnsi="Times New Roman"/>
          <w:sz w:val="22"/>
        </w:rPr>
        <w:t xml:space="preserve"> uses Motte 1729; Cardano uses Witmer 1968 (modern academic English).</w:t>
      </w:r>
    </w:p>
    <w:p>
      <w:pPr>
        <w:pStyle w:val="ListNumber"/>
      </w:pPr>
      <w:r>
        <w:rPr>
          <w:rFonts w:ascii="Times New Roman" w:hAnsi="Times New Roman"/>
          <w:b/>
          <w:sz w:val="22"/>
        </w:rPr>
        <w:t>The study emphasizes relative comparison, not absolute values.</w:t>
      </w:r>
      <w:r>
        <w:rPr>
          <w:rFonts w:ascii="Times New Roman" w:hAnsi="Times New Roman"/>
          <w:sz w:val="22"/>
        </w:rPr>
        <w:t xml:space="preserve"> Top-5 means and medians across slices can be compared; their absolute levels are less trustworthy.</w:t>
      </w:r>
    </w:p>
    <w:p>
      <w:pPr>
        <w:pStyle w:val="Heading2"/>
      </w:pPr>
      <w:r>
        <w:rPr>
          <w:rFonts w:ascii="Times New Roman" w:hAnsi="Times New Roman"/>
          <w:b/>
          <w:sz w:val="25"/>
        </w:rPr>
        <w:t>2.7 Baseline Validation: The Self-Matching Rate of Each Center</w:t>
      </w:r>
    </w:p>
    <w:p>
      <w:pPr>
        <w:spacing w:line="336" w:lineRule="auto"/>
        <w:ind w:firstLine="283"/>
      </w:pPr>
      <w:r>
        <w:rPr>
          <w:rFonts w:ascii="Times New Roman" w:hAnsi="Times New Roman"/>
          <w:sz w:val="22"/>
        </w:rPr>
        <w:t xml:space="preserve">To test whether the "mathematical center" captures real mathematical-language style, we run a baseline: </w:t>
      </w:r>
      <w:r>
        <w:rPr>
          <w:rFonts w:ascii="Times New Roman" w:hAnsi="Times New Roman"/>
          <w:b/>
          <w:sz w:val="22"/>
        </w:rPr>
        <w:t>scan each center against itself</w:t>
      </w:r>
      <w:r>
        <w:rPr>
          <w:rFonts w:ascii="Times New Roman" w:hAnsi="Times New Roman"/>
          <w:sz w:val="22"/>
        </w:rPr>
        <w:t>. A stylistically consistent book should be highly similar to its own center.</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b/>
                <w:sz w:val="20"/>
              </w:rPr>
              <w:t>Mathematical Center</w:t>
            </w:r>
          </w:p>
        </w:tc>
        <w:tc>
          <w:tcPr>
            <w:tcW w:type="dxa" w:w="3135"/>
          </w:tcPr>
          <w:p>
            <w:pPr>
              <w:jc w:val="center"/>
            </w:pPr>
            <w:r/>
            <w:r>
              <w:rPr>
                <w:b/>
                <w:sz w:val="20"/>
              </w:rPr>
              <w:t>Paragraphs</w:t>
            </w:r>
          </w:p>
        </w:tc>
        <w:tc>
          <w:tcPr>
            <w:tcW w:type="dxa" w:w="3135"/>
          </w:tcPr>
          <w:p>
            <w:pPr>
              <w:jc w:val="center"/>
            </w:pPr>
            <w:r/>
            <w:r>
              <w:rPr>
                <w:b/>
                <w:sz w:val="20"/>
              </w:rPr>
              <w:t>`ratio_06` Self-Match</w:t>
            </w:r>
          </w:p>
        </w:tc>
      </w:tr>
      <w:tr>
        <w:tc>
          <w:tcPr>
            <w:tcW w:type="dxa" w:w="3135"/>
          </w:tcPr>
          <w:p>
            <w:pPr>
              <w:jc w:val="center"/>
            </w:pPr>
            <w:r/>
            <w:r>
              <w:rPr>
                <w:sz w:val="19"/>
              </w:rPr>
              <w:t>Euclid, Elements (Heath)</w:t>
            </w:r>
          </w:p>
        </w:tc>
        <w:tc>
          <w:tcPr>
            <w:tcW w:type="dxa" w:w="3135"/>
          </w:tcPr>
          <w:p>
            <w:pPr>
              <w:jc w:val="center"/>
            </w:pPr>
            <w:r/>
            <w:r>
              <w:rPr>
                <w:sz w:val="19"/>
              </w:rPr>
              <w:t>5,911</w:t>
            </w:r>
          </w:p>
        </w:tc>
        <w:tc>
          <w:tcPr>
            <w:tcW w:type="dxa" w:w="3135"/>
          </w:tcPr>
          <w:p>
            <w:pPr>
              <w:jc w:val="center"/>
            </w:pPr>
            <w:r/>
            <w:r>
              <w:rPr>
                <w:b/>
                <w:sz w:val="19"/>
              </w:rPr>
              <w:t>98.5%</w:t>
            </w:r>
          </w:p>
        </w:tc>
      </w:tr>
      <w:tr>
        <w:tc>
          <w:tcPr>
            <w:tcW w:type="dxa" w:w="3135"/>
          </w:tcPr>
          <w:p>
            <w:pPr>
              <w:jc w:val="center"/>
            </w:pPr>
            <w:r/>
            <w:r>
              <w:rPr>
                <w:sz w:val="19"/>
              </w:rPr>
              <w:t>Cardano, Ars Magna (Witmer)</w:t>
            </w:r>
          </w:p>
        </w:tc>
        <w:tc>
          <w:tcPr>
            <w:tcW w:type="dxa" w:w="3135"/>
          </w:tcPr>
          <w:p>
            <w:pPr>
              <w:jc w:val="center"/>
            </w:pPr>
            <w:r/>
            <w:r>
              <w:rPr>
                <w:sz w:val="19"/>
              </w:rPr>
              <w:t>291</w:t>
            </w:r>
          </w:p>
        </w:tc>
        <w:tc>
          <w:tcPr>
            <w:tcW w:type="dxa" w:w="3135"/>
          </w:tcPr>
          <w:p>
            <w:pPr>
              <w:jc w:val="center"/>
            </w:pPr>
            <w:r/>
            <w:r>
              <w:rPr>
                <w:b/>
                <w:sz w:val="19"/>
              </w:rPr>
              <w:t>95.2%</w:t>
            </w:r>
          </w:p>
        </w:tc>
      </w:tr>
      <w:tr>
        <w:tc>
          <w:tcPr>
            <w:tcW w:type="dxa" w:w="3135"/>
          </w:tcPr>
          <w:p>
            <w:pPr>
              <w:jc w:val="center"/>
            </w:pPr>
            <w:r/>
            <w:r>
              <w:rPr>
                <w:sz w:val="19"/>
              </w:rPr>
              <w:t>Newton, Principia (Motte)</w:t>
            </w:r>
          </w:p>
        </w:tc>
        <w:tc>
          <w:tcPr>
            <w:tcW w:type="dxa" w:w="3135"/>
          </w:tcPr>
          <w:p>
            <w:pPr>
              <w:jc w:val="center"/>
            </w:pPr>
            <w:r/>
            <w:r>
              <w:rPr>
                <w:sz w:val="19"/>
              </w:rPr>
              <w:t>2,024</w:t>
            </w:r>
          </w:p>
        </w:tc>
        <w:tc>
          <w:tcPr>
            <w:tcW w:type="dxa" w:w="3135"/>
          </w:tcPr>
          <w:p>
            <w:pPr>
              <w:jc w:val="center"/>
            </w:pPr>
            <w:r/>
            <w:r>
              <w:rPr>
                <w:b/>
                <w:sz w:val="19"/>
              </w:rPr>
              <w:t>92.5%</w:t>
            </w:r>
          </w:p>
        </w:tc>
      </w:tr>
      <w:tr>
        <w:tc>
          <w:tcPr>
            <w:tcW w:type="dxa" w:w="3135"/>
          </w:tcPr>
          <w:p>
            <w:pPr>
              <w:jc w:val="center"/>
            </w:pPr>
            <w:r/>
            <w:r>
              <w:rPr>
                <w:sz w:val="19"/>
              </w:rPr>
              <w:t>Newton, Opticks</w:t>
            </w:r>
          </w:p>
        </w:tc>
        <w:tc>
          <w:tcPr>
            <w:tcW w:type="dxa" w:w="3135"/>
          </w:tcPr>
          <w:p>
            <w:pPr>
              <w:jc w:val="center"/>
            </w:pPr>
            <w:r/>
            <w:r>
              <w:rPr>
                <w:sz w:val="19"/>
              </w:rPr>
              <w:t>529</w:t>
            </w:r>
          </w:p>
        </w:tc>
        <w:tc>
          <w:tcPr>
            <w:tcW w:type="dxa" w:w="3135"/>
          </w:tcPr>
          <w:p>
            <w:pPr>
              <w:jc w:val="center"/>
            </w:pPr>
            <w:r/>
            <w:r>
              <w:rPr>
                <w:b/>
                <w:sz w:val="19"/>
              </w:rPr>
              <w:t>96.6%</w:t>
            </w:r>
          </w:p>
        </w:tc>
      </w:tr>
    </w:tbl>
    <w:p>
      <w:pPr>
        <w:spacing w:line="336" w:lineRule="auto"/>
        <w:ind w:firstLine="283"/>
      </w:pPr>
      <w:r>
        <w:rPr>
          <w:rFonts w:ascii="Times New Roman" w:hAnsi="Times New Roman"/>
          <w:sz w:val="22"/>
        </w:rPr>
        <w:t xml:space="preserve">All four canonical works self-match above 92%. This confirms that mathematical texts form a coherent cluster in BGE-M3's vector space, adequately representable by a single mean vector. As a contrast, we built an "epic center" from Homer's </w:t>
      </w:r>
      <w:r>
        <w:rPr>
          <w:rFonts w:ascii="Times New Roman" w:hAnsi="Times New Roman"/>
          <w:i/>
          <w:sz w:val="22"/>
        </w:rPr>
        <w:t>Iliad</w:t>
      </w:r>
      <w:r>
        <w:rPr>
          <w:rFonts w:ascii="Times New Roman" w:hAnsi="Times New Roman"/>
          <w:sz w:val="22"/>
        </w:rPr>
        <w:t xml:space="preserve"> and </w:t>
      </w:r>
      <w:r>
        <w:rPr>
          <w:rFonts w:ascii="Times New Roman" w:hAnsi="Times New Roman"/>
          <w:i/>
          <w:sz w:val="22"/>
        </w:rPr>
        <w:t>Odyssey</w:t>
      </w:r>
      <w:r>
        <w:rPr>
          <w:rFonts w:ascii="Times New Roman" w:hAnsi="Times New Roman"/>
          <w:sz w:val="22"/>
        </w:rPr>
        <w:t>; its self-match rate is also &gt;85%, confirming that BGE does capture stylistic structure — but different style clusters are clearly separate (epic center against Euclid: &lt;3%).</w:t>
      </w:r>
    </w:p>
    <w:p>
      <w:pPr>
        <w:spacing w:line="336" w:lineRule="auto"/>
        <w:ind w:firstLine="283"/>
      </w:pPr>
      <w:r>
        <w:rPr>
          <w:rFonts w:ascii="Times New Roman" w:hAnsi="Times New Roman"/>
          <w:sz w:val="22"/>
        </w:rPr>
        <w:t xml:space="preserve">This baseline shows the method </w:t>
      </w:r>
      <w:r>
        <w:rPr>
          <w:rFonts w:ascii="Times New Roman" w:hAnsi="Times New Roman"/>
          <w:b/>
          <w:sz w:val="22"/>
        </w:rPr>
        <w:t>reliably identifies "mathematical language" as a textual style</w:t>
      </w:r>
      <w:r>
        <w:rPr>
          <w:rFonts w:ascii="Times New Roman" w:hAnsi="Times New Roman"/>
          <w:sz w:val="22"/>
        </w:rPr>
        <w:t xml:space="preserve">. It does not, however, identify </w:t>
      </w:r>
      <w:r>
        <w:rPr>
          <w:rFonts w:ascii="Times New Roman" w:hAnsi="Times New Roman"/>
          <w:b/>
          <w:sz w:val="22"/>
        </w:rPr>
        <w:t>mathematical thought</w:t>
      </w:r>
      <w:r>
        <w:rPr>
          <w:rFonts w:ascii="Times New Roman" w:hAnsi="Times New Roman"/>
          <w:sz w:val="22"/>
        </w:rPr>
        <w:t>. It can tell you "this paragraph reads like Heath's Euclid"; it cannot tell you "this paragraph is mathematically meaningful." This distinction is discussed in Chapter 4.</w:t>
      </w:r>
    </w:p>
    <w:p>
      <w:pPr>
        <w:pStyle w:val="Heading2"/>
      </w:pPr>
      <w:r>
        <w:rPr>
          <w:rFonts w:ascii="Times New Roman" w:hAnsi="Times New Roman"/>
          <w:b/>
          <w:sz w:val="25"/>
        </w:rPr>
        <w:t>2.8 Method Boundaries and Limitations</w:t>
      </w:r>
    </w:p>
    <w:p>
      <w:pPr>
        <w:spacing w:line="336" w:lineRule="auto"/>
        <w:ind w:firstLine="283"/>
      </w:pPr>
      <w:r>
        <w:rPr>
          <w:rFonts w:ascii="Times New Roman" w:hAnsi="Times New Roman"/>
          <w:sz w:val="22"/>
        </w:rPr>
        <w:t>Three limitations must be stated up front and kept in mind when interpreting results:</w:t>
      </w:r>
    </w:p>
    <w:p>
      <w:pPr>
        <w:spacing w:line="336" w:lineRule="auto"/>
        <w:ind w:firstLine="283"/>
      </w:pPr>
      <w:r>
        <w:rPr>
          <w:rFonts w:ascii="Times New Roman" w:hAnsi="Times New Roman"/>
          <w:b/>
          <w:sz w:val="22"/>
        </w:rPr>
        <w:t>(i) Measured: style of the English translation, not mathematical substance of the original.</w:t>
      </w:r>
      <w:r>
        <w:rPr>
          <w:rFonts w:ascii="Times New Roman" w:hAnsi="Times New Roman"/>
          <w:sz w:val="22"/>
        </w:rPr>
        <w:t xml:space="preserve"> See §2.6.</w:t>
      </w:r>
    </w:p>
    <w:p>
      <w:pPr>
        <w:spacing w:line="336" w:lineRule="auto"/>
        <w:ind w:firstLine="283"/>
      </w:pPr>
      <w:r>
        <w:rPr>
          <w:rFonts w:ascii="Times New Roman" w:hAnsi="Times New Roman"/>
          <w:b/>
          <w:sz w:val="22"/>
        </w:rPr>
        <w:t>(ii) Gutenberg and Perseus sampling biases.</w:t>
      </w:r>
      <w:r>
        <w:rPr>
          <w:rFonts w:ascii="Times New Roman" w:hAnsi="Times New Roman"/>
          <w:sz w:val="22"/>
        </w:rPr>
        <w:t xml:space="preserve"> Gutenberg's top 1000 is not "the true reading market of the era" — it is a 21st-century snapshot of which out-of-copyright texts have been digitized and downloaded. Perseus's translations are academically selected canon, not "all surviving Roman-era texts." Our results reflect </w:t>
      </w:r>
      <w:r>
        <w:rPr>
          <w:rFonts w:ascii="Times New Roman" w:hAnsi="Times New Roman"/>
          <w:b/>
          <w:sz w:val="22"/>
        </w:rPr>
        <w:t>"the distribution of currently available digitized English-translated texts,"</w:t>
      </w:r>
      <w:r>
        <w:rPr>
          <w:rFonts w:ascii="Times New Roman" w:hAnsi="Times New Roman"/>
          <w:sz w:val="22"/>
        </w:rPr>
        <w:t xml:space="preserve"> not a real historical reading ecology.</w:t>
      </w:r>
    </w:p>
    <w:p>
      <w:pPr>
        <w:spacing w:line="336" w:lineRule="auto"/>
        <w:ind w:firstLine="283"/>
      </w:pPr>
      <w:r>
        <w:rPr>
          <w:rFonts w:ascii="Times New Roman" w:hAnsi="Times New Roman"/>
          <w:b/>
          <w:sz w:val="22"/>
        </w:rPr>
        <w:t>(iii) The method cannot identify mathematical thought.</w:t>
      </w:r>
      <w:r>
        <w:rPr>
          <w:rFonts w:ascii="Times New Roman" w:hAnsi="Times New Roman"/>
          <w:sz w:val="22"/>
        </w:rPr>
        <w:t xml:space="preserve"> A book presenting deep mathematical ideas in literary prose will score low. A book mimicking mathematical form (like Spinoza's </w:t>
      </w:r>
      <w:r>
        <w:rPr>
          <w:rFonts w:ascii="Times New Roman" w:hAnsi="Times New Roman"/>
          <w:i/>
          <w:sz w:val="22"/>
        </w:rPr>
        <w:t>Ethics</w:t>
      </w:r>
      <w:r>
        <w:rPr>
          <w:rFonts w:ascii="Times New Roman" w:hAnsi="Times New Roman"/>
          <w:sz w:val="22"/>
        </w:rPr>
        <w:t xml:space="preserve"> with its "definition–axiom–proposition–proof" structure) while discussing theology will score high. This limitation will be discussed through the Spinoza case in Chapter 4.</w:t>
      </w:r>
    </w:p>
    <w:p/>
    <w:p>
      <w:pPr>
        <w:pStyle w:val="Heading1"/>
      </w:pPr>
      <w:r>
        <w:rPr>
          <w:rFonts w:ascii="Times New Roman" w:hAnsi="Times New Roman"/>
          <w:b/>
          <w:sz w:val="30"/>
        </w:rPr>
        <w:t>3. Data and Results</w:t>
      </w:r>
    </w:p>
    <w:p>
      <w:pPr>
        <w:pStyle w:val="Heading2"/>
      </w:pPr>
      <w:r>
        <w:rPr>
          <w:rFonts w:ascii="Times New Roman" w:hAnsi="Times New Roman"/>
          <w:b/>
          <w:sz w:val="25"/>
        </w:rPr>
        <w:t>3.1 Overview of the Five Slices</w:t>
      </w:r>
    </w:p>
    <w:p>
      <w:pPr>
        <w:spacing w:line="336" w:lineRule="auto"/>
        <w:ind w:firstLine="283"/>
      </w:pPr>
      <w:r>
        <w:rPr>
          <w:rFonts w:ascii="Times New Roman" w:hAnsi="Times New Roman"/>
          <w:sz w:val="22"/>
        </w:rPr>
        <w:t>Summary statistics: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b/>
                <w:sz w:val="20"/>
              </w:rPr>
              <w:t>Slice</w:t>
            </w:r>
          </w:p>
        </w:tc>
        <w:tc>
          <w:tcPr>
            <w:tcW w:type="dxa" w:w="1176"/>
          </w:tcPr>
          <w:p>
            <w:pPr>
              <w:jc w:val="center"/>
            </w:pPr>
            <w:r/>
            <w:r>
              <w:rPr>
                <w:b/>
                <w:sz w:val="20"/>
              </w:rPr>
              <w:t>Books</w:t>
            </w:r>
          </w:p>
        </w:tc>
        <w:tc>
          <w:tcPr>
            <w:tcW w:type="dxa" w:w="1176"/>
          </w:tcPr>
          <w:p>
            <w:pPr>
              <w:jc w:val="center"/>
            </w:pPr>
            <w:r/>
            <w:r>
              <w:rPr>
                <w:b/>
                <w:sz w:val="20"/>
              </w:rPr>
              <w:t>Total Paragraphs</w:t>
            </w:r>
          </w:p>
        </w:tc>
        <w:tc>
          <w:tcPr>
            <w:tcW w:type="dxa" w:w="1176"/>
          </w:tcPr>
          <w:p>
            <w:pPr>
              <w:jc w:val="center"/>
            </w:pPr>
            <w:r/>
            <w:r>
              <w:rPr>
                <w:b/>
                <w:sz w:val="20"/>
              </w:rPr>
              <w:t>Simple Mean</w:t>
            </w:r>
          </w:p>
        </w:tc>
        <w:tc>
          <w:tcPr>
            <w:tcW w:type="dxa" w:w="1176"/>
          </w:tcPr>
          <w:p>
            <w:pPr>
              <w:jc w:val="center"/>
            </w:pPr>
            <w:r/>
            <w:r>
              <w:rPr>
                <w:b/>
                <w:sz w:val="20"/>
              </w:rPr>
              <w:t>Para-Weighted</w:t>
            </w:r>
          </w:p>
        </w:tc>
        <w:tc>
          <w:tcPr>
            <w:tcW w:type="dxa" w:w="1176"/>
          </w:tcPr>
          <w:p>
            <w:pPr>
              <w:jc w:val="center"/>
            </w:pPr>
            <w:r/>
            <w:r>
              <w:rPr>
                <w:b/>
                <w:sz w:val="20"/>
              </w:rPr>
              <w:t>Median</w:t>
            </w:r>
          </w:p>
        </w:tc>
        <w:tc>
          <w:tcPr>
            <w:tcW w:type="dxa" w:w="1176"/>
          </w:tcPr>
          <w:p>
            <w:pPr>
              <w:jc w:val="center"/>
            </w:pPr>
            <w:r/>
            <w:r>
              <w:rPr>
                <w:b/>
                <w:sz w:val="20"/>
              </w:rPr>
              <w:t>Top-5 Mean</w:t>
            </w:r>
          </w:p>
        </w:tc>
        <w:tc>
          <w:tcPr>
            <w:tcW w:type="dxa" w:w="1176"/>
          </w:tcPr>
          <w:p>
            <w:pPr>
              <w:jc w:val="center"/>
            </w:pPr>
            <w:r/>
            <w:r>
              <w:rPr>
                <w:b/>
                <w:sz w:val="20"/>
              </w:rPr>
              <w:t>Top-10 Mean</w:t>
            </w:r>
          </w:p>
        </w:tc>
      </w:tr>
      <w:tr>
        <w:tc>
          <w:tcPr>
            <w:tcW w:type="dxa" w:w="1176"/>
          </w:tcPr>
          <w:p>
            <w:pPr>
              <w:jc w:val="center"/>
            </w:pPr>
            <w:r/>
            <w:r>
              <w:rPr>
                <w:sz w:val="19"/>
              </w:rPr>
              <w:t>Greek (Classical + Hellenistic)</w:t>
            </w:r>
          </w:p>
        </w:tc>
        <w:tc>
          <w:tcPr>
            <w:tcW w:type="dxa" w:w="1176"/>
          </w:tcPr>
          <w:p>
            <w:pPr>
              <w:jc w:val="center"/>
            </w:pPr>
            <w:r/>
            <w:r>
              <w:rPr>
                <w:sz w:val="19"/>
              </w:rPr>
              <w:t>339</w:t>
            </w:r>
          </w:p>
        </w:tc>
        <w:tc>
          <w:tcPr>
            <w:tcW w:type="dxa" w:w="1176"/>
          </w:tcPr>
          <w:p>
            <w:pPr>
              <w:jc w:val="center"/>
            </w:pPr>
            <w:r/>
            <w:r>
              <w:rPr>
                <w:sz w:val="19"/>
              </w:rPr>
              <w:t>91,895</w:t>
            </w:r>
          </w:p>
        </w:tc>
        <w:tc>
          <w:tcPr>
            <w:tcW w:type="dxa" w:w="1176"/>
          </w:tcPr>
          <w:p>
            <w:pPr>
              <w:jc w:val="center"/>
            </w:pPr>
            <w:r/>
            <w:r>
              <w:rPr>
                <w:sz w:val="19"/>
              </w:rPr>
              <w:t>3.04%</w:t>
            </w:r>
          </w:p>
        </w:tc>
        <w:tc>
          <w:tcPr>
            <w:tcW w:type="dxa" w:w="1176"/>
          </w:tcPr>
          <w:p>
            <w:pPr>
              <w:jc w:val="center"/>
            </w:pPr>
            <w:r/>
            <w:r>
              <w:rPr>
                <w:sz w:val="19"/>
              </w:rPr>
              <w:t>10.81%</w:t>
            </w:r>
          </w:p>
        </w:tc>
        <w:tc>
          <w:tcPr>
            <w:tcW w:type="dxa" w:w="1176"/>
          </w:tcPr>
          <w:p>
            <w:pPr>
              <w:jc w:val="center"/>
            </w:pPr>
            <w:r/>
            <w:r>
              <w:rPr>
                <w:sz w:val="19"/>
              </w:rPr>
              <w:t>0.31%</w:t>
            </w:r>
          </w:p>
        </w:tc>
        <w:tc>
          <w:tcPr>
            <w:tcW w:type="dxa" w:w="1176"/>
          </w:tcPr>
          <w:p>
            <w:pPr>
              <w:jc w:val="center"/>
            </w:pPr>
            <w:r/>
            <w:r>
              <w:rPr>
                <w:sz w:val="19"/>
              </w:rPr>
              <w:t>61.14%</w:t>
            </w:r>
          </w:p>
        </w:tc>
        <w:tc>
          <w:tcPr>
            <w:tcW w:type="dxa" w:w="1176"/>
          </w:tcPr>
          <w:p>
            <w:pPr>
              <w:jc w:val="center"/>
            </w:pPr>
            <w:r/>
            <w:r>
              <w:rPr>
                <w:sz w:val="19"/>
              </w:rPr>
              <w:t>45.19%</w:t>
            </w:r>
          </w:p>
        </w:tc>
      </w:tr>
      <w:tr>
        <w:tc>
          <w:tcPr>
            <w:tcW w:type="dxa" w:w="1176"/>
          </w:tcPr>
          <w:p>
            <w:pPr>
              <w:jc w:val="center"/>
            </w:pPr>
            <w:r/>
            <w:r>
              <w:rPr>
                <w:sz w:val="19"/>
              </w:rPr>
              <w:t>Roman</w:t>
            </w:r>
          </w:p>
        </w:tc>
        <w:tc>
          <w:tcPr>
            <w:tcW w:type="dxa" w:w="1176"/>
          </w:tcPr>
          <w:p>
            <w:pPr>
              <w:jc w:val="center"/>
            </w:pPr>
            <w:r/>
            <w:r>
              <w:rPr>
                <w:sz w:val="19"/>
              </w:rPr>
              <w:t>659</w:t>
            </w:r>
          </w:p>
        </w:tc>
        <w:tc>
          <w:tcPr>
            <w:tcW w:type="dxa" w:w="1176"/>
          </w:tcPr>
          <w:p>
            <w:pPr>
              <w:jc w:val="center"/>
            </w:pPr>
            <w:r/>
            <w:r>
              <w:rPr>
                <w:sz w:val="19"/>
              </w:rPr>
              <w:t>119,995</w:t>
            </w:r>
          </w:p>
        </w:tc>
        <w:tc>
          <w:tcPr>
            <w:tcW w:type="dxa" w:w="1176"/>
          </w:tcPr>
          <w:p>
            <w:pPr>
              <w:jc w:val="center"/>
            </w:pPr>
            <w:r/>
            <w:r>
              <w:rPr>
                <w:sz w:val="19"/>
              </w:rPr>
              <w:t>1.61%</w:t>
            </w:r>
          </w:p>
        </w:tc>
        <w:tc>
          <w:tcPr>
            <w:tcW w:type="dxa" w:w="1176"/>
          </w:tcPr>
          <w:p>
            <w:pPr>
              <w:jc w:val="center"/>
            </w:pPr>
            <w:r/>
            <w:r>
              <w:rPr>
                <w:sz w:val="19"/>
              </w:rPr>
              <w:t>1.93%</w:t>
            </w:r>
          </w:p>
        </w:tc>
        <w:tc>
          <w:tcPr>
            <w:tcW w:type="dxa" w:w="1176"/>
          </w:tcPr>
          <w:p>
            <w:pPr>
              <w:jc w:val="center"/>
            </w:pPr>
            <w:r/>
            <w:r>
              <w:rPr>
                <w:sz w:val="19"/>
              </w:rPr>
              <w:t>0.00%</w:t>
            </w:r>
          </w:p>
        </w:tc>
        <w:tc>
          <w:tcPr>
            <w:tcW w:type="dxa" w:w="1176"/>
          </w:tcPr>
          <w:p>
            <w:pPr>
              <w:jc w:val="center"/>
            </w:pPr>
            <w:r/>
            <w:r>
              <w:rPr>
                <w:sz w:val="19"/>
              </w:rPr>
              <w:t>47.36%</w:t>
            </w:r>
          </w:p>
        </w:tc>
        <w:tc>
          <w:tcPr>
            <w:tcW w:type="dxa" w:w="1176"/>
          </w:tcPr>
          <w:p>
            <w:pPr>
              <w:jc w:val="center"/>
            </w:pPr>
            <w:r/>
            <w:r>
              <w:rPr>
                <w:sz w:val="19"/>
              </w:rPr>
              <w:t>35.47%</w:t>
            </w:r>
          </w:p>
        </w:tc>
      </w:tr>
      <w:tr>
        <w:tc>
          <w:tcPr>
            <w:tcW w:type="dxa" w:w="1176"/>
          </w:tcPr>
          <w:p>
            <w:pPr>
              <w:jc w:val="center"/>
            </w:pPr>
            <w:r/>
            <w:r>
              <w:rPr>
                <w:sz w:val="19"/>
              </w:rPr>
              <w:t>Renaissance</w:t>
            </w:r>
          </w:p>
        </w:tc>
        <w:tc>
          <w:tcPr>
            <w:tcW w:type="dxa" w:w="1176"/>
          </w:tcPr>
          <w:p>
            <w:pPr>
              <w:jc w:val="center"/>
            </w:pPr>
            <w:r/>
            <w:r>
              <w:rPr>
                <w:sz w:val="19"/>
              </w:rPr>
              <w:t>365</w:t>
            </w:r>
          </w:p>
        </w:tc>
        <w:tc>
          <w:tcPr>
            <w:tcW w:type="dxa" w:w="1176"/>
          </w:tcPr>
          <w:p>
            <w:pPr>
              <w:jc w:val="center"/>
            </w:pPr>
            <w:r/>
            <w:r>
              <w:rPr>
                <w:sz w:val="19"/>
              </w:rPr>
              <w:t>432,870</w:t>
            </w:r>
          </w:p>
        </w:tc>
        <w:tc>
          <w:tcPr>
            <w:tcW w:type="dxa" w:w="1176"/>
          </w:tcPr>
          <w:p>
            <w:pPr>
              <w:jc w:val="center"/>
            </w:pPr>
            <w:r/>
            <w:r>
              <w:rPr>
                <w:sz w:val="19"/>
              </w:rPr>
              <w:t>0.88%</w:t>
            </w:r>
          </w:p>
        </w:tc>
        <w:tc>
          <w:tcPr>
            <w:tcW w:type="dxa" w:w="1176"/>
          </w:tcPr>
          <w:p>
            <w:pPr>
              <w:jc w:val="center"/>
            </w:pPr>
            <w:r/>
            <w:r>
              <w:rPr>
                <w:sz w:val="19"/>
              </w:rPr>
              <w:t>0.72%</w:t>
            </w:r>
          </w:p>
        </w:tc>
        <w:tc>
          <w:tcPr>
            <w:tcW w:type="dxa" w:w="1176"/>
          </w:tcPr>
          <w:p>
            <w:pPr>
              <w:jc w:val="center"/>
            </w:pPr>
            <w:r/>
            <w:r>
              <w:rPr>
                <w:sz w:val="19"/>
              </w:rPr>
              <w:t>0.00%</w:t>
            </w:r>
          </w:p>
        </w:tc>
        <w:tc>
          <w:tcPr>
            <w:tcW w:type="dxa" w:w="1176"/>
          </w:tcPr>
          <w:p>
            <w:pPr>
              <w:jc w:val="center"/>
            </w:pPr>
            <w:r/>
            <w:r>
              <w:rPr>
                <w:sz w:val="19"/>
              </w:rPr>
              <w:t>41.64%</w:t>
            </w:r>
          </w:p>
        </w:tc>
        <w:tc>
          <w:tcPr>
            <w:tcW w:type="dxa" w:w="1176"/>
          </w:tcPr>
          <w:p>
            <w:pPr>
              <w:jc w:val="center"/>
            </w:pPr>
            <w:r/>
            <w:r>
              <w:rPr>
                <w:sz w:val="19"/>
              </w:rPr>
              <w:t>23.71%</w:t>
            </w:r>
          </w:p>
        </w:tc>
      </w:tr>
      <w:tr>
        <w:tc>
          <w:tcPr>
            <w:tcW w:type="dxa" w:w="1176"/>
          </w:tcPr>
          <w:p>
            <w:pPr>
              <w:jc w:val="center"/>
            </w:pPr>
            <w:r/>
            <w:r>
              <w:rPr>
                <w:sz w:val="19"/>
              </w:rPr>
              <w:t>Leibniz Era</w:t>
            </w:r>
          </w:p>
        </w:tc>
        <w:tc>
          <w:tcPr>
            <w:tcW w:type="dxa" w:w="1176"/>
          </w:tcPr>
          <w:p>
            <w:pPr>
              <w:jc w:val="center"/>
            </w:pPr>
            <w:r/>
            <w:r>
              <w:rPr>
                <w:sz w:val="19"/>
              </w:rPr>
              <w:t>983</w:t>
            </w:r>
          </w:p>
        </w:tc>
        <w:tc>
          <w:tcPr>
            <w:tcW w:type="dxa" w:w="1176"/>
          </w:tcPr>
          <w:p>
            <w:pPr>
              <w:jc w:val="center"/>
            </w:pPr>
            <w:r/>
            <w:r>
              <w:rPr>
                <w:sz w:val="19"/>
              </w:rPr>
              <w:t>1,011,464</w:t>
            </w:r>
          </w:p>
        </w:tc>
        <w:tc>
          <w:tcPr>
            <w:tcW w:type="dxa" w:w="1176"/>
          </w:tcPr>
          <w:p>
            <w:pPr>
              <w:jc w:val="center"/>
            </w:pPr>
            <w:r/>
            <w:r>
              <w:rPr>
                <w:sz w:val="19"/>
              </w:rPr>
              <w:t>12.44%</w:t>
            </w:r>
          </w:p>
        </w:tc>
        <w:tc>
          <w:tcPr>
            <w:tcW w:type="dxa" w:w="1176"/>
          </w:tcPr>
          <w:p>
            <w:pPr>
              <w:jc w:val="center"/>
            </w:pPr>
            <w:r/>
            <w:r>
              <w:rPr>
                <w:sz w:val="19"/>
              </w:rPr>
              <w:t>12.89%</w:t>
            </w:r>
          </w:p>
        </w:tc>
        <w:tc>
          <w:tcPr>
            <w:tcW w:type="dxa" w:w="1176"/>
          </w:tcPr>
          <w:p>
            <w:pPr>
              <w:jc w:val="center"/>
            </w:pPr>
            <w:r/>
            <w:r>
              <w:rPr>
                <w:sz w:val="19"/>
              </w:rPr>
              <w:t>6.84%</w:t>
            </w:r>
          </w:p>
        </w:tc>
        <w:tc>
          <w:tcPr>
            <w:tcW w:type="dxa" w:w="1176"/>
          </w:tcPr>
          <w:p>
            <w:pPr>
              <w:jc w:val="center"/>
            </w:pPr>
            <w:r/>
            <w:r>
              <w:rPr>
                <w:sz w:val="19"/>
              </w:rPr>
              <w:t>89.58%</w:t>
            </w:r>
          </w:p>
        </w:tc>
        <w:tc>
          <w:tcPr>
            <w:tcW w:type="dxa" w:w="1176"/>
          </w:tcPr>
          <w:p>
            <w:pPr>
              <w:jc w:val="center"/>
            </w:pPr>
            <w:r/>
            <w:r>
              <w:rPr>
                <w:sz w:val="19"/>
              </w:rPr>
              <w:t>86.11%</w:t>
            </w:r>
          </w:p>
        </w:tc>
      </w:tr>
      <w:tr>
        <w:tc>
          <w:tcPr>
            <w:tcW w:type="dxa" w:w="1176"/>
          </w:tcPr>
          <w:p>
            <w:pPr>
              <w:jc w:val="center"/>
            </w:pPr>
            <w:r/>
            <w:r>
              <w:rPr>
                <w:sz w:val="19"/>
              </w:rPr>
              <w:t>Euler Era</w:t>
            </w:r>
          </w:p>
        </w:tc>
        <w:tc>
          <w:tcPr>
            <w:tcW w:type="dxa" w:w="1176"/>
          </w:tcPr>
          <w:p>
            <w:pPr>
              <w:jc w:val="center"/>
            </w:pPr>
            <w:r/>
            <w:r>
              <w:rPr>
                <w:sz w:val="19"/>
              </w:rPr>
              <w:t>1,631</w:t>
            </w:r>
          </w:p>
        </w:tc>
        <w:tc>
          <w:tcPr>
            <w:tcW w:type="dxa" w:w="1176"/>
          </w:tcPr>
          <w:p>
            <w:pPr>
              <w:jc w:val="center"/>
            </w:pPr>
            <w:r/>
            <w:r>
              <w:rPr>
                <w:sz w:val="19"/>
              </w:rPr>
              <w:t>1,700,526</w:t>
            </w:r>
          </w:p>
        </w:tc>
        <w:tc>
          <w:tcPr>
            <w:tcW w:type="dxa" w:w="1176"/>
          </w:tcPr>
          <w:p>
            <w:pPr>
              <w:jc w:val="center"/>
            </w:pPr>
            <w:r/>
            <w:r>
              <w:rPr>
                <w:sz w:val="19"/>
              </w:rPr>
              <w:t>8.11%</w:t>
            </w:r>
          </w:p>
        </w:tc>
        <w:tc>
          <w:tcPr>
            <w:tcW w:type="dxa" w:w="1176"/>
          </w:tcPr>
          <w:p>
            <w:pPr>
              <w:jc w:val="center"/>
            </w:pPr>
            <w:r/>
            <w:r>
              <w:rPr>
                <w:sz w:val="19"/>
              </w:rPr>
              <w:t>7.60%</w:t>
            </w:r>
          </w:p>
        </w:tc>
        <w:tc>
          <w:tcPr>
            <w:tcW w:type="dxa" w:w="1176"/>
          </w:tcPr>
          <w:p>
            <w:pPr>
              <w:jc w:val="center"/>
            </w:pPr>
            <w:r/>
            <w:r>
              <w:rPr>
                <w:sz w:val="19"/>
              </w:rPr>
              <w:t>3.12%</w:t>
            </w:r>
          </w:p>
        </w:tc>
        <w:tc>
          <w:tcPr>
            <w:tcW w:type="dxa" w:w="1176"/>
          </w:tcPr>
          <w:p>
            <w:pPr>
              <w:jc w:val="center"/>
            </w:pPr>
            <w:r/>
            <w:r>
              <w:rPr>
                <w:sz w:val="19"/>
              </w:rPr>
              <w:t>90.86%</w:t>
            </w:r>
          </w:p>
        </w:tc>
        <w:tc>
          <w:tcPr>
            <w:tcW w:type="dxa" w:w="1176"/>
          </w:tcPr>
          <w:p>
            <w:pPr>
              <w:jc w:val="center"/>
            </w:pPr>
            <w:r/>
            <w:r>
              <w:rPr>
                <w:sz w:val="19"/>
              </w:rPr>
              <w:t>84.71%</w:t>
            </w:r>
          </w:p>
        </w:tc>
      </w:tr>
    </w:tbl>
    <w:p>
      <w:pPr>
        <w:spacing w:line="336" w:lineRule="auto"/>
        <w:ind w:firstLine="283"/>
      </w:pPr>
      <w:r>
        <w:rPr>
          <w:rFonts w:ascii="Times New Roman" w:hAnsi="Times New Roman"/>
          <w:sz w:val="22"/>
        </w:rPr>
        <w:t>All values are percentages — the proportion of paragraphs with similarity ≥ 0.6 in each book, aggregated per slice.</w:t>
      </w:r>
    </w:p>
    <w:p>
      <w:pPr>
        <w:spacing w:line="336" w:lineRule="auto"/>
        <w:ind w:firstLine="283"/>
      </w:pPr>
      <w:r>
        <w:rPr>
          <w:rFonts w:ascii="Times New Roman" w:hAnsi="Times New Roman"/>
          <w:b/>
          <w:sz w:val="22"/>
        </w:rPr>
        <w:t>Two curves</w:t>
      </w:r>
      <w:r>
        <w:rPr>
          <w:rFonts w:ascii="Times New Roman" w:hAnsi="Times New Roman"/>
          <w:sz w:val="22"/>
        </w:rPr>
        <w:t xml:space="preserve"> read directly from this table:</w:t>
      </w:r>
    </w:p>
    <w:p>
      <w:pPr>
        <w:jc w:val="center"/>
      </w:pPr>
      <w:r>
        <w:drawing>
          <wp:inline xmlns:a="http://schemas.openxmlformats.org/drawingml/2006/main" xmlns:pic="http://schemas.openxmlformats.org/drawingml/2006/picture">
            <wp:extent cx="5400000" cy="2943472"/>
            <wp:docPr id="2" name="Picture 2"/>
            <wp:cNvGraphicFramePr>
              <a:graphicFrameLocks noChangeAspect="1"/>
            </wp:cNvGraphicFramePr>
            <a:graphic>
              <a:graphicData uri="http://schemas.openxmlformats.org/drawingml/2006/picture">
                <pic:pic>
                  <pic:nvPicPr>
                    <pic:cNvPr id="0" name="fig1_dual_curves.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Figure: Dual curves across five slices</w:t>
      </w:r>
    </w:p>
    <w:p>
      <w:pPr>
        <w:spacing w:line="336" w:lineRule="auto"/>
        <w:ind w:firstLine="283"/>
      </w:pPr>
      <w:r>
        <w:rPr>
          <w:rFonts w:ascii="Times New Roman" w:hAnsi="Times New Roman"/>
          <w:b/>
          <w:sz w:val="22"/>
        </w:rPr>
        <w:t>Vertical elite curve (Top-5 mean)</w:t>
      </w:r>
      <w:r>
        <w:rPr>
          <w:rFonts w:ascii="Times New Roman" w:hAnsi="Times New Roman"/>
          <w:sz w:val="22"/>
        </w:rPr>
        <w:t>: From 61.1% (Greek), through the trough of 47.4% (Roman) and 41.6% (Renaissance), leaping to 89.6% (Leibniz) and 90.9% (Euler).</w:t>
      </w:r>
    </w:p>
    <w:p>
      <w:pPr>
        <w:spacing w:line="336" w:lineRule="auto"/>
        <w:ind w:firstLine="283"/>
      </w:pPr>
      <w:r>
        <w:rPr>
          <w:rFonts w:ascii="Times New Roman" w:hAnsi="Times New Roman"/>
          <w:b/>
          <w:sz w:val="22"/>
        </w:rPr>
        <w:t>Horizontal popularization curve (median)</w:t>
      </w:r>
      <w:r>
        <w:rPr>
          <w:rFonts w:ascii="Times New Roman" w:hAnsi="Times New Roman"/>
          <w:sz w:val="22"/>
        </w:rPr>
        <w:t>: Greek, Roman, and Renaissance are all at or near 0%; Leibniz jumps to 6.84%; Euler falls back to 3.12%.</w:t>
      </w:r>
    </w:p>
    <w:p>
      <w:pPr>
        <w:spacing w:line="336" w:lineRule="auto"/>
        <w:ind w:firstLine="283"/>
      </w:pPr>
      <w:r>
        <w:rPr>
          <w:rFonts w:ascii="Times New Roman" w:hAnsi="Times New Roman"/>
          <w:sz w:val="22"/>
        </w:rPr>
        <w:t>The rest of this chapter examines each slice in turn.</w:t>
      </w:r>
    </w:p>
    <w:p>
      <w:pPr>
        <w:pStyle w:val="Heading2"/>
      </w:pPr>
      <w:r>
        <w:rPr>
          <w:rFonts w:ascii="Times New Roman" w:hAnsi="Times New Roman"/>
          <w:b/>
          <w:sz w:val="25"/>
        </w:rPr>
        <w:t>3.2 Greek Slice: A Three-Pillar Classical Mathematical Language</w:t>
      </w:r>
    </w:p>
    <w:p>
      <w:pPr>
        <w:spacing w:line="336" w:lineRule="auto"/>
        <w:ind w:firstLine="283"/>
      </w:pPr>
      <w:r>
        <w:rPr>
          <w:rFonts w:ascii="Times New Roman" w:hAnsi="Times New Roman"/>
          <w:sz w:val="22"/>
        </w:rPr>
        <w:t xml:space="preserve">The Greek slice contains 339 English translations, 91,895 paragraphs, centered on Euclid's </w:t>
      </w:r>
      <w:r>
        <w:rPr>
          <w:rFonts w:ascii="Times New Roman" w:hAnsi="Times New Roman"/>
          <w:i/>
          <w:sz w:val="22"/>
        </w:rPr>
        <w:t>Elements</w:t>
      </w:r>
      <w:r>
        <w:rPr>
          <w:rFonts w:ascii="Times New Roman" w:hAnsi="Times New Roman"/>
          <w:sz w:val="22"/>
        </w:rPr>
        <w:t>. 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Rank</w:t>
            </w:r>
          </w:p>
        </w:tc>
        <w:tc>
          <w:tcPr>
            <w:tcW w:type="dxa" w:w="1881"/>
          </w:tcPr>
          <w:p>
            <w:pPr>
              <w:jc w:val="center"/>
            </w:pPr>
            <w:r/>
            <w:r>
              <w:rPr>
                <w:b/>
                <w:sz w:val="20"/>
              </w:rPr>
              <w:t>Author</w:t>
            </w:r>
          </w:p>
        </w:tc>
        <w:tc>
          <w:tcPr>
            <w:tcW w:type="dxa" w:w="1881"/>
          </w:tcPr>
          <w:p>
            <w:pPr>
              <w:jc w:val="center"/>
            </w:pPr>
            <w:r/>
            <w:r>
              <w:rPr>
                <w:b/>
                <w:sz w:val="20"/>
              </w:rPr>
              <w:t>Work</w:t>
            </w:r>
          </w:p>
        </w:tc>
        <w:tc>
          <w:tcPr>
            <w:tcW w:type="dxa" w:w="1881"/>
          </w:tcPr>
          <w:p>
            <w:pPr>
              <w:jc w:val="center"/>
            </w:pPr>
            <w:r/>
            <w:r>
              <w:rPr>
                <w:b/>
                <w:sz w:val="20"/>
              </w:rPr>
              <w:t>Paragraphs</w:t>
            </w:r>
          </w:p>
        </w:tc>
        <w:tc>
          <w:tcPr>
            <w:tcW w:type="dxa" w:w="1881"/>
          </w:tcPr>
          <w:p>
            <w:pPr>
              <w:jc w:val="center"/>
            </w:pPr>
            <w:r/>
            <w:r>
              <w:rPr>
                <w:b/>
                <w:sz w:val="20"/>
              </w:rPr>
              <w:t>≥0.6</w:t>
            </w:r>
          </w:p>
        </w:tc>
      </w:tr>
      <w:tr>
        <w:tc>
          <w:tcPr>
            <w:tcW w:type="dxa" w:w="1881"/>
          </w:tcPr>
          <w:p>
            <w:pPr>
              <w:jc w:val="center"/>
            </w:pPr>
            <w:r/>
            <w:r>
              <w:rPr>
                <w:sz w:val="19"/>
              </w:rPr>
              <w:t>1</w:t>
            </w:r>
          </w:p>
        </w:tc>
        <w:tc>
          <w:tcPr>
            <w:tcW w:type="dxa" w:w="1881"/>
          </w:tcPr>
          <w:p>
            <w:pPr>
              <w:jc w:val="center"/>
            </w:pPr>
            <w:r/>
            <w:r>
              <w:rPr>
                <w:sz w:val="19"/>
              </w:rPr>
              <w:t>Euclid</w:t>
            </w:r>
          </w:p>
        </w:tc>
        <w:tc>
          <w:tcPr>
            <w:tcW w:type="dxa" w:w="1881"/>
          </w:tcPr>
          <w:p>
            <w:pPr>
              <w:jc w:val="center"/>
            </w:pPr>
            <w:r/>
            <w:r>
              <w:rPr>
                <w:sz w:val="19"/>
              </w:rPr>
              <w:t>Elements</w:t>
            </w:r>
          </w:p>
        </w:tc>
        <w:tc>
          <w:tcPr>
            <w:tcW w:type="dxa" w:w="1881"/>
          </w:tcPr>
          <w:p>
            <w:pPr>
              <w:jc w:val="center"/>
            </w:pPr>
            <w:r/>
            <w:r>
              <w:rPr>
                <w:sz w:val="19"/>
              </w:rPr>
              <w:t>5,911</w:t>
            </w:r>
          </w:p>
        </w:tc>
        <w:tc>
          <w:tcPr>
            <w:tcW w:type="dxa" w:w="1881"/>
          </w:tcPr>
          <w:p>
            <w:pPr>
              <w:jc w:val="center"/>
            </w:pPr>
            <w:r/>
            <w:r>
              <w:rPr>
                <w:sz w:val="19"/>
              </w:rPr>
              <w:t>98.5%</w:t>
            </w:r>
          </w:p>
        </w:tc>
      </w:tr>
      <w:tr>
        <w:tc>
          <w:tcPr>
            <w:tcW w:type="dxa" w:w="1881"/>
          </w:tcPr>
          <w:p>
            <w:pPr>
              <w:jc w:val="center"/>
            </w:pPr>
            <w:r/>
            <w:r>
              <w:rPr>
                <w:sz w:val="19"/>
              </w:rPr>
              <w:t>2</w:t>
            </w:r>
          </w:p>
        </w:tc>
        <w:tc>
          <w:tcPr>
            <w:tcW w:type="dxa" w:w="1881"/>
          </w:tcPr>
          <w:p>
            <w:pPr>
              <w:jc w:val="center"/>
            </w:pPr>
            <w:r/>
            <w:r>
              <w:rPr>
                <w:sz w:val="19"/>
              </w:rPr>
              <w:t>Plato</w:t>
            </w:r>
          </w:p>
        </w:tc>
        <w:tc>
          <w:tcPr>
            <w:tcW w:type="dxa" w:w="1881"/>
          </w:tcPr>
          <w:p>
            <w:pPr>
              <w:jc w:val="center"/>
            </w:pPr>
            <w:r/>
            <w:r>
              <w:rPr>
                <w:sz w:val="19"/>
              </w:rPr>
              <w:t>Parmenides</w:t>
            </w:r>
          </w:p>
        </w:tc>
        <w:tc>
          <w:tcPr>
            <w:tcW w:type="dxa" w:w="1881"/>
          </w:tcPr>
          <w:p>
            <w:pPr>
              <w:jc w:val="center"/>
            </w:pPr>
            <w:r/>
            <w:r>
              <w:rPr>
                <w:sz w:val="19"/>
              </w:rPr>
              <w:t>41</w:t>
            </w:r>
          </w:p>
        </w:tc>
        <w:tc>
          <w:tcPr>
            <w:tcW w:type="dxa" w:w="1881"/>
          </w:tcPr>
          <w:p>
            <w:pPr>
              <w:jc w:val="center"/>
            </w:pPr>
            <w:r/>
            <w:r>
              <w:rPr>
                <w:sz w:val="19"/>
              </w:rPr>
              <w:t>70.7%</w:t>
            </w:r>
          </w:p>
        </w:tc>
      </w:tr>
      <w:tr>
        <w:tc>
          <w:tcPr>
            <w:tcW w:type="dxa" w:w="1881"/>
          </w:tcPr>
          <w:p>
            <w:pPr>
              <w:jc w:val="center"/>
            </w:pPr>
            <w:r/>
            <w:r>
              <w:rPr>
                <w:sz w:val="19"/>
              </w:rPr>
              <w:t>3</w:t>
            </w:r>
          </w:p>
        </w:tc>
        <w:tc>
          <w:tcPr>
            <w:tcW w:type="dxa" w:w="1881"/>
          </w:tcPr>
          <w:p>
            <w:pPr>
              <w:jc w:val="center"/>
            </w:pPr>
            <w:r/>
            <w:r>
              <w:rPr>
                <w:sz w:val="19"/>
              </w:rPr>
              <w:t>Aristotle</w:t>
            </w:r>
          </w:p>
        </w:tc>
        <w:tc>
          <w:tcPr>
            <w:tcW w:type="dxa" w:w="1881"/>
          </w:tcPr>
          <w:p>
            <w:pPr>
              <w:jc w:val="center"/>
            </w:pPr>
            <w:r/>
            <w:r>
              <w:rPr>
                <w:sz w:val="19"/>
              </w:rPr>
              <w:t>Metaphysics</w:t>
            </w:r>
          </w:p>
        </w:tc>
        <w:tc>
          <w:tcPr>
            <w:tcW w:type="dxa" w:w="1881"/>
          </w:tcPr>
          <w:p>
            <w:pPr>
              <w:jc w:val="center"/>
            </w:pPr>
            <w:r/>
            <w:r>
              <w:rPr>
                <w:sz w:val="19"/>
              </w:rPr>
              <w:t>1,779</w:t>
            </w:r>
          </w:p>
        </w:tc>
        <w:tc>
          <w:tcPr>
            <w:tcW w:type="dxa" w:w="1881"/>
          </w:tcPr>
          <w:p>
            <w:pPr>
              <w:jc w:val="center"/>
            </w:pPr>
            <w:r/>
            <w:r>
              <w:rPr>
                <w:sz w:val="19"/>
              </w:rPr>
              <w:t>63.0%</w:t>
            </w:r>
          </w:p>
        </w:tc>
      </w:tr>
      <w:tr>
        <w:tc>
          <w:tcPr>
            <w:tcW w:type="dxa" w:w="1881"/>
          </w:tcPr>
          <w:p>
            <w:pPr>
              <w:jc w:val="center"/>
            </w:pPr>
            <w:r/>
            <w:r>
              <w:rPr>
                <w:sz w:val="19"/>
              </w:rPr>
              <w:t>4</w:t>
            </w:r>
          </w:p>
        </w:tc>
        <w:tc>
          <w:tcPr>
            <w:tcW w:type="dxa" w:w="1881"/>
          </w:tcPr>
          <w:p>
            <w:pPr>
              <w:jc w:val="center"/>
            </w:pPr>
            <w:r/>
            <w:r>
              <w:rPr>
                <w:sz w:val="19"/>
              </w:rPr>
              <w:t>Plato</w:t>
            </w:r>
          </w:p>
        </w:tc>
        <w:tc>
          <w:tcPr>
            <w:tcW w:type="dxa" w:w="1881"/>
          </w:tcPr>
          <w:p>
            <w:pPr>
              <w:jc w:val="center"/>
            </w:pPr>
            <w:r/>
            <w:r>
              <w:rPr>
                <w:sz w:val="19"/>
              </w:rPr>
              <w:t>Timaeus</w:t>
            </w:r>
          </w:p>
        </w:tc>
        <w:tc>
          <w:tcPr>
            <w:tcW w:type="dxa" w:w="1881"/>
          </w:tcPr>
          <w:p>
            <w:pPr>
              <w:jc w:val="center"/>
            </w:pPr>
            <w:r/>
            <w:r>
              <w:rPr>
                <w:sz w:val="19"/>
              </w:rPr>
              <w:t>106</w:t>
            </w:r>
          </w:p>
        </w:tc>
        <w:tc>
          <w:tcPr>
            <w:tcW w:type="dxa" w:w="1881"/>
          </w:tcPr>
          <w:p>
            <w:pPr>
              <w:jc w:val="center"/>
            </w:pPr>
            <w:r/>
            <w:r>
              <w:rPr>
                <w:sz w:val="19"/>
              </w:rPr>
              <w:t>38.7%</w:t>
            </w:r>
          </w:p>
        </w:tc>
      </w:tr>
      <w:tr>
        <w:tc>
          <w:tcPr>
            <w:tcW w:type="dxa" w:w="1881"/>
          </w:tcPr>
          <w:p>
            <w:pPr>
              <w:jc w:val="center"/>
            </w:pPr>
            <w:r/>
            <w:r>
              <w:rPr>
                <w:sz w:val="19"/>
              </w:rPr>
              <w:t>5</w:t>
            </w:r>
          </w:p>
        </w:tc>
        <w:tc>
          <w:tcPr>
            <w:tcW w:type="dxa" w:w="1881"/>
          </w:tcPr>
          <w:p>
            <w:pPr>
              <w:jc w:val="center"/>
            </w:pPr>
            <w:r/>
            <w:r>
              <w:rPr>
                <w:sz w:val="19"/>
              </w:rPr>
              <w:t>Plato</w:t>
            </w:r>
          </w:p>
        </w:tc>
        <w:tc>
          <w:tcPr>
            <w:tcW w:type="dxa" w:w="1881"/>
          </w:tcPr>
          <w:p>
            <w:pPr>
              <w:jc w:val="center"/>
            </w:pPr>
            <w:r/>
            <w:r>
              <w:rPr>
                <w:sz w:val="19"/>
              </w:rPr>
              <w:t>Sophist</w:t>
            </w:r>
          </w:p>
        </w:tc>
        <w:tc>
          <w:tcPr>
            <w:tcW w:type="dxa" w:w="1881"/>
          </w:tcPr>
          <w:p>
            <w:pPr>
              <w:jc w:val="center"/>
            </w:pPr>
            <w:r/>
            <w:r>
              <w:rPr>
                <w:sz w:val="19"/>
              </w:rPr>
              <w:t>779</w:t>
            </w:r>
          </w:p>
        </w:tc>
        <w:tc>
          <w:tcPr>
            <w:tcW w:type="dxa" w:w="1881"/>
          </w:tcPr>
          <w:p>
            <w:pPr>
              <w:jc w:val="center"/>
            </w:pPr>
            <w:r/>
            <w:r>
              <w:rPr>
                <w:sz w:val="19"/>
              </w:rPr>
              <w:t>34.8%</w:t>
            </w:r>
          </w:p>
        </w:tc>
      </w:tr>
      <w:tr>
        <w:tc>
          <w:tcPr>
            <w:tcW w:type="dxa" w:w="1881"/>
          </w:tcPr>
          <w:p>
            <w:pPr>
              <w:jc w:val="center"/>
            </w:pPr>
            <w:r/>
            <w:r>
              <w:rPr>
                <w:sz w:val="19"/>
              </w:rPr>
              <w:t>6</w:t>
            </w:r>
          </w:p>
        </w:tc>
        <w:tc>
          <w:tcPr>
            <w:tcW w:type="dxa" w:w="1881"/>
          </w:tcPr>
          <w:p>
            <w:pPr>
              <w:jc w:val="center"/>
            </w:pPr>
            <w:r/>
            <w:r>
              <w:rPr>
                <w:sz w:val="19"/>
              </w:rPr>
              <w:t>Hippocrates</w:t>
            </w:r>
          </w:p>
        </w:tc>
        <w:tc>
          <w:tcPr>
            <w:tcW w:type="dxa" w:w="1881"/>
          </w:tcPr>
          <w:p>
            <w:pPr>
              <w:jc w:val="center"/>
            </w:pPr>
            <w:r/>
            <w:r>
              <w:rPr>
                <w:sz w:val="19"/>
              </w:rPr>
              <w:t>Nutriment</w:t>
            </w:r>
          </w:p>
        </w:tc>
        <w:tc>
          <w:tcPr>
            <w:tcW w:type="dxa" w:w="1881"/>
          </w:tcPr>
          <w:p>
            <w:pPr>
              <w:jc w:val="center"/>
            </w:pPr>
            <w:r/>
            <w:r>
              <w:rPr>
                <w:sz w:val="19"/>
              </w:rPr>
              <w:t>53</w:t>
            </w:r>
          </w:p>
        </w:tc>
        <w:tc>
          <w:tcPr>
            <w:tcW w:type="dxa" w:w="1881"/>
          </w:tcPr>
          <w:p>
            <w:pPr>
              <w:jc w:val="center"/>
            </w:pPr>
            <w:r/>
            <w:r>
              <w:rPr>
                <w:sz w:val="19"/>
              </w:rPr>
              <w:t>30.2%</w:t>
            </w:r>
          </w:p>
        </w:tc>
      </w:tr>
      <w:tr>
        <w:tc>
          <w:tcPr>
            <w:tcW w:type="dxa" w:w="1881"/>
          </w:tcPr>
          <w:p>
            <w:pPr>
              <w:jc w:val="center"/>
            </w:pPr>
            <w:r/>
            <w:r>
              <w:rPr>
                <w:sz w:val="19"/>
              </w:rPr>
              <w:t>7</w:t>
            </w:r>
          </w:p>
        </w:tc>
        <w:tc>
          <w:tcPr>
            <w:tcW w:type="dxa" w:w="1881"/>
          </w:tcPr>
          <w:p>
            <w:pPr>
              <w:jc w:val="center"/>
            </w:pPr>
            <w:r/>
            <w:r>
              <w:rPr>
                <w:sz w:val="19"/>
              </w:rPr>
              <w:t>Aristotle</w:t>
            </w:r>
          </w:p>
        </w:tc>
        <w:tc>
          <w:tcPr>
            <w:tcW w:type="dxa" w:w="1881"/>
          </w:tcPr>
          <w:p>
            <w:pPr>
              <w:jc w:val="center"/>
            </w:pPr>
            <w:r/>
            <w:r>
              <w:rPr>
                <w:sz w:val="19"/>
              </w:rPr>
              <w:t>Eudemian Ethics</w:t>
            </w:r>
          </w:p>
        </w:tc>
        <w:tc>
          <w:tcPr>
            <w:tcW w:type="dxa" w:w="1881"/>
          </w:tcPr>
          <w:p>
            <w:pPr>
              <w:jc w:val="center"/>
            </w:pPr>
            <w:r/>
            <w:r>
              <w:rPr>
                <w:sz w:val="19"/>
              </w:rPr>
              <w:t>611</w:t>
            </w:r>
          </w:p>
        </w:tc>
        <w:tc>
          <w:tcPr>
            <w:tcW w:type="dxa" w:w="1881"/>
          </w:tcPr>
          <w:p>
            <w:pPr>
              <w:jc w:val="center"/>
            </w:pPr>
            <w:r/>
            <w:r>
              <w:rPr>
                <w:sz w:val="19"/>
              </w:rPr>
              <w:t>30.1%</w:t>
            </w:r>
          </w:p>
        </w:tc>
      </w:tr>
      <w:tr>
        <w:tc>
          <w:tcPr>
            <w:tcW w:type="dxa" w:w="1881"/>
          </w:tcPr>
          <w:p>
            <w:pPr>
              <w:jc w:val="center"/>
            </w:pPr>
            <w:r/>
            <w:r>
              <w:rPr>
                <w:sz w:val="19"/>
              </w:rPr>
              <w:t>8</w:t>
            </w:r>
          </w:p>
        </w:tc>
        <w:tc>
          <w:tcPr>
            <w:tcW w:type="dxa" w:w="1881"/>
          </w:tcPr>
          <w:p>
            <w:pPr>
              <w:jc w:val="center"/>
            </w:pPr>
            <w:r/>
            <w:r>
              <w:rPr>
                <w:sz w:val="19"/>
              </w:rPr>
              <w:t>Plato</w:t>
            </w:r>
          </w:p>
        </w:tc>
        <w:tc>
          <w:tcPr>
            <w:tcW w:type="dxa" w:w="1881"/>
          </w:tcPr>
          <w:p>
            <w:pPr>
              <w:jc w:val="center"/>
            </w:pPr>
            <w:r/>
            <w:r>
              <w:rPr>
                <w:sz w:val="19"/>
              </w:rPr>
              <w:t>Philebus</w:t>
            </w:r>
          </w:p>
        </w:tc>
        <w:tc>
          <w:tcPr>
            <w:tcW w:type="dxa" w:w="1881"/>
          </w:tcPr>
          <w:p>
            <w:pPr>
              <w:jc w:val="center"/>
            </w:pPr>
            <w:r/>
            <w:r>
              <w:rPr>
                <w:sz w:val="19"/>
              </w:rPr>
              <w:t>781</w:t>
            </w:r>
          </w:p>
        </w:tc>
        <w:tc>
          <w:tcPr>
            <w:tcW w:type="dxa" w:w="1881"/>
          </w:tcPr>
          <w:p>
            <w:pPr>
              <w:jc w:val="center"/>
            </w:pPr>
            <w:r/>
            <w:r>
              <w:rPr>
                <w:sz w:val="19"/>
              </w:rPr>
              <w:t>29.7%</w:t>
            </w:r>
          </w:p>
        </w:tc>
      </w:tr>
      <w:tr>
        <w:tc>
          <w:tcPr>
            <w:tcW w:type="dxa" w:w="1881"/>
          </w:tcPr>
          <w:p>
            <w:pPr>
              <w:jc w:val="center"/>
            </w:pPr>
            <w:r/>
            <w:r>
              <w:rPr>
                <w:sz w:val="19"/>
              </w:rPr>
              <w:t>9</w:t>
            </w:r>
          </w:p>
        </w:tc>
        <w:tc>
          <w:tcPr>
            <w:tcW w:type="dxa" w:w="1881"/>
          </w:tcPr>
          <w:p>
            <w:pPr>
              <w:jc w:val="center"/>
            </w:pPr>
            <w:r/>
            <w:r>
              <w:rPr>
                <w:sz w:val="19"/>
              </w:rPr>
              <w:t>Plato</w:t>
            </w:r>
          </w:p>
        </w:tc>
        <w:tc>
          <w:tcPr>
            <w:tcW w:type="dxa" w:w="1881"/>
          </w:tcPr>
          <w:p>
            <w:pPr>
              <w:jc w:val="center"/>
            </w:pPr>
            <w:r/>
            <w:r>
              <w:rPr>
                <w:sz w:val="19"/>
              </w:rPr>
              <w:t>Statesman</w:t>
            </w:r>
          </w:p>
        </w:tc>
        <w:tc>
          <w:tcPr>
            <w:tcW w:type="dxa" w:w="1881"/>
          </w:tcPr>
          <w:p>
            <w:pPr>
              <w:jc w:val="center"/>
            </w:pPr>
            <w:r/>
            <w:r>
              <w:rPr>
                <w:sz w:val="19"/>
              </w:rPr>
              <w:t>600</w:t>
            </w:r>
          </w:p>
        </w:tc>
        <w:tc>
          <w:tcPr>
            <w:tcW w:type="dxa" w:w="1881"/>
          </w:tcPr>
          <w:p>
            <w:pPr>
              <w:jc w:val="center"/>
            </w:pPr>
            <w:r/>
            <w:r>
              <w:rPr>
                <w:sz w:val="19"/>
              </w:rPr>
              <w:t>29.3%</w:t>
            </w:r>
          </w:p>
        </w:tc>
      </w:tr>
      <w:tr>
        <w:tc>
          <w:tcPr>
            <w:tcW w:type="dxa" w:w="1881"/>
          </w:tcPr>
          <w:p>
            <w:pPr>
              <w:jc w:val="center"/>
            </w:pPr>
            <w:r/>
            <w:r>
              <w:rPr>
                <w:sz w:val="19"/>
              </w:rPr>
              <w:t>10</w:t>
            </w:r>
          </w:p>
        </w:tc>
        <w:tc>
          <w:tcPr>
            <w:tcW w:type="dxa" w:w="1881"/>
          </w:tcPr>
          <w:p>
            <w:pPr>
              <w:jc w:val="center"/>
            </w:pPr>
            <w:r/>
            <w:r>
              <w:rPr>
                <w:sz w:val="19"/>
              </w:rPr>
              <w:t>Plato</w:t>
            </w:r>
          </w:p>
        </w:tc>
        <w:tc>
          <w:tcPr>
            <w:tcW w:type="dxa" w:w="1881"/>
          </w:tcPr>
          <w:p>
            <w:pPr>
              <w:jc w:val="center"/>
            </w:pPr>
            <w:r/>
            <w:r>
              <w:rPr>
                <w:sz w:val="19"/>
              </w:rPr>
              <w:t>Epinomis</w:t>
            </w:r>
          </w:p>
        </w:tc>
        <w:tc>
          <w:tcPr>
            <w:tcW w:type="dxa" w:w="1881"/>
          </w:tcPr>
          <w:p>
            <w:pPr>
              <w:jc w:val="center"/>
            </w:pPr>
            <w:r/>
            <w:r>
              <w:rPr>
                <w:sz w:val="19"/>
              </w:rPr>
              <w:t>41</w:t>
            </w:r>
          </w:p>
        </w:tc>
        <w:tc>
          <w:tcPr>
            <w:tcW w:type="dxa" w:w="1881"/>
          </w:tcPr>
          <w:p>
            <w:pPr>
              <w:jc w:val="center"/>
            </w:pPr>
            <w:r/>
            <w:r>
              <w:rPr>
                <w:sz w:val="19"/>
              </w:rPr>
              <w:t>26.8%</w:t>
            </w:r>
          </w:p>
        </w:tc>
      </w:tr>
    </w:tbl>
    <w:p>
      <w:pPr>
        <w:spacing w:line="336" w:lineRule="auto"/>
        <w:ind w:firstLine="283"/>
      </w:pPr>
      <w:r>
        <w:rPr>
          <w:rFonts w:ascii="Times New Roman" w:hAnsi="Times New Roman"/>
          <w:sz w:val="22"/>
        </w:rPr>
        <w:t xml:space="preserve">The Greek slice shows a "one-peak three-companion" structure. Euclid's </w:t>
      </w:r>
      <w:r>
        <w:rPr>
          <w:rFonts w:ascii="Times New Roman" w:hAnsi="Times New Roman"/>
          <w:i/>
          <w:sz w:val="22"/>
        </w:rPr>
        <w:t>Elements</w:t>
      </w:r>
      <w:r>
        <w:rPr>
          <w:rFonts w:ascii="Times New Roman" w:hAnsi="Times New Roman"/>
          <w:sz w:val="22"/>
        </w:rPr>
        <w:t xml:space="preserve"> occupies rank 1 with its near-total 98.5% self-referential coincidence, 28 points above rank 2. Ranks 2–10 are almost entirely Plato (5 works) and Aristotle (2), with one Hippocrates medical treatise.</w:t>
      </w:r>
    </w:p>
    <w:p>
      <w:pPr>
        <w:spacing w:line="336" w:lineRule="auto"/>
        <w:ind w:firstLine="283"/>
      </w:pPr>
      <w:r>
        <w:rPr>
          <w:rFonts w:ascii="Times New Roman" w:hAnsi="Times New Roman"/>
          <w:b/>
          <w:sz w:val="22"/>
        </w:rPr>
        <w:t>Plato's placement is striking</w:t>
      </w:r>
      <w:r>
        <w:rPr>
          <w:rFonts w:ascii="Times New Roman" w:hAnsi="Times New Roman"/>
          <w:sz w:val="22"/>
        </w:rPr>
        <w:t xml:space="preserve">. </w:t>
      </w:r>
      <w:r>
        <w:rPr>
          <w:rFonts w:ascii="Times New Roman" w:hAnsi="Times New Roman"/>
          <w:i/>
          <w:sz w:val="22"/>
        </w:rPr>
        <w:t>Parmenides</w:t>
      </w:r>
      <w:r>
        <w:rPr>
          <w:rFonts w:ascii="Times New Roman" w:hAnsi="Times New Roman"/>
          <w:sz w:val="22"/>
        </w:rPr>
        <w:t xml:space="preserve"> scores 70.7%, </w:t>
      </w:r>
      <w:r>
        <w:rPr>
          <w:rFonts w:ascii="Times New Roman" w:hAnsi="Times New Roman"/>
          <w:i/>
          <w:sz w:val="22"/>
        </w:rPr>
        <w:t>Timaeus</w:t>
      </w:r>
      <w:r>
        <w:rPr>
          <w:rFonts w:ascii="Times New Roman" w:hAnsi="Times New Roman"/>
          <w:sz w:val="22"/>
        </w:rPr>
        <w:t xml:space="preserve"> 38.7%, </w:t>
      </w:r>
      <w:r>
        <w:rPr>
          <w:rFonts w:ascii="Times New Roman" w:hAnsi="Times New Roman"/>
          <w:i/>
          <w:sz w:val="22"/>
        </w:rPr>
        <w:t>Sophist</w:t>
      </w:r>
      <w:r>
        <w:rPr>
          <w:rFonts w:ascii="Times New Roman" w:hAnsi="Times New Roman"/>
          <w:sz w:val="22"/>
        </w:rPr>
        <w:t xml:space="preserve">, </w:t>
      </w:r>
      <w:r>
        <w:rPr>
          <w:rFonts w:ascii="Times New Roman" w:hAnsi="Times New Roman"/>
          <w:i/>
          <w:sz w:val="22"/>
        </w:rPr>
        <w:t>Philebus</w:t>
      </w:r>
      <w:r>
        <w:rPr>
          <w:rFonts w:ascii="Times New Roman" w:hAnsi="Times New Roman"/>
          <w:sz w:val="22"/>
        </w:rPr>
        <w:t xml:space="preserve">, </w:t>
      </w:r>
      <w:r>
        <w:rPr>
          <w:rFonts w:ascii="Times New Roman" w:hAnsi="Times New Roman"/>
          <w:i/>
          <w:sz w:val="22"/>
        </w:rPr>
        <w:t>Statesman</w:t>
      </w:r>
      <w:r>
        <w:rPr>
          <w:rFonts w:ascii="Times New Roman" w:hAnsi="Times New Roman"/>
          <w:sz w:val="22"/>
        </w:rPr>
        <w:t xml:space="preserve"> all above 29%. Plato is not a mathematician, but his dialogues use definition, dialectic, and classification as primary methods — their "compactness" is exactly what BGE reads as Euclidean style. This is an important signal: </w:t>
      </w:r>
      <w:r>
        <w:rPr>
          <w:rFonts w:ascii="Times New Roman" w:hAnsi="Times New Roman"/>
          <w:b/>
          <w:sz w:val="22"/>
        </w:rPr>
        <w:t>mathematical language does not live only in mathematical texts; it shows up in philosophy through the same sentence structures.</w:t>
      </w:r>
    </w:p>
    <w:p>
      <w:pPr>
        <w:spacing w:line="336" w:lineRule="auto"/>
        <w:ind w:firstLine="283"/>
      </w:pPr>
      <w:r>
        <w:rPr>
          <w:rFonts w:ascii="Times New Roman" w:hAnsi="Times New Roman"/>
          <w:sz w:val="22"/>
        </w:rPr>
        <w:t xml:space="preserve">The Greek slice's </w:t>
      </w:r>
      <w:r>
        <w:rPr>
          <w:rFonts w:ascii="Times New Roman" w:hAnsi="Times New Roman"/>
          <w:b/>
          <w:sz w:val="22"/>
        </w:rPr>
        <w:t>median is 0.31%</w:t>
      </w:r>
      <w:r>
        <w:rPr>
          <w:rFonts w:ascii="Times New Roman" w:hAnsi="Times New Roman"/>
          <w:sz w:val="22"/>
        </w:rPr>
        <w:t xml:space="preserve">, effectively zero. More than half the 339 works score below 0.31%. Epic, drama, history, oratory, and poetry — the dominant Greek genres — do not touch mathematical language at all. </w:t>
      </w:r>
      <w:r>
        <w:rPr>
          <w:rFonts w:ascii="Times New Roman" w:hAnsi="Times New Roman"/>
          <w:b/>
          <w:sz w:val="22"/>
        </w:rPr>
        <w:t>Classical Greece is thoroughly an isolated-peak structure: Euclid on top, Plato-and-Aristotle below, and beneath them an expanse of zero.</w:t>
      </w:r>
    </w:p>
    <w:p>
      <w:pPr>
        <w:pStyle w:val="Heading2"/>
      </w:pPr>
      <w:r>
        <w:rPr>
          <w:rFonts w:ascii="Times New Roman" w:hAnsi="Times New Roman"/>
          <w:b/>
          <w:sz w:val="25"/>
        </w:rPr>
        <w:t>3.3 Roman Slice: No Originals, Inheritance Unbroken</w:t>
      </w:r>
    </w:p>
    <w:p>
      <w:pPr>
        <w:spacing w:line="336" w:lineRule="auto"/>
        <w:ind w:firstLine="283"/>
      </w:pPr>
      <w:r>
        <w:rPr>
          <w:rFonts w:ascii="Times New Roman" w:hAnsi="Times New Roman"/>
          <w:sz w:val="22"/>
        </w:rPr>
        <w:t>The Roman slice has 659 works (207 Latin + 412 Roman-era Greek), 119,995 paragraphs, still centered on Euclid. 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Rank</w:t>
            </w:r>
          </w:p>
        </w:tc>
        <w:tc>
          <w:tcPr>
            <w:tcW w:type="dxa" w:w="1881"/>
          </w:tcPr>
          <w:p>
            <w:pPr>
              <w:jc w:val="center"/>
            </w:pPr>
            <w:r/>
            <w:r>
              <w:rPr>
                <w:b/>
                <w:sz w:val="20"/>
              </w:rPr>
              <w:t>Author</w:t>
            </w:r>
          </w:p>
        </w:tc>
        <w:tc>
          <w:tcPr>
            <w:tcW w:type="dxa" w:w="1881"/>
          </w:tcPr>
          <w:p>
            <w:pPr>
              <w:jc w:val="center"/>
            </w:pPr>
            <w:r/>
            <w:r>
              <w:rPr>
                <w:b/>
                <w:sz w:val="20"/>
              </w:rPr>
              <w:t>Work</w:t>
            </w:r>
          </w:p>
        </w:tc>
        <w:tc>
          <w:tcPr>
            <w:tcW w:type="dxa" w:w="1881"/>
          </w:tcPr>
          <w:p>
            <w:pPr>
              <w:jc w:val="center"/>
            </w:pPr>
            <w:r/>
            <w:r>
              <w:rPr>
                <w:b/>
                <w:sz w:val="20"/>
              </w:rPr>
              <w:t>Paragraphs</w:t>
            </w:r>
          </w:p>
        </w:tc>
        <w:tc>
          <w:tcPr>
            <w:tcW w:type="dxa" w:w="1881"/>
          </w:tcPr>
          <w:p>
            <w:pPr>
              <w:jc w:val="center"/>
            </w:pPr>
            <w:r/>
            <w:r>
              <w:rPr>
                <w:b/>
                <w:sz w:val="20"/>
              </w:rPr>
              <w:t>≥0.6</w:t>
            </w:r>
          </w:p>
        </w:tc>
      </w:tr>
      <w:tr>
        <w:tc>
          <w:tcPr>
            <w:tcW w:type="dxa" w:w="1881"/>
          </w:tcPr>
          <w:p>
            <w:pPr>
              <w:jc w:val="center"/>
            </w:pPr>
            <w:r/>
            <w:r>
              <w:rPr>
                <w:sz w:val="19"/>
              </w:rPr>
              <w:t>1</w:t>
            </w:r>
          </w:p>
        </w:tc>
        <w:tc>
          <w:tcPr>
            <w:tcW w:type="dxa" w:w="1881"/>
          </w:tcPr>
          <w:p>
            <w:pPr>
              <w:jc w:val="center"/>
            </w:pPr>
            <w:r/>
            <w:r>
              <w:rPr>
                <w:sz w:val="19"/>
              </w:rPr>
              <w:t>Boethius</w:t>
            </w:r>
          </w:p>
        </w:tc>
        <w:tc>
          <w:tcPr>
            <w:tcW w:type="dxa" w:w="1881"/>
          </w:tcPr>
          <w:p>
            <w:pPr>
              <w:jc w:val="center"/>
            </w:pPr>
            <w:r/>
            <w:r>
              <w:rPr>
                <w:sz w:val="19"/>
              </w:rPr>
              <w:t>Quomodo Substantiae (On Substance)</w:t>
            </w:r>
          </w:p>
        </w:tc>
        <w:tc>
          <w:tcPr>
            <w:tcW w:type="dxa" w:w="1881"/>
          </w:tcPr>
          <w:p>
            <w:pPr>
              <w:jc w:val="center"/>
            </w:pPr>
            <w:r/>
            <w:r>
              <w:rPr>
                <w:sz w:val="19"/>
              </w:rPr>
              <w:t>15</w:t>
            </w:r>
          </w:p>
        </w:tc>
        <w:tc>
          <w:tcPr>
            <w:tcW w:type="dxa" w:w="1881"/>
          </w:tcPr>
          <w:p>
            <w:pPr>
              <w:jc w:val="center"/>
            </w:pPr>
            <w:r/>
            <w:r>
              <w:rPr>
                <w:sz w:val="19"/>
              </w:rPr>
              <w:t>93.3%</w:t>
            </w:r>
          </w:p>
        </w:tc>
      </w:tr>
      <w:tr>
        <w:tc>
          <w:tcPr>
            <w:tcW w:type="dxa" w:w="1881"/>
          </w:tcPr>
          <w:p>
            <w:pPr>
              <w:jc w:val="center"/>
            </w:pPr>
            <w:r/>
            <w:r>
              <w:rPr>
                <w:sz w:val="19"/>
              </w:rPr>
              <w:t>2</w:t>
            </w:r>
          </w:p>
        </w:tc>
        <w:tc>
          <w:tcPr>
            <w:tcW w:type="dxa" w:w="1881"/>
          </w:tcPr>
          <w:p>
            <w:pPr>
              <w:jc w:val="center"/>
            </w:pPr>
            <w:r/>
            <w:r>
              <w:rPr>
                <w:sz w:val="19"/>
              </w:rPr>
              <w:t>Plutarch</w:t>
            </w:r>
          </w:p>
        </w:tc>
        <w:tc>
          <w:tcPr>
            <w:tcW w:type="dxa" w:w="1881"/>
          </w:tcPr>
          <w:p>
            <w:pPr>
              <w:jc w:val="center"/>
            </w:pPr>
            <w:r/>
            <w:r>
              <w:rPr>
                <w:sz w:val="19"/>
              </w:rPr>
              <w:t>Procreation of the Soul</w:t>
            </w:r>
          </w:p>
        </w:tc>
        <w:tc>
          <w:tcPr>
            <w:tcW w:type="dxa" w:w="1881"/>
          </w:tcPr>
          <w:p>
            <w:pPr>
              <w:jc w:val="center"/>
            </w:pPr>
            <w:r/>
            <w:r>
              <w:rPr>
                <w:sz w:val="19"/>
              </w:rPr>
              <w:t>54</w:t>
            </w:r>
          </w:p>
        </w:tc>
        <w:tc>
          <w:tcPr>
            <w:tcW w:type="dxa" w:w="1881"/>
          </w:tcPr>
          <w:p>
            <w:pPr>
              <w:jc w:val="center"/>
            </w:pPr>
            <w:r/>
            <w:r>
              <w:rPr>
                <w:sz w:val="19"/>
              </w:rPr>
              <w:t>44.4%</w:t>
            </w:r>
          </w:p>
        </w:tc>
      </w:tr>
      <w:tr>
        <w:tc>
          <w:tcPr>
            <w:tcW w:type="dxa" w:w="1881"/>
          </w:tcPr>
          <w:p>
            <w:pPr>
              <w:jc w:val="center"/>
            </w:pPr>
            <w:r/>
            <w:r>
              <w:rPr>
                <w:sz w:val="19"/>
              </w:rPr>
              <w:t>3</w:t>
            </w:r>
          </w:p>
        </w:tc>
        <w:tc>
          <w:tcPr>
            <w:tcW w:type="dxa" w:w="1881"/>
          </w:tcPr>
          <w:p>
            <w:pPr>
              <w:jc w:val="center"/>
            </w:pPr>
            <w:r/>
            <w:r>
              <w:rPr>
                <w:sz w:val="19"/>
              </w:rPr>
              <w:t>Plutarch</w:t>
            </w:r>
          </w:p>
        </w:tc>
        <w:tc>
          <w:tcPr>
            <w:tcW w:type="dxa" w:w="1881"/>
          </w:tcPr>
          <w:p>
            <w:pPr>
              <w:jc w:val="center"/>
            </w:pPr>
            <w:r/>
            <w:r>
              <w:rPr>
                <w:sz w:val="19"/>
              </w:rPr>
              <w:t>Of Fate</w:t>
            </w:r>
          </w:p>
        </w:tc>
        <w:tc>
          <w:tcPr>
            <w:tcW w:type="dxa" w:w="1881"/>
          </w:tcPr>
          <w:p>
            <w:pPr>
              <w:jc w:val="center"/>
            </w:pPr>
            <w:r/>
            <w:r>
              <w:rPr>
                <w:sz w:val="19"/>
              </w:rPr>
              <w:t>20</w:t>
            </w:r>
          </w:p>
        </w:tc>
        <w:tc>
          <w:tcPr>
            <w:tcW w:type="dxa" w:w="1881"/>
          </w:tcPr>
          <w:p>
            <w:pPr>
              <w:jc w:val="center"/>
            </w:pPr>
            <w:r/>
            <w:r>
              <w:rPr>
                <w:sz w:val="19"/>
              </w:rPr>
              <w:t>35.0%</w:t>
            </w:r>
          </w:p>
        </w:tc>
      </w:tr>
      <w:tr>
        <w:tc>
          <w:tcPr>
            <w:tcW w:type="dxa" w:w="1881"/>
          </w:tcPr>
          <w:p>
            <w:pPr>
              <w:jc w:val="center"/>
            </w:pPr>
            <w:r/>
            <w:r>
              <w:rPr>
                <w:sz w:val="19"/>
              </w:rPr>
              <w:t>4</w:t>
            </w:r>
          </w:p>
        </w:tc>
        <w:tc>
          <w:tcPr>
            <w:tcW w:type="dxa" w:w="1881"/>
          </w:tcPr>
          <w:p>
            <w:pPr>
              <w:jc w:val="center"/>
            </w:pPr>
            <w:r/>
            <w:r>
              <w:rPr>
                <w:sz w:val="19"/>
              </w:rPr>
              <w:t>Plutarch</w:t>
            </w:r>
          </w:p>
        </w:tc>
        <w:tc>
          <w:tcPr>
            <w:tcW w:type="dxa" w:w="1881"/>
          </w:tcPr>
          <w:p>
            <w:pPr>
              <w:jc w:val="center"/>
            </w:pPr>
            <w:r/>
            <w:r>
              <w:rPr>
                <w:sz w:val="19"/>
              </w:rPr>
              <w:t>De E apud Delphos</w:t>
            </w:r>
          </w:p>
        </w:tc>
        <w:tc>
          <w:tcPr>
            <w:tcW w:type="dxa" w:w="1881"/>
          </w:tcPr>
          <w:p>
            <w:pPr>
              <w:jc w:val="center"/>
            </w:pPr>
            <w:r/>
            <w:r>
              <w:rPr>
                <w:sz w:val="19"/>
              </w:rPr>
              <w:t>28</w:t>
            </w:r>
          </w:p>
        </w:tc>
        <w:tc>
          <w:tcPr>
            <w:tcW w:type="dxa" w:w="1881"/>
          </w:tcPr>
          <w:p>
            <w:pPr>
              <w:jc w:val="center"/>
            </w:pPr>
            <w:r/>
            <w:r>
              <w:rPr>
                <w:sz w:val="19"/>
              </w:rPr>
              <w:t>32.1%</w:t>
            </w:r>
          </w:p>
        </w:tc>
      </w:tr>
      <w:tr>
        <w:tc>
          <w:tcPr>
            <w:tcW w:type="dxa" w:w="1881"/>
          </w:tcPr>
          <w:p>
            <w:pPr>
              <w:jc w:val="center"/>
            </w:pPr>
            <w:r/>
            <w:r>
              <w:rPr>
                <w:sz w:val="19"/>
              </w:rPr>
              <w:t>5</w:t>
            </w:r>
          </w:p>
        </w:tc>
        <w:tc>
          <w:tcPr>
            <w:tcW w:type="dxa" w:w="1881"/>
          </w:tcPr>
          <w:p>
            <w:pPr>
              <w:jc w:val="center"/>
            </w:pPr>
            <w:r/>
            <w:r>
              <w:rPr>
                <w:sz w:val="19"/>
              </w:rPr>
              <w:t>Plutarch</w:t>
            </w:r>
          </w:p>
        </w:tc>
        <w:tc>
          <w:tcPr>
            <w:tcW w:type="dxa" w:w="1881"/>
          </w:tcPr>
          <w:p>
            <w:pPr>
              <w:jc w:val="center"/>
            </w:pPr>
            <w:r/>
            <w:r>
              <w:rPr>
                <w:sz w:val="19"/>
              </w:rPr>
              <w:t>Face in the Moon</w:t>
            </w:r>
          </w:p>
        </w:tc>
        <w:tc>
          <w:tcPr>
            <w:tcW w:type="dxa" w:w="1881"/>
          </w:tcPr>
          <w:p>
            <w:pPr>
              <w:jc w:val="center"/>
            </w:pPr>
            <w:r/>
            <w:r>
              <w:rPr>
                <w:sz w:val="19"/>
              </w:rPr>
              <w:t>69</w:t>
            </w:r>
          </w:p>
        </w:tc>
        <w:tc>
          <w:tcPr>
            <w:tcW w:type="dxa" w:w="1881"/>
          </w:tcPr>
          <w:p>
            <w:pPr>
              <w:jc w:val="center"/>
            </w:pPr>
            <w:r/>
            <w:r>
              <w:rPr>
                <w:sz w:val="19"/>
              </w:rPr>
              <w:t>31.9%</w:t>
            </w:r>
          </w:p>
        </w:tc>
      </w:tr>
      <w:tr>
        <w:tc>
          <w:tcPr>
            <w:tcW w:type="dxa" w:w="1881"/>
          </w:tcPr>
          <w:p>
            <w:pPr>
              <w:jc w:val="center"/>
            </w:pPr>
            <w:r/>
            <w:r>
              <w:rPr>
                <w:sz w:val="19"/>
              </w:rPr>
              <w:t>6</w:t>
            </w:r>
          </w:p>
        </w:tc>
        <w:tc>
          <w:tcPr>
            <w:tcW w:type="dxa" w:w="1881"/>
          </w:tcPr>
          <w:p>
            <w:pPr>
              <w:jc w:val="center"/>
            </w:pPr>
            <w:r/>
            <w:r>
              <w:rPr>
                <w:sz w:val="19"/>
              </w:rPr>
              <w:t>Lucretius</w:t>
            </w:r>
          </w:p>
        </w:tc>
        <w:tc>
          <w:tcPr>
            <w:tcW w:type="dxa" w:w="1881"/>
          </w:tcPr>
          <w:p>
            <w:pPr>
              <w:jc w:val="center"/>
            </w:pPr>
            <w:r/>
            <w:r>
              <w:rPr>
                <w:sz w:val="19"/>
              </w:rPr>
              <w:t>De Rerum Natura</w:t>
            </w:r>
          </w:p>
        </w:tc>
        <w:tc>
          <w:tcPr>
            <w:tcW w:type="dxa" w:w="1881"/>
          </w:tcPr>
          <w:p>
            <w:pPr>
              <w:jc w:val="center"/>
            </w:pPr>
            <w:r/>
            <w:r>
              <w:rPr>
                <w:sz w:val="19"/>
              </w:rPr>
              <w:t>490</w:t>
            </w:r>
          </w:p>
        </w:tc>
        <w:tc>
          <w:tcPr>
            <w:tcW w:type="dxa" w:w="1881"/>
          </w:tcPr>
          <w:p>
            <w:pPr>
              <w:jc w:val="center"/>
            </w:pPr>
            <w:r/>
            <w:r>
              <w:rPr>
                <w:sz w:val="19"/>
              </w:rPr>
              <w:t>29.6%</w:t>
            </w:r>
          </w:p>
        </w:tc>
      </w:tr>
      <w:tr>
        <w:tc>
          <w:tcPr>
            <w:tcW w:type="dxa" w:w="1881"/>
          </w:tcPr>
          <w:p>
            <w:pPr>
              <w:jc w:val="center"/>
            </w:pPr>
            <w:r/>
            <w:r>
              <w:rPr>
                <w:sz w:val="19"/>
              </w:rPr>
              <w:t>7</w:t>
            </w:r>
          </w:p>
        </w:tc>
        <w:tc>
          <w:tcPr>
            <w:tcW w:type="dxa" w:w="1881"/>
          </w:tcPr>
          <w:p>
            <w:pPr>
              <w:jc w:val="center"/>
            </w:pPr>
            <w:r/>
            <w:r>
              <w:rPr>
                <w:sz w:val="19"/>
              </w:rPr>
              <w:t>Boethius</w:t>
            </w:r>
          </w:p>
        </w:tc>
        <w:tc>
          <w:tcPr>
            <w:tcW w:type="dxa" w:w="1881"/>
          </w:tcPr>
          <w:p>
            <w:pPr>
              <w:jc w:val="center"/>
            </w:pPr>
            <w:r/>
            <w:r>
              <w:rPr>
                <w:sz w:val="19"/>
              </w:rPr>
              <w:t>De Trinitate</w:t>
            </w:r>
          </w:p>
        </w:tc>
        <w:tc>
          <w:tcPr>
            <w:tcW w:type="dxa" w:w="1881"/>
          </w:tcPr>
          <w:p>
            <w:pPr>
              <w:jc w:val="center"/>
            </w:pPr>
            <w:r/>
            <w:r>
              <w:rPr>
                <w:sz w:val="19"/>
              </w:rPr>
              <w:t>28</w:t>
            </w:r>
          </w:p>
        </w:tc>
        <w:tc>
          <w:tcPr>
            <w:tcW w:type="dxa" w:w="1881"/>
          </w:tcPr>
          <w:p>
            <w:pPr>
              <w:jc w:val="center"/>
            </w:pPr>
            <w:r/>
            <w:r>
              <w:rPr>
                <w:sz w:val="19"/>
              </w:rPr>
              <w:t>25.0%</w:t>
            </w:r>
          </w:p>
        </w:tc>
      </w:tr>
      <w:tr>
        <w:tc>
          <w:tcPr>
            <w:tcW w:type="dxa" w:w="1881"/>
          </w:tcPr>
          <w:p>
            <w:pPr>
              <w:jc w:val="center"/>
            </w:pPr>
            <w:r/>
            <w:r>
              <w:rPr>
                <w:sz w:val="19"/>
              </w:rPr>
              <w:t>9</w:t>
            </w:r>
          </w:p>
        </w:tc>
        <w:tc>
          <w:tcPr>
            <w:tcW w:type="dxa" w:w="1881"/>
          </w:tcPr>
          <w:p>
            <w:pPr>
              <w:jc w:val="center"/>
            </w:pPr>
            <w:r/>
            <w:r>
              <w:rPr>
                <w:sz w:val="19"/>
              </w:rPr>
              <w:t>Vitruvius</w:t>
            </w:r>
          </w:p>
        </w:tc>
        <w:tc>
          <w:tcPr>
            <w:tcW w:type="dxa" w:w="1881"/>
          </w:tcPr>
          <w:p>
            <w:pPr>
              <w:jc w:val="center"/>
            </w:pPr>
            <w:r/>
            <w:r>
              <w:rPr>
                <w:sz w:val="19"/>
              </w:rPr>
              <w:t>De Architectura</w:t>
            </w:r>
          </w:p>
        </w:tc>
        <w:tc>
          <w:tcPr>
            <w:tcW w:type="dxa" w:w="1881"/>
          </w:tcPr>
          <w:p>
            <w:pPr>
              <w:jc w:val="center"/>
            </w:pPr>
            <w:r/>
            <w:r>
              <w:rPr>
                <w:sz w:val="19"/>
              </w:rPr>
              <w:t>755</w:t>
            </w:r>
          </w:p>
        </w:tc>
        <w:tc>
          <w:tcPr>
            <w:tcW w:type="dxa" w:w="1881"/>
          </w:tcPr>
          <w:p>
            <w:pPr>
              <w:jc w:val="center"/>
            </w:pPr>
            <w:r/>
            <w:r>
              <w:rPr>
                <w:sz w:val="19"/>
              </w:rPr>
              <w:t>19.9%</w:t>
            </w:r>
          </w:p>
        </w:tc>
      </w:tr>
      <w:tr>
        <w:tc>
          <w:tcPr>
            <w:tcW w:type="dxa" w:w="1881"/>
          </w:tcPr>
          <w:p>
            <w:pPr>
              <w:jc w:val="center"/>
            </w:pPr>
            <w:r/>
            <w:r>
              <w:rPr>
                <w:sz w:val="19"/>
              </w:rPr>
              <w:t>15</w:t>
            </w:r>
          </w:p>
        </w:tc>
        <w:tc>
          <w:tcPr>
            <w:tcW w:type="dxa" w:w="1881"/>
          </w:tcPr>
          <w:p>
            <w:pPr>
              <w:jc w:val="center"/>
            </w:pPr>
            <w:r/>
            <w:r>
              <w:rPr>
                <w:sz w:val="19"/>
              </w:rPr>
              <w:t>Galen</w:t>
            </w:r>
          </w:p>
        </w:tc>
        <w:tc>
          <w:tcPr>
            <w:tcW w:type="dxa" w:w="1881"/>
          </w:tcPr>
          <w:p>
            <w:pPr>
              <w:jc w:val="center"/>
            </w:pPr>
            <w:r/>
            <w:r>
              <w:rPr>
                <w:sz w:val="19"/>
              </w:rPr>
              <w:t>On the Natural Faculties</w:t>
            </w:r>
          </w:p>
        </w:tc>
        <w:tc>
          <w:tcPr>
            <w:tcW w:type="dxa" w:w="1881"/>
          </w:tcPr>
          <w:p>
            <w:pPr>
              <w:jc w:val="center"/>
            </w:pPr>
            <w:r/>
            <w:r>
              <w:rPr>
                <w:sz w:val="19"/>
              </w:rPr>
              <w:t>259</w:t>
            </w:r>
          </w:p>
        </w:tc>
        <w:tc>
          <w:tcPr>
            <w:tcW w:type="dxa" w:w="1881"/>
          </w:tcPr>
          <w:p>
            <w:pPr>
              <w:jc w:val="center"/>
            </w:pPr>
            <w:r/>
            <w:r>
              <w:rPr>
                <w:sz w:val="19"/>
              </w:rPr>
              <w:t>13.5%</w:t>
            </w:r>
          </w:p>
        </w:tc>
      </w:tr>
    </w:tbl>
    <w:p>
      <w:pPr>
        <w:spacing w:line="336" w:lineRule="auto"/>
        <w:ind w:firstLine="283"/>
      </w:pPr>
      <w:r>
        <w:rPr>
          <w:rFonts w:ascii="Times New Roman" w:hAnsi="Times New Roman"/>
          <w:sz w:val="22"/>
        </w:rPr>
        <w:t xml:space="preserve">The Roman Top-5 mean is 47.4%, 14 points below Greek. The key observation: </w:t>
      </w:r>
      <w:r>
        <w:rPr>
          <w:rFonts w:ascii="Times New Roman" w:hAnsi="Times New Roman"/>
          <w:b/>
          <w:sz w:val="22"/>
        </w:rPr>
        <w:t>Rome produced no original pure mathematical canon.</w:t>
      </w:r>
      <w:r>
        <w:rPr>
          <w:rFonts w:ascii="Times New Roman" w:hAnsi="Times New Roman"/>
          <w:sz w:val="22"/>
        </w:rPr>
        <w:t xml:space="preserve"> Rank 1 Boethius (</w:t>
      </w:r>
      <w:r>
        <w:rPr>
          <w:rFonts w:ascii="Times New Roman" w:hAnsi="Times New Roman"/>
          <w:i/>
          <w:sz w:val="22"/>
        </w:rPr>
        <w:t>On Substance</w:t>
      </w:r>
      <w:r>
        <w:rPr>
          <w:rFonts w:ascii="Times New Roman" w:hAnsi="Times New Roman"/>
          <w:sz w:val="22"/>
        </w:rPr>
        <w:t xml:space="preserve">, 93.3%) is a very short philosophical tract (only 15 paragraphs), and Boethius himself (480–524) lived after the fall of the Western Roman Empire — a transitional figure. Aside from him, </w:t>
      </w:r>
      <w:r>
        <w:rPr>
          <w:rFonts w:ascii="Times New Roman" w:hAnsi="Times New Roman"/>
          <w:b/>
          <w:sz w:val="22"/>
        </w:rPr>
        <w:t>ranks 2–15 are almost entirely dominated by one author, Plutarch</w:t>
      </w:r>
      <w:r>
        <w:rPr>
          <w:rFonts w:ascii="Times New Roman" w:hAnsi="Times New Roman"/>
          <w:sz w:val="22"/>
        </w:rPr>
        <w:t xml:space="preserve">, whose Neoplatonic essays in the </w:t>
      </w:r>
      <w:r>
        <w:rPr>
          <w:rFonts w:ascii="Times New Roman" w:hAnsi="Times New Roman"/>
          <w:i/>
          <w:sz w:val="22"/>
        </w:rPr>
        <w:t>Moralia</w:t>
      </w:r>
      <w:r>
        <w:rPr>
          <w:rFonts w:ascii="Times New Roman" w:hAnsi="Times New Roman"/>
          <w:sz w:val="22"/>
        </w:rPr>
        <w:t xml:space="preserve"> appear 7 times in the list.</w:t>
      </w:r>
    </w:p>
    <w:p>
      <w:pPr>
        <w:spacing w:line="336" w:lineRule="auto"/>
        <w:ind w:firstLine="283"/>
      </w:pPr>
      <w:r>
        <w:rPr>
          <w:rFonts w:ascii="Times New Roman" w:hAnsi="Times New Roman"/>
          <w:b/>
          <w:sz w:val="22"/>
        </w:rPr>
        <w:t>This reveals the true shape of Roman mathematical life</w:t>
      </w:r>
      <w:r>
        <w:rPr>
          <w:rFonts w:ascii="Times New Roman" w:hAnsi="Times New Roman"/>
          <w:sz w:val="22"/>
        </w:rPr>
        <w:t xml:space="preserve">: not producing Euclidean originals, but preserving the style of Greek mathematical philosophy through </w:t>
      </w:r>
      <w:r>
        <w:rPr>
          <w:rFonts w:ascii="Times New Roman" w:hAnsi="Times New Roman"/>
          <w:b/>
          <w:sz w:val="22"/>
        </w:rPr>
        <w:t>Greek-writing intellectuals within the Roman Empire</w:t>
      </w:r>
      <w:r>
        <w:rPr>
          <w:rFonts w:ascii="Times New Roman" w:hAnsi="Times New Roman"/>
          <w:sz w:val="22"/>
        </w:rPr>
        <w:t xml:space="preserve"> (Plutarch, Galen) and </w:t>
      </w:r>
      <w:r>
        <w:rPr>
          <w:rFonts w:ascii="Times New Roman" w:hAnsi="Times New Roman"/>
          <w:b/>
          <w:sz w:val="22"/>
        </w:rPr>
        <w:t>later Latin philosophers</w:t>
      </w:r>
      <w:r>
        <w:rPr>
          <w:rFonts w:ascii="Times New Roman" w:hAnsi="Times New Roman"/>
          <w:sz w:val="22"/>
        </w:rPr>
        <w:t xml:space="preserve"> (Boethius). Lucretius' </w:t>
      </w:r>
      <w:r>
        <w:rPr>
          <w:rFonts w:ascii="Times New Roman" w:hAnsi="Times New Roman"/>
          <w:i/>
          <w:sz w:val="22"/>
        </w:rPr>
        <w:t>De Rerum Natura</w:t>
      </w:r>
      <w:r>
        <w:rPr>
          <w:rFonts w:ascii="Times New Roman" w:hAnsi="Times New Roman"/>
          <w:sz w:val="22"/>
        </w:rPr>
        <w:t xml:space="preserve"> at 29.6% is a fascinating case — a long poem in verse on Epicurean atomism, yet BGE still finds roughly 30% of its paragraphs close to Euclidean language. Vitruvius' </w:t>
      </w:r>
      <w:r>
        <w:rPr>
          <w:rFonts w:ascii="Times New Roman" w:hAnsi="Times New Roman"/>
          <w:i/>
          <w:sz w:val="22"/>
        </w:rPr>
        <w:t>De Architectura</w:t>
      </w:r>
      <w:r>
        <w:rPr>
          <w:rFonts w:ascii="Times New Roman" w:hAnsi="Times New Roman"/>
          <w:sz w:val="22"/>
        </w:rPr>
        <w:t xml:space="preserve"> at 19.9% represents the practical "applied quantification" tradition.</w:t>
      </w:r>
    </w:p>
    <w:p>
      <w:pPr>
        <w:spacing w:line="336" w:lineRule="auto"/>
        <w:ind w:firstLine="283"/>
      </w:pPr>
      <w:r>
        <w:rPr>
          <w:rFonts w:ascii="Times New Roman" w:hAnsi="Times New Roman"/>
          <w:b/>
          <w:sz w:val="22"/>
        </w:rPr>
        <w:t>But the median is 0.00%</w:t>
      </w:r>
      <w:r>
        <w:rPr>
          <w:rFonts w:ascii="Times New Roman" w:hAnsi="Times New Roman"/>
          <w:sz w:val="22"/>
        </w:rPr>
        <w:t>. Over half the Roman textual ecology contains no mathematical touch at all. Rome, like Greece, is an isolated-peak structure — just with lower and more scattered peaks.</w:t>
      </w:r>
    </w:p>
    <w:p>
      <w:pPr>
        <w:pStyle w:val="Heading2"/>
      </w:pPr>
      <w:r>
        <w:rPr>
          <w:rFonts w:ascii="Times New Roman" w:hAnsi="Times New Roman"/>
          <w:b/>
          <w:sz w:val="25"/>
        </w:rPr>
        <w:t>3.4 Renaissance: A Thinner Isolated Peak</w:t>
      </w:r>
    </w:p>
    <w:p>
      <w:pPr>
        <w:spacing w:line="336" w:lineRule="auto"/>
        <w:ind w:firstLine="283"/>
      </w:pPr>
      <w:r>
        <w:rPr>
          <w:rFonts w:ascii="Times New Roman" w:hAnsi="Times New Roman"/>
          <w:sz w:val="22"/>
        </w:rPr>
        <w:t xml:space="preserve">The Renaissance slice has 365 Gutenberg English translations, 432,870 paragraphs, centered on Cardano's </w:t>
      </w:r>
      <w:r>
        <w:rPr>
          <w:rFonts w:ascii="Times New Roman" w:hAnsi="Times New Roman"/>
          <w:i/>
          <w:sz w:val="22"/>
        </w:rPr>
        <w:t>Ars Magna</w:t>
      </w:r>
      <w:r>
        <w:rPr>
          <w:rFonts w:ascii="Times New Roman" w:hAnsi="Times New Roman"/>
          <w:sz w:val="22"/>
        </w:rPr>
        <w:t>. 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Rank</w:t>
            </w:r>
          </w:p>
        </w:tc>
        <w:tc>
          <w:tcPr>
            <w:tcW w:type="dxa" w:w="1881"/>
          </w:tcPr>
          <w:p>
            <w:pPr>
              <w:jc w:val="center"/>
            </w:pPr>
            <w:r/>
            <w:r>
              <w:rPr>
                <w:b/>
                <w:sz w:val="20"/>
              </w:rPr>
              <w:t>Author</w:t>
            </w:r>
          </w:p>
        </w:tc>
        <w:tc>
          <w:tcPr>
            <w:tcW w:type="dxa" w:w="1881"/>
          </w:tcPr>
          <w:p>
            <w:pPr>
              <w:jc w:val="center"/>
            </w:pPr>
            <w:r/>
            <w:r>
              <w:rPr>
                <w:b/>
                <w:sz w:val="20"/>
              </w:rPr>
              <w:t>Work</w:t>
            </w:r>
          </w:p>
        </w:tc>
        <w:tc>
          <w:tcPr>
            <w:tcW w:type="dxa" w:w="1881"/>
          </w:tcPr>
          <w:p>
            <w:pPr>
              <w:jc w:val="center"/>
            </w:pPr>
            <w:r/>
            <w:r>
              <w:rPr>
                <w:b/>
                <w:sz w:val="20"/>
              </w:rPr>
              <w:t>Paragraphs</w:t>
            </w:r>
          </w:p>
        </w:tc>
        <w:tc>
          <w:tcPr>
            <w:tcW w:type="dxa" w:w="1881"/>
          </w:tcPr>
          <w:p>
            <w:pPr>
              <w:jc w:val="center"/>
            </w:pPr>
            <w:r/>
            <w:r>
              <w:rPr>
                <w:b/>
                <w:sz w:val="20"/>
              </w:rPr>
              <w:t>≥0.6</w:t>
            </w:r>
          </w:p>
        </w:tc>
      </w:tr>
      <w:tr>
        <w:tc>
          <w:tcPr>
            <w:tcW w:type="dxa" w:w="1881"/>
          </w:tcPr>
          <w:p>
            <w:pPr>
              <w:jc w:val="center"/>
            </w:pPr>
            <w:r/>
            <w:r>
              <w:rPr>
                <w:sz w:val="19"/>
              </w:rPr>
              <w:t>1</w:t>
            </w:r>
          </w:p>
        </w:tc>
        <w:tc>
          <w:tcPr>
            <w:tcW w:type="dxa" w:w="1881"/>
          </w:tcPr>
          <w:p>
            <w:pPr>
              <w:jc w:val="center"/>
            </w:pPr>
            <w:r/>
            <w:r>
              <w:rPr>
                <w:sz w:val="19"/>
              </w:rPr>
              <w:t>Cardano</w:t>
            </w:r>
          </w:p>
        </w:tc>
        <w:tc>
          <w:tcPr>
            <w:tcW w:type="dxa" w:w="1881"/>
          </w:tcPr>
          <w:p>
            <w:pPr>
              <w:jc w:val="center"/>
            </w:pPr>
            <w:r/>
            <w:r>
              <w:rPr>
                <w:sz w:val="19"/>
              </w:rPr>
              <w:t>Ars Magna</w:t>
            </w:r>
          </w:p>
        </w:tc>
        <w:tc>
          <w:tcPr>
            <w:tcW w:type="dxa" w:w="1881"/>
          </w:tcPr>
          <w:p>
            <w:pPr>
              <w:jc w:val="center"/>
            </w:pPr>
            <w:r/>
            <w:r>
              <w:rPr>
                <w:sz w:val="19"/>
              </w:rPr>
              <w:t>291</w:t>
            </w:r>
          </w:p>
        </w:tc>
        <w:tc>
          <w:tcPr>
            <w:tcW w:type="dxa" w:w="1881"/>
          </w:tcPr>
          <w:p>
            <w:pPr>
              <w:jc w:val="center"/>
            </w:pPr>
            <w:r/>
            <w:r>
              <w:rPr>
                <w:sz w:val="19"/>
              </w:rPr>
              <w:t>95.2%</w:t>
            </w:r>
          </w:p>
        </w:tc>
      </w:tr>
      <w:tr>
        <w:tc>
          <w:tcPr>
            <w:tcW w:type="dxa" w:w="1881"/>
          </w:tcPr>
          <w:p>
            <w:pPr>
              <w:jc w:val="center"/>
            </w:pPr>
            <w:r/>
            <w:r>
              <w:rPr>
                <w:sz w:val="19"/>
              </w:rPr>
              <w:t>2</w:t>
            </w:r>
          </w:p>
        </w:tc>
        <w:tc>
          <w:tcPr>
            <w:tcW w:type="dxa" w:w="1881"/>
          </w:tcPr>
          <w:p>
            <w:pPr>
              <w:jc w:val="center"/>
            </w:pPr>
            <w:r/>
            <w:r>
              <w:rPr>
                <w:sz w:val="19"/>
              </w:rPr>
              <w:t>Dürer</w:t>
            </w:r>
          </w:p>
        </w:tc>
        <w:tc>
          <w:tcPr>
            <w:tcW w:type="dxa" w:w="1881"/>
          </w:tcPr>
          <w:p>
            <w:pPr>
              <w:jc w:val="center"/>
            </w:pPr>
            <w:r/>
            <w:r>
              <w:rPr>
                <w:sz w:val="19"/>
              </w:rPr>
              <w:t>Of the Just Shaping of Letters</w:t>
            </w:r>
          </w:p>
        </w:tc>
        <w:tc>
          <w:tcPr>
            <w:tcW w:type="dxa" w:w="1881"/>
          </w:tcPr>
          <w:p>
            <w:pPr>
              <w:jc w:val="center"/>
            </w:pPr>
            <w:r/>
            <w:r>
              <w:rPr>
                <w:sz w:val="19"/>
              </w:rPr>
              <w:t>122</w:t>
            </w:r>
          </w:p>
        </w:tc>
        <w:tc>
          <w:tcPr>
            <w:tcW w:type="dxa" w:w="1881"/>
          </w:tcPr>
          <w:p>
            <w:pPr>
              <w:jc w:val="center"/>
            </w:pPr>
            <w:r/>
            <w:r>
              <w:rPr>
                <w:sz w:val="19"/>
              </w:rPr>
              <w:t>48.4%</w:t>
            </w:r>
          </w:p>
        </w:tc>
      </w:tr>
      <w:tr>
        <w:tc>
          <w:tcPr>
            <w:tcW w:type="dxa" w:w="1881"/>
          </w:tcPr>
          <w:p>
            <w:pPr>
              <w:jc w:val="center"/>
            </w:pPr>
            <w:r/>
            <w:r>
              <w:rPr>
                <w:sz w:val="19"/>
              </w:rPr>
              <w:t>3</w:t>
            </w:r>
          </w:p>
        </w:tc>
        <w:tc>
          <w:tcPr>
            <w:tcW w:type="dxa" w:w="1881"/>
          </w:tcPr>
          <w:p>
            <w:pPr>
              <w:jc w:val="center"/>
            </w:pPr>
            <w:r/>
            <w:r>
              <w:rPr>
                <w:sz w:val="19"/>
              </w:rPr>
              <w:t>Record</w:t>
            </w:r>
          </w:p>
        </w:tc>
        <w:tc>
          <w:tcPr>
            <w:tcW w:type="dxa" w:w="1881"/>
          </w:tcPr>
          <w:p>
            <w:pPr>
              <w:jc w:val="center"/>
            </w:pPr>
            <w:r/>
            <w:r>
              <w:rPr>
                <w:sz w:val="19"/>
              </w:rPr>
              <w:t>The Path-Way to Knowledge</w:t>
            </w:r>
          </w:p>
        </w:tc>
        <w:tc>
          <w:tcPr>
            <w:tcW w:type="dxa" w:w="1881"/>
          </w:tcPr>
          <w:p>
            <w:pPr>
              <w:jc w:val="center"/>
            </w:pPr>
            <w:r/>
            <w:r>
              <w:rPr>
                <w:sz w:val="19"/>
              </w:rPr>
              <w:t>621</w:t>
            </w:r>
          </w:p>
        </w:tc>
        <w:tc>
          <w:tcPr>
            <w:tcW w:type="dxa" w:w="1881"/>
          </w:tcPr>
          <w:p>
            <w:pPr>
              <w:jc w:val="center"/>
            </w:pPr>
            <w:r/>
            <w:r>
              <w:rPr>
                <w:sz w:val="19"/>
              </w:rPr>
              <w:t>31.2%</w:t>
            </w:r>
          </w:p>
        </w:tc>
      </w:tr>
      <w:tr>
        <w:tc>
          <w:tcPr>
            <w:tcW w:type="dxa" w:w="1881"/>
          </w:tcPr>
          <w:p>
            <w:pPr>
              <w:jc w:val="center"/>
            </w:pPr>
            <w:r/>
            <w:r>
              <w:rPr>
                <w:sz w:val="19"/>
              </w:rPr>
              <w:t>4</w:t>
            </w:r>
          </w:p>
        </w:tc>
        <w:tc>
          <w:tcPr>
            <w:tcW w:type="dxa" w:w="1881"/>
          </w:tcPr>
          <w:p>
            <w:pPr>
              <w:jc w:val="center"/>
            </w:pPr>
            <w:r/>
            <w:r>
              <w:rPr>
                <w:sz w:val="19"/>
              </w:rPr>
              <w:t>Dee</w:t>
            </w:r>
          </w:p>
        </w:tc>
        <w:tc>
          <w:tcPr>
            <w:tcW w:type="dxa" w:w="1881"/>
          </w:tcPr>
          <w:p>
            <w:pPr>
              <w:jc w:val="center"/>
            </w:pPr>
            <w:r/>
            <w:r>
              <w:rPr>
                <w:sz w:val="19"/>
              </w:rPr>
              <w:t>Mathematicall Praeface</w:t>
            </w:r>
          </w:p>
        </w:tc>
        <w:tc>
          <w:tcPr>
            <w:tcW w:type="dxa" w:w="1881"/>
          </w:tcPr>
          <w:p>
            <w:pPr>
              <w:jc w:val="center"/>
            </w:pPr>
            <w:r/>
            <w:r>
              <w:rPr>
                <w:sz w:val="19"/>
              </w:rPr>
              <w:t>446</w:t>
            </w:r>
          </w:p>
        </w:tc>
        <w:tc>
          <w:tcPr>
            <w:tcW w:type="dxa" w:w="1881"/>
          </w:tcPr>
          <w:p>
            <w:pPr>
              <w:jc w:val="center"/>
            </w:pPr>
            <w:r/>
            <w:r>
              <w:rPr>
                <w:sz w:val="19"/>
              </w:rPr>
              <w:t>20.2%</w:t>
            </w:r>
          </w:p>
        </w:tc>
      </w:tr>
      <w:tr>
        <w:tc>
          <w:tcPr>
            <w:tcW w:type="dxa" w:w="1881"/>
          </w:tcPr>
          <w:p>
            <w:pPr>
              <w:jc w:val="center"/>
            </w:pPr>
            <w:r/>
            <w:r>
              <w:rPr>
                <w:sz w:val="19"/>
              </w:rPr>
              <w:t>5</w:t>
            </w:r>
          </w:p>
        </w:tc>
        <w:tc>
          <w:tcPr>
            <w:tcW w:type="dxa" w:w="1881"/>
          </w:tcPr>
          <w:p>
            <w:pPr>
              <w:jc w:val="center"/>
            </w:pPr>
            <w:r/>
            <w:r>
              <w:rPr>
                <w:sz w:val="19"/>
              </w:rPr>
              <w:t>(Gutenberg tool index, noise)</w:t>
            </w:r>
          </w:p>
        </w:tc>
        <w:tc>
          <w:tcPr>
            <w:tcW w:type="dxa" w:w="1881"/>
          </w:tcPr>
          <w:p>
            <w:pPr>
              <w:jc w:val="center"/>
            </w:pPr>
            <w:r/>
            <w:r>
              <w:rPr>
                <w:sz w:val="19"/>
              </w:rPr>
              <w:t>—</w:t>
            </w:r>
          </w:p>
        </w:tc>
        <w:tc>
          <w:tcPr>
            <w:tcW w:type="dxa" w:w="1881"/>
          </w:tcPr>
          <w:p>
            <w:pPr>
              <w:jc w:val="center"/>
            </w:pPr>
            <w:r/>
            <w:r>
              <w:rPr>
                <w:sz w:val="19"/>
              </w:rPr>
              <w:t>68</w:t>
            </w:r>
          </w:p>
        </w:tc>
        <w:tc>
          <w:tcPr>
            <w:tcW w:type="dxa" w:w="1881"/>
          </w:tcPr>
          <w:p>
            <w:pPr>
              <w:jc w:val="center"/>
            </w:pPr>
            <w:r/>
            <w:r>
              <w:rPr>
                <w:sz w:val="19"/>
              </w:rPr>
              <w:t>13.2%</w:t>
            </w:r>
          </w:p>
        </w:tc>
      </w:tr>
      <w:tr>
        <w:tc>
          <w:tcPr>
            <w:tcW w:type="dxa" w:w="1881"/>
          </w:tcPr>
          <w:p>
            <w:pPr>
              <w:jc w:val="center"/>
            </w:pPr>
            <w:r/>
            <w:r>
              <w:rPr>
                <w:sz w:val="19"/>
              </w:rPr>
              <w:t>6</w:t>
            </w:r>
          </w:p>
        </w:tc>
        <w:tc>
          <w:tcPr>
            <w:tcW w:type="dxa" w:w="1881"/>
          </w:tcPr>
          <w:p>
            <w:pPr>
              <w:jc w:val="center"/>
            </w:pPr>
            <w:r/>
            <w:r>
              <w:rPr>
                <w:sz w:val="19"/>
              </w:rPr>
              <w:t>Caxton</w:t>
            </w:r>
          </w:p>
        </w:tc>
        <w:tc>
          <w:tcPr>
            <w:tcW w:type="dxa" w:w="1881"/>
          </w:tcPr>
          <w:p>
            <w:pPr>
              <w:jc w:val="center"/>
            </w:pPr>
            <w:r/>
            <w:r>
              <w:rPr>
                <w:sz w:val="19"/>
              </w:rPr>
              <w:t>Dialogues in French and English</w:t>
            </w:r>
          </w:p>
        </w:tc>
        <w:tc>
          <w:tcPr>
            <w:tcW w:type="dxa" w:w="1881"/>
          </w:tcPr>
          <w:p>
            <w:pPr>
              <w:jc w:val="center"/>
            </w:pPr>
            <w:r/>
            <w:r>
              <w:rPr>
                <w:sz w:val="19"/>
              </w:rPr>
              <w:t>540</w:t>
            </w:r>
          </w:p>
        </w:tc>
        <w:tc>
          <w:tcPr>
            <w:tcW w:type="dxa" w:w="1881"/>
          </w:tcPr>
          <w:p>
            <w:pPr>
              <w:jc w:val="center"/>
            </w:pPr>
            <w:r/>
            <w:r>
              <w:rPr>
                <w:sz w:val="19"/>
              </w:rPr>
              <w:t>8.0%</w:t>
            </w:r>
          </w:p>
        </w:tc>
      </w:tr>
      <w:tr>
        <w:tc>
          <w:tcPr>
            <w:tcW w:type="dxa" w:w="1881"/>
          </w:tcPr>
          <w:p>
            <w:pPr>
              <w:jc w:val="center"/>
            </w:pPr>
            <w:r/>
            <w:r>
              <w:rPr>
                <w:sz w:val="19"/>
              </w:rPr>
              <w:t>7</w:t>
            </w:r>
          </w:p>
        </w:tc>
        <w:tc>
          <w:tcPr>
            <w:tcW w:type="dxa" w:w="1881"/>
          </w:tcPr>
          <w:p>
            <w:pPr>
              <w:jc w:val="center"/>
            </w:pPr>
            <w:r/>
            <w:r>
              <w:rPr>
                <w:sz w:val="19"/>
              </w:rPr>
              <w:t>Leonardo</w:t>
            </w:r>
          </w:p>
        </w:tc>
        <w:tc>
          <w:tcPr>
            <w:tcW w:type="dxa" w:w="1881"/>
          </w:tcPr>
          <w:p>
            <w:pPr>
              <w:jc w:val="center"/>
            </w:pPr>
            <w:r/>
            <w:r>
              <w:rPr>
                <w:sz w:val="19"/>
              </w:rPr>
              <w:t>Notebooks Vol. 1</w:t>
            </w:r>
          </w:p>
        </w:tc>
        <w:tc>
          <w:tcPr>
            <w:tcW w:type="dxa" w:w="1881"/>
          </w:tcPr>
          <w:p>
            <w:pPr>
              <w:jc w:val="center"/>
            </w:pPr>
            <w:r/>
            <w:r>
              <w:rPr>
                <w:sz w:val="19"/>
              </w:rPr>
              <w:t>1,927</w:t>
            </w:r>
          </w:p>
        </w:tc>
        <w:tc>
          <w:tcPr>
            <w:tcW w:type="dxa" w:w="1881"/>
          </w:tcPr>
          <w:p>
            <w:pPr>
              <w:jc w:val="center"/>
            </w:pPr>
            <w:r/>
            <w:r>
              <w:rPr>
                <w:sz w:val="19"/>
              </w:rPr>
              <w:t>6.7%</w:t>
            </w:r>
          </w:p>
        </w:tc>
      </w:tr>
      <w:tr>
        <w:tc>
          <w:tcPr>
            <w:tcW w:type="dxa" w:w="1881"/>
          </w:tcPr>
          <w:p>
            <w:pPr>
              <w:jc w:val="center"/>
            </w:pPr>
            <w:r/>
            <w:r>
              <w:rPr>
                <w:sz w:val="19"/>
              </w:rPr>
              <w:t>8</w:t>
            </w:r>
          </w:p>
        </w:tc>
        <w:tc>
          <w:tcPr>
            <w:tcW w:type="dxa" w:w="1881"/>
          </w:tcPr>
          <w:p>
            <w:pPr>
              <w:jc w:val="center"/>
            </w:pPr>
            <w:r/>
            <w:r>
              <w:rPr>
                <w:sz w:val="19"/>
              </w:rPr>
              <w:t>Leonardo</w:t>
            </w:r>
          </w:p>
        </w:tc>
        <w:tc>
          <w:tcPr>
            <w:tcW w:type="dxa" w:w="1881"/>
          </w:tcPr>
          <w:p>
            <w:pPr>
              <w:jc w:val="center"/>
            </w:pPr>
            <w:r/>
            <w:r>
              <w:rPr>
                <w:sz w:val="19"/>
              </w:rPr>
              <w:t>Treatise on Painting</w:t>
            </w:r>
          </w:p>
        </w:tc>
        <w:tc>
          <w:tcPr>
            <w:tcW w:type="dxa" w:w="1881"/>
          </w:tcPr>
          <w:p>
            <w:pPr>
              <w:jc w:val="center"/>
            </w:pPr>
            <w:r/>
            <w:r>
              <w:rPr>
                <w:sz w:val="19"/>
              </w:rPr>
              <w:t>1,722</w:t>
            </w:r>
          </w:p>
        </w:tc>
        <w:tc>
          <w:tcPr>
            <w:tcW w:type="dxa" w:w="1881"/>
          </w:tcPr>
          <w:p>
            <w:pPr>
              <w:jc w:val="center"/>
            </w:pPr>
            <w:r/>
            <w:r>
              <w:rPr>
                <w:sz w:val="19"/>
              </w:rPr>
              <w:t>5.8%</w:t>
            </w:r>
          </w:p>
        </w:tc>
      </w:tr>
      <w:tr>
        <w:tc>
          <w:tcPr>
            <w:tcW w:type="dxa" w:w="1881"/>
          </w:tcPr>
          <w:p>
            <w:pPr>
              <w:jc w:val="center"/>
            </w:pPr>
            <w:r/>
            <w:r>
              <w:rPr>
                <w:sz w:val="19"/>
              </w:rPr>
              <w:t>9</w:t>
            </w:r>
          </w:p>
        </w:tc>
        <w:tc>
          <w:tcPr>
            <w:tcW w:type="dxa" w:w="1881"/>
          </w:tcPr>
          <w:p>
            <w:pPr>
              <w:jc w:val="center"/>
            </w:pPr>
            <w:r/>
            <w:r>
              <w:rPr>
                <w:sz w:val="19"/>
              </w:rPr>
              <w:t>Agricola</w:t>
            </w:r>
          </w:p>
        </w:tc>
        <w:tc>
          <w:tcPr>
            <w:tcW w:type="dxa" w:w="1881"/>
          </w:tcPr>
          <w:p>
            <w:pPr>
              <w:jc w:val="center"/>
            </w:pPr>
            <w:r/>
            <w:r>
              <w:rPr>
                <w:sz w:val="19"/>
              </w:rPr>
              <w:t>De Re Metallica</w:t>
            </w:r>
          </w:p>
        </w:tc>
        <w:tc>
          <w:tcPr>
            <w:tcW w:type="dxa" w:w="1881"/>
          </w:tcPr>
          <w:p>
            <w:pPr>
              <w:jc w:val="center"/>
            </w:pPr>
            <w:r/>
            <w:r>
              <w:rPr>
                <w:sz w:val="19"/>
              </w:rPr>
              <w:t>4,379</w:t>
            </w:r>
          </w:p>
        </w:tc>
        <w:tc>
          <w:tcPr>
            <w:tcW w:type="dxa" w:w="1881"/>
          </w:tcPr>
          <w:p>
            <w:pPr>
              <w:jc w:val="center"/>
            </w:pPr>
            <w:r/>
            <w:r>
              <w:rPr>
                <w:sz w:val="19"/>
              </w:rPr>
              <w:t>4.6%</w:t>
            </w:r>
          </w:p>
        </w:tc>
      </w:tr>
    </w:tbl>
    <w:p>
      <w:pPr>
        <w:spacing w:line="336" w:lineRule="auto"/>
        <w:ind w:firstLine="283"/>
      </w:pPr>
      <w:r>
        <w:rPr>
          <w:rFonts w:ascii="Times New Roman" w:hAnsi="Times New Roman"/>
          <w:sz w:val="22"/>
        </w:rPr>
        <w:t xml:space="preserve">Renaissance has the lowest Top-5 mean of the five slices (41.6%) — </w:t>
      </w:r>
      <w:r>
        <w:rPr>
          <w:rFonts w:ascii="Times New Roman" w:hAnsi="Times New Roman"/>
          <w:b/>
          <w:sz w:val="22"/>
        </w:rPr>
        <w:t>below even Roman</w:t>
      </w:r>
      <w:r>
        <w:rPr>
          <w:rFonts w:ascii="Times New Roman" w:hAnsi="Times New Roman"/>
          <w:sz w:val="22"/>
        </w:rPr>
        <w:t xml:space="preserve">. But the interesting structure is elsewhere: </w:t>
      </w:r>
      <w:r>
        <w:rPr>
          <w:rFonts w:ascii="Times New Roman" w:hAnsi="Times New Roman"/>
          <w:b/>
          <w:sz w:val="22"/>
        </w:rPr>
        <w:t>ranks 1 through 4 form a small mathematical community of their own</w:t>
      </w:r>
      <w:r>
        <w:rPr>
          <w:rFonts w:ascii="Times New Roman" w:hAnsi="Times New Roman"/>
          <w:sz w:val="22"/>
        </w:rPr>
        <w:t xml:space="preserve"> — Cardano's algebra, Dürer's geometric-letter design (using compass and straightedge to derive Roman letter proportions), Robert Record's first English arithmetic textbook, and John Dee's preface to the English Euclid. Four figures from 16th-century Europe, spanning only a few decades, each using mathematical tools to reorganize art or education.</w:t>
      </w:r>
    </w:p>
    <w:p>
      <w:pPr>
        <w:spacing w:line="336" w:lineRule="auto"/>
        <w:ind w:firstLine="283"/>
      </w:pPr>
      <w:r>
        <w:rPr>
          <w:rFonts w:ascii="Times New Roman" w:hAnsi="Times New Roman"/>
          <w:b/>
          <w:sz w:val="22"/>
        </w:rPr>
        <w:t>But from rank 5 onward, scores drop below 8%.</w:t>
      </w:r>
      <w:r>
        <w:rPr>
          <w:rFonts w:ascii="Times New Roman" w:hAnsi="Times New Roman"/>
          <w:sz w:val="22"/>
        </w:rPr>
        <w:t xml:space="preserve"> Leonardo's notebooks, Agricola's </w:t>
      </w:r>
      <w:r>
        <w:rPr>
          <w:rFonts w:ascii="Times New Roman" w:hAnsi="Times New Roman"/>
          <w:i/>
          <w:sz w:val="22"/>
        </w:rPr>
        <w:t>De Re Metallica</w:t>
      </w:r>
      <w:r>
        <w:rPr>
          <w:rFonts w:ascii="Times New Roman" w:hAnsi="Times New Roman"/>
          <w:sz w:val="22"/>
        </w:rPr>
        <w:t xml:space="preserve">, Chaucer, Montaigne — the most famous Renaissance names — all score under 7%. Agricola's </w:t>
      </w:r>
      <w:r>
        <w:rPr>
          <w:rFonts w:ascii="Times New Roman" w:hAnsi="Times New Roman"/>
          <w:i/>
          <w:sz w:val="22"/>
        </w:rPr>
        <w:t>De Re Metallica</w:t>
      </w:r>
      <w:r>
        <w:rPr>
          <w:rFonts w:ascii="Times New Roman" w:hAnsi="Times New Roman"/>
          <w:sz w:val="22"/>
        </w:rPr>
        <w:t xml:space="preserve"> at 4.6% is particularly telling: the book contains extensive measurement, proportion, and procedural description, but its structure is a narrative-procedural hybrid, not purely Euclidean or algebraic.</w:t>
      </w:r>
    </w:p>
    <w:p>
      <w:pPr>
        <w:spacing w:line="336" w:lineRule="auto"/>
        <w:ind w:firstLine="283"/>
      </w:pPr>
      <w:r>
        <w:rPr>
          <w:rFonts w:ascii="Times New Roman" w:hAnsi="Times New Roman"/>
          <w:b/>
          <w:sz w:val="22"/>
        </w:rPr>
        <w:t>The Renaissance image is a thinner isolated peak</w:t>
      </w:r>
      <w:r>
        <w:rPr>
          <w:rFonts w:ascii="Times New Roman" w:hAnsi="Times New Roman"/>
          <w:sz w:val="22"/>
        </w:rPr>
        <w:t xml:space="preserve">: Cardano alone at the top, four small hills below, and a vast field of theology, literature, history, and travel beneath. Median 0.00%. </w:t>
      </w:r>
      <w:r>
        <w:rPr>
          <w:rFonts w:ascii="Times New Roman" w:hAnsi="Times New Roman"/>
          <w:b/>
          <w:sz w:val="22"/>
        </w:rPr>
        <w:t>It did not yet form a Greek-comparable mathematical community — even as seeds of mathematical education (Record), mathematical craft (Dürer), and mathematical philosophy (Dee) were sprouting.</w:t>
      </w:r>
    </w:p>
    <w:p>
      <w:pPr>
        <w:pStyle w:val="Heading2"/>
      </w:pPr>
      <w:r>
        <w:rPr>
          <w:rFonts w:ascii="Times New Roman" w:hAnsi="Times New Roman"/>
          <w:b/>
          <w:sz w:val="25"/>
        </w:rPr>
        <w:t>3.5 Leibniz Era: Emergence of a Scientific Community</w:t>
      </w:r>
    </w:p>
    <w:p>
      <w:pPr>
        <w:spacing w:line="336" w:lineRule="auto"/>
        <w:ind w:firstLine="283"/>
      </w:pPr>
      <w:r>
        <w:rPr>
          <w:rFonts w:ascii="Times New Roman" w:hAnsi="Times New Roman"/>
          <w:sz w:val="22"/>
        </w:rPr>
        <w:t xml:space="preserve">The Leibniz era slice has 983 Gutenberg English translations, 1,011,464 paragraphs, centered on Newton's </w:t>
      </w:r>
      <w:r>
        <w:rPr>
          <w:rFonts w:ascii="Times New Roman" w:hAnsi="Times New Roman"/>
          <w:i/>
          <w:sz w:val="22"/>
        </w:rPr>
        <w:t>Principia</w:t>
      </w:r>
      <w:r>
        <w:rPr>
          <w:rFonts w:ascii="Times New Roman" w:hAnsi="Times New Roman"/>
          <w:sz w:val="22"/>
        </w:rPr>
        <w:t>. What happens in this slice differs fundamentally from the previous three. 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Rank</w:t>
            </w:r>
          </w:p>
        </w:tc>
        <w:tc>
          <w:tcPr>
            <w:tcW w:type="dxa" w:w="1881"/>
          </w:tcPr>
          <w:p>
            <w:pPr>
              <w:jc w:val="center"/>
            </w:pPr>
            <w:r/>
            <w:r>
              <w:rPr>
                <w:b/>
                <w:sz w:val="20"/>
              </w:rPr>
              <w:t>Author</w:t>
            </w:r>
          </w:p>
        </w:tc>
        <w:tc>
          <w:tcPr>
            <w:tcW w:type="dxa" w:w="1881"/>
          </w:tcPr>
          <w:p>
            <w:pPr>
              <w:jc w:val="center"/>
            </w:pPr>
            <w:r/>
            <w:r>
              <w:rPr>
                <w:b/>
                <w:sz w:val="20"/>
              </w:rPr>
              <w:t>Work</w:t>
            </w:r>
          </w:p>
        </w:tc>
        <w:tc>
          <w:tcPr>
            <w:tcW w:type="dxa" w:w="1881"/>
          </w:tcPr>
          <w:p>
            <w:pPr>
              <w:jc w:val="center"/>
            </w:pPr>
            <w:r/>
            <w:r>
              <w:rPr>
                <w:b/>
                <w:sz w:val="20"/>
              </w:rPr>
              <w:t>Paragraphs</w:t>
            </w:r>
          </w:p>
        </w:tc>
        <w:tc>
          <w:tcPr>
            <w:tcW w:type="dxa" w:w="1881"/>
          </w:tcPr>
          <w:p>
            <w:pPr>
              <w:jc w:val="center"/>
            </w:pPr>
            <w:r/>
            <w:r>
              <w:rPr>
                <w:b/>
                <w:sz w:val="20"/>
              </w:rPr>
              <w:t>≥0.6</w:t>
            </w:r>
          </w:p>
        </w:tc>
      </w:tr>
      <w:tr>
        <w:tc>
          <w:tcPr>
            <w:tcW w:type="dxa" w:w="1881"/>
          </w:tcPr>
          <w:p>
            <w:pPr>
              <w:jc w:val="center"/>
            </w:pPr>
            <w:r/>
            <w:r>
              <w:rPr>
                <w:sz w:val="19"/>
              </w:rPr>
              <w:t>1</w:t>
            </w:r>
          </w:p>
        </w:tc>
        <w:tc>
          <w:tcPr>
            <w:tcW w:type="dxa" w:w="1881"/>
          </w:tcPr>
          <w:p>
            <w:pPr>
              <w:jc w:val="center"/>
            </w:pPr>
            <w:r/>
            <w:r>
              <w:rPr>
                <w:sz w:val="19"/>
              </w:rPr>
              <w:t>Newton</w:t>
            </w:r>
          </w:p>
        </w:tc>
        <w:tc>
          <w:tcPr>
            <w:tcW w:type="dxa" w:w="1881"/>
          </w:tcPr>
          <w:p>
            <w:pPr>
              <w:jc w:val="center"/>
            </w:pPr>
            <w:r/>
            <w:r>
              <w:rPr>
                <w:sz w:val="19"/>
              </w:rPr>
              <w:t>Principia Mathematica</w:t>
            </w:r>
          </w:p>
        </w:tc>
        <w:tc>
          <w:tcPr>
            <w:tcW w:type="dxa" w:w="1881"/>
          </w:tcPr>
          <w:p>
            <w:pPr>
              <w:jc w:val="center"/>
            </w:pPr>
            <w:r/>
            <w:r>
              <w:rPr>
                <w:sz w:val="19"/>
              </w:rPr>
              <w:t>2,024</w:t>
            </w:r>
          </w:p>
        </w:tc>
        <w:tc>
          <w:tcPr>
            <w:tcW w:type="dxa" w:w="1881"/>
          </w:tcPr>
          <w:p>
            <w:pPr>
              <w:jc w:val="center"/>
            </w:pPr>
            <w:r/>
            <w:r>
              <w:rPr>
                <w:sz w:val="19"/>
              </w:rPr>
              <w:t>92.5%</w:t>
            </w:r>
          </w:p>
        </w:tc>
      </w:tr>
      <w:tr>
        <w:tc>
          <w:tcPr>
            <w:tcW w:type="dxa" w:w="1881"/>
          </w:tcPr>
          <w:p>
            <w:pPr>
              <w:jc w:val="center"/>
            </w:pPr>
            <w:r/>
            <w:r>
              <w:rPr>
                <w:sz w:val="19"/>
              </w:rPr>
              <w:t>2</w:t>
            </w:r>
          </w:p>
        </w:tc>
        <w:tc>
          <w:tcPr>
            <w:tcW w:type="dxa" w:w="1881"/>
          </w:tcPr>
          <w:p>
            <w:pPr>
              <w:jc w:val="center"/>
            </w:pPr>
            <w:r/>
            <w:r>
              <w:rPr>
                <w:sz w:val="19"/>
              </w:rPr>
              <w:t>Newton</w:t>
            </w:r>
          </w:p>
        </w:tc>
        <w:tc>
          <w:tcPr>
            <w:tcW w:type="dxa" w:w="1881"/>
          </w:tcPr>
          <w:p>
            <w:pPr>
              <w:jc w:val="center"/>
            </w:pPr>
            <w:r/>
            <w:r>
              <w:rPr>
                <w:sz w:val="19"/>
              </w:rPr>
              <w:t>Opticks</w:t>
            </w:r>
          </w:p>
        </w:tc>
        <w:tc>
          <w:tcPr>
            <w:tcW w:type="dxa" w:w="1881"/>
          </w:tcPr>
          <w:p>
            <w:pPr>
              <w:jc w:val="center"/>
            </w:pPr>
            <w:r/>
            <w:r>
              <w:rPr>
                <w:sz w:val="19"/>
              </w:rPr>
              <w:t>891</w:t>
            </w:r>
          </w:p>
        </w:tc>
        <w:tc>
          <w:tcPr>
            <w:tcW w:type="dxa" w:w="1881"/>
          </w:tcPr>
          <w:p>
            <w:pPr>
              <w:jc w:val="center"/>
            </w:pPr>
            <w:r/>
            <w:r>
              <w:rPr>
                <w:sz w:val="19"/>
              </w:rPr>
              <w:t>90.6%</w:t>
            </w:r>
          </w:p>
        </w:tc>
      </w:tr>
      <w:tr>
        <w:tc>
          <w:tcPr>
            <w:tcW w:type="dxa" w:w="1881"/>
          </w:tcPr>
          <w:p>
            <w:pPr>
              <w:jc w:val="center"/>
            </w:pPr>
            <w:r/>
            <w:r>
              <w:rPr>
                <w:sz w:val="19"/>
              </w:rPr>
              <w:t>3</w:t>
            </w:r>
          </w:p>
        </w:tc>
        <w:tc>
          <w:tcPr>
            <w:tcW w:type="dxa" w:w="1881"/>
          </w:tcPr>
          <w:p>
            <w:pPr>
              <w:jc w:val="center"/>
            </w:pPr>
            <w:r/>
            <w:r>
              <w:rPr>
                <w:sz w:val="19"/>
              </w:rPr>
              <w:t>Huygens</w:t>
            </w:r>
          </w:p>
        </w:tc>
        <w:tc>
          <w:tcPr>
            <w:tcW w:type="dxa" w:w="1881"/>
          </w:tcPr>
          <w:p>
            <w:pPr>
              <w:jc w:val="center"/>
            </w:pPr>
            <w:r/>
            <w:r>
              <w:rPr>
                <w:sz w:val="19"/>
              </w:rPr>
              <w:t>Treatise on Light</w:t>
            </w:r>
          </w:p>
        </w:tc>
        <w:tc>
          <w:tcPr>
            <w:tcW w:type="dxa" w:w="1881"/>
          </w:tcPr>
          <w:p>
            <w:pPr>
              <w:jc w:val="center"/>
            </w:pPr>
            <w:r/>
            <w:r>
              <w:rPr>
                <w:sz w:val="19"/>
              </w:rPr>
              <w:t>422</w:t>
            </w:r>
          </w:p>
        </w:tc>
        <w:tc>
          <w:tcPr>
            <w:tcW w:type="dxa" w:w="1881"/>
          </w:tcPr>
          <w:p>
            <w:pPr>
              <w:jc w:val="center"/>
            </w:pPr>
            <w:r/>
            <w:r>
              <w:rPr>
                <w:sz w:val="19"/>
              </w:rPr>
              <w:t>90.3%</w:t>
            </w:r>
          </w:p>
        </w:tc>
      </w:tr>
      <w:tr>
        <w:tc>
          <w:tcPr>
            <w:tcW w:type="dxa" w:w="1881"/>
          </w:tcPr>
          <w:p>
            <w:pPr>
              <w:jc w:val="center"/>
            </w:pPr>
            <w:r/>
            <w:r>
              <w:rPr>
                <w:sz w:val="19"/>
              </w:rPr>
              <w:t>4</w:t>
            </w:r>
          </w:p>
        </w:tc>
        <w:tc>
          <w:tcPr>
            <w:tcW w:type="dxa" w:w="1881"/>
          </w:tcPr>
          <w:p>
            <w:pPr>
              <w:jc w:val="center"/>
            </w:pPr>
            <w:r/>
            <w:r>
              <w:rPr>
                <w:sz w:val="19"/>
              </w:rPr>
              <w:t>Spinoza</w:t>
            </w:r>
          </w:p>
        </w:tc>
        <w:tc>
          <w:tcPr>
            <w:tcW w:type="dxa" w:w="1881"/>
          </w:tcPr>
          <w:p>
            <w:pPr>
              <w:jc w:val="center"/>
            </w:pPr>
            <w:r/>
            <w:r>
              <w:rPr>
                <w:sz w:val="19"/>
              </w:rPr>
              <w:t>Ethics — Part 1</w:t>
            </w:r>
          </w:p>
        </w:tc>
        <w:tc>
          <w:tcPr>
            <w:tcW w:type="dxa" w:w="1881"/>
          </w:tcPr>
          <w:p>
            <w:pPr>
              <w:jc w:val="center"/>
            </w:pPr>
            <w:r/>
            <w:r>
              <w:rPr>
                <w:sz w:val="19"/>
              </w:rPr>
              <w:t>197</w:t>
            </w:r>
          </w:p>
        </w:tc>
        <w:tc>
          <w:tcPr>
            <w:tcW w:type="dxa" w:w="1881"/>
          </w:tcPr>
          <w:p>
            <w:pPr>
              <w:jc w:val="center"/>
            </w:pPr>
            <w:r/>
            <w:r>
              <w:rPr>
                <w:sz w:val="19"/>
              </w:rPr>
              <w:t>89.3%</w:t>
            </w:r>
          </w:p>
        </w:tc>
      </w:tr>
      <w:tr>
        <w:tc>
          <w:tcPr>
            <w:tcW w:type="dxa" w:w="1881"/>
          </w:tcPr>
          <w:p>
            <w:pPr>
              <w:jc w:val="center"/>
            </w:pPr>
            <w:r/>
            <w:r>
              <w:rPr>
                <w:sz w:val="19"/>
              </w:rPr>
              <w:t>5</w:t>
            </w:r>
          </w:p>
        </w:tc>
        <w:tc>
          <w:tcPr>
            <w:tcW w:type="dxa" w:w="1881"/>
          </w:tcPr>
          <w:p>
            <w:pPr>
              <w:jc w:val="center"/>
            </w:pPr>
            <w:r/>
            <w:r>
              <w:rPr>
                <w:sz w:val="19"/>
              </w:rPr>
              <w:t>Pemble</w:t>
            </w:r>
          </w:p>
        </w:tc>
        <w:tc>
          <w:tcPr>
            <w:tcW w:type="dxa" w:w="1881"/>
          </w:tcPr>
          <w:p>
            <w:pPr>
              <w:jc w:val="center"/>
            </w:pPr>
            <w:r/>
            <w:r>
              <w:rPr>
                <w:sz w:val="19"/>
              </w:rPr>
              <w:t>A Briefe Introduction to Geography</w:t>
            </w:r>
          </w:p>
        </w:tc>
        <w:tc>
          <w:tcPr>
            <w:tcW w:type="dxa" w:w="1881"/>
          </w:tcPr>
          <w:p>
            <w:pPr>
              <w:jc w:val="center"/>
            </w:pPr>
            <w:r/>
            <w:r>
              <w:rPr>
                <w:sz w:val="19"/>
              </w:rPr>
              <w:t>182</w:t>
            </w:r>
          </w:p>
        </w:tc>
        <w:tc>
          <w:tcPr>
            <w:tcW w:type="dxa" w:w="1881"/>
          </w:tcPr>
          <w:p>
            <w:pPr>
              <w:jc w:val="center"/>
            </w:pPr>
            <w:r/>
            <w:r>
              <w:rPr>
                <w:sz w:val="19"/>
              </w:rPr>
              <w:t>85.2%</w:t>
            </w:r>
          </w:p>
        </w:tc>
      </w:tr>
      <w:tr>
        <w:tc>
          <w:tcPr>
            <w:tcW w:type="dxa" w:w="1881"/>
          </w:tcPr>
          <w:p>
            <w:pPr>
              <w:jc w:val="center"/>
            </w:pPr>
            <w:r/>
            <w:r>
              <w:rPr>
                <w:sz w:val="19"/>
              </w:rPr>
              <w:t>6</w:t>
            </w:r>
          </w:p>
        </w:tc>
        <w:tc>
          <w:tcPr>
            <w:tcW w:type="dxa" w:w="1881"/>
          </w:tcPr>
          <w:p>
            <w:pPr>
              <w:jc w:val="center"/>
            </w:pPr>
            <w:r/>
            <w:r>
              <w:rPr>
                <w:sz w:val="19"/>
              </w:rPr>
              <w:t>Spinoza</w:t>
            </w:r>
          </w:p>
        </w:tc>
        <w:tc>
          <w:tcPr>
            <w:tcW w:type="dxa" w:w="1881"/>
          </w:tcPr>
          <w:p>
            <w:pPr>
              <w:jc w:val="center"/>
            </w:pPr>
            <w:r/>
            <w:r>
              <w:rPr>
                <w:sz w:val="19"/>
              </w:rPr>
              <w:t>Improvement of the Understanding</w:t>
            </w:r>
          </w:p>
        </w:tc>
        <w:tc>
          <w:tcPr>
            <w:tcW w:type="dxa" w:w="1881"/>
          </w:tcPr>
          <w:p>
            <w:pPr>
              <w:jc w:val="center"/>
            </w:pPr>
            <w:r/>
            <w:r>
              <w:rPr>
                <w:sz w:val="19"/>
              </w:rPr>
              <w:t>208</w:t>
            </w:r>
          </w:p>
        </w:tc>
        <w:tc>
          <w:tcPr>
            <w:tcW w:type="dxa" w:w="1881"/>
          </w:tcPr>
          <w:p>
            <w:pPr>
              <w:jc w:val="center"/>
            </w:pPr>
            <w:r/>
            <w:r>
              <w:rPr>
                <w:sz w:val="19"/>
              </w:rPr>
              <w:t>84.1%</w:t>
            </w:r>
          </w:p>
        </w:tc>
      </w:tr>
      <w:tr>
        <w:tc>
          <w:tcPr>
            <w:tcW w:type="dxa" w:w="1881"/>
          </w:tcPr>
          <w:p>
            <w:pPr>
              <w:jc w:val="center"/>
            </w:pPr>
            <w:r/>
            <w:r>
              <w:rPr>
                <w:sz w:val="19"/>
              </w:rPr>
              <w:t>7</w:t>
            </w:r>
          </w:p>
        </w:tc>
        <w:tc>
          <w:tcPr>
            <w:tcW w:type="dxa" w:w="1881"/>
          </w:tcPr>
          <w:p>
            <w:pPr>
              <w:jc w:val="center"/>
            </w:pPr>
            <w:r/>
            <w:r>
              <w:rPr>
                <w:sz w:val="19"/>
              </w:rPr>
              <w:t>Berkeley</w:t>
            </w:r>
          </w:p>
        </w:tc>
        <w:tc>
          <w:tcPr>
            <w:tcW w:type="dxa" w:w="1881"/>
          </w:tcPr>
          <w:p>
            <w:pPr>
              <w:jc w:val="center"/>
            </w:pPr>
            <w:r/>
            <w:r>
              <w:rPr>
                <w:sz w:val="19"/>
              </w:rPr>
              <w:t>Principles of Human Knowledge</w:t>
            </w:r>
          </w:p>
        </w:tc>
        <w:tc>
          <w:tcPr>
            <w:tcW w:type="dxa" w:w="1881"/>
          </w:tcPr>
          <w:p>
            <w:pPr>
              <w:jc w:val="center"/>
            </w:pPr>
            <w:r/>
            <w:r>
              <w:rPr>
                <w:sz w:val="19"/>
              </w:rPr>
              <w:t>328</w:t>
            </w:r>
          </w:p>
        </w:tc>
        <w:tc>
          <w:tcPr>
            <w:tcW w:type="dxa" w:w="1881"/>
          </w:tcPr>
          <w:p>
            <w:pPr>
              <w:jc w:val="center"/>
            </w:pPr>
            <w:r/>
            <w:r>
              <w:rPr>
                <w:sz w:val="19"/>
              </w:rPr>
              <w:t>83.8%</w:t>
            </w:r>
          </w:p>
        </w:tc>
      </w:tr>
      <w:tr>
        <w:tc>
          <w:tcPr>
            <w:tcW w:type="dxa" w:w="1881"/>
          </w:tcPr>
          <w:p>
            <w:pPr>
              <w:jc w:val="center"/>
            </w:pPr>
            <w:r/>
            <w:r>
              <w:rPr>
                <w:sz w:val="19"/>
              </w:rPr>
              <w:t>8</w:t>
            </w:r>
          </w:p>
        </w:tc>
        <w:tc>
          <w:tcPr>
            <w:tcW w:type="dxa" w:w="1881"/>
          </w:tcPr>
          <w:p>
            <w:pPr>
              <w:jc w:val="center"/>
            </w:pPr>
            <w:r/>
            <w:r>
              <w:rPr>
                <w:sz w:val="19"/>
              </w:rPr>
              <w:t>Pemberton</w:t>
            </w:r>
          </w:p>
        </w:tc>
        <w:tc>
          <w:tcPr>
            <w:tcW w:type="dxa" w:w="1881"/>
          </w:tcPr>
          <w:p>
            <w:pPr>
              <w:jc w:val="center"/>
            </w:pPr>
            <w:r/>
            <w:r>
              <w:rPr>
                <w:sz w:val="19"/>
              </w:rPr>
              <w:t>A View of Sir Isaac Newton's Philosophy</w:t>
            </w:r>
          </w:p>
        </w:tc>
        <w:tc>
          <w:tcPr>
            <w:tcW w:type="dxa" w:w="1881"/>
          </w:tcPr>
          <w:p>
            <w:pPr>
              <w:jc w:val="center"/>
            </w:pPr>
            <w:r/>
            <w:r>
              <w:rPr>
                <w:sz w:val="19"/>
              </w:rPr>
              <w:t>1,249</w:t>
            </w:r>
          </w:p>
        </w:tc>
        <w:tc>
          <w:tcPr>
            <w:tcW w:type="dxa" w:w="1881"/>
          </w:tcPr>
          <w:p>
            <w:pPr>
              <w:jc w:val="center"/>
            </w:pPr>
            <w:r/>
            <w:r>
              <w:rPr>
                <w:sz w:val="19"/>
              </w:rPr>
              <w:t>83.6%</w:t>
            </w:r>
          </w:p>
        </w:tc>
      </w:tr>
      <w:tr>
        <w:tc>
          <w:tcPr>
            <w:tcW w:type="dxa" w:w="1881"/>
          </w:tcPr>
          <w:p>
            <w:pPr>
              <w:jc w:val="center"/>
            </w:pPr>
            <w:r/>
            <w:r>
              <w:rPr>
                <w:sz w:val="19"/>
              </w:rPr>
              <w:t>9</w:t>
            </w:r>
          </w:p>
        </w:tc>
        <w:tc>
          <w:tcPr>
            <w:tcW w:type="dxa" w:w="1881"/>
          </w:tcPr>
          <w:p>
            <w:pPr>
              <w:jc w:val="center"/>
            </w:pPr>
            <w:r/>
            <w:r>
              <w:rPr>
                <w:sz w:val="19"/>
              </w:rPr>
              <w:t>Whiston</w:t>
            </w:r>
          </w:p>
        </w:tc>
        <w:tc>
          <w:tcPr>
            <w:tcW w:type="dxa" w:w="1881"/>
          </w:tcPr>
          <w:p>
            <w:pPr>
              <w:jc w:val="center"/>
            </w:pPr>
            <w:r/>
            <w:r>
              <w:rPr>
                <w:sz w:val="19"/>
              </w:rPr>
              <w:t>Mechanical, Magnetical, Optical Lectures</w:t>
            </w:r>
          </w:p>
        </w:tc>
        <w:tc>
          <w:tcPr>
            <w:tcW w:type="dxa" w:w="1881"/>
          </w:tcPr>
          <w:p>
            <w:pPr>
              <w:jc w:val="center"/>
            </w:pPr>
            <w:r/>
            <w:r>
              <w:rPr>
                <w:sz w:val="19"/>
              </w:rPr>
              <w:t>313</w:t>
            </w:r>
          </w:p>
        </w:tc>
        <w:tc>
          <w:tcPr>
            <w:tcW w:type="dxa" w:w="1881"/>
          </w:tcPr>
          <w:p>
            <w:pPr>
              <w:jc w:val="center"/>
            </w:pPr>
            <w:r/>
            <w:r>
              <w:rPr>
                <w:sz w:val="19"/>
              </w:rPr>
              <w:t>81.5%</w:t>
            </w:r>
          </w:p>
        </w:tc>
      </w:tr>
      <w:tr>
        <w:tc>
          <w:tcPr>
            <w:tcW w:type="dxa" w:w="1881"/>
          </w:tcPr>
          <w:p>
            <w:pPr>
              <w:jc w:val="center"/>
            </w:pPr>
            <w:r/>
            <w:r>
              <w:rPr>
                <w:sz w:val="19"/>
              </w:rPr>
              <w:t>10</w:t>
            </w:r>
          </w:p>
        </w:tc>
        <w:tc>
          <w:tcPr>
            <w:tcW w:type="dxa" w:w="1881"/>
          </w:tcPr>
          <w:p>
            <w:pPr>
              <w:jc w:val="center"/>
            </w:pPr>
            <w:r/>
            <w:r>
              <w:rPr>
                <w:sz w:val="19"/>
              </w:rPr>
              <w:t>Spinoza</w:t>
            </w:r>
          </w:p>
        </w:tc>
        <w:tc>
          <w:tcPr>
            <w:tcW w:type="dxa" w:w="1881"/>
          </w:tcPr>
          <w:p>
            <w:pPr>
              <w:jc w:val="center"/>
            </w:pPr>
            <w:r/>
            <w:r>
              <w:rPr>
                <w:sz w:val="19"/>
              </w:rPr>
              <w:t>Ethics — Part 5</w:t>
            </w:r>
          </w:p>
        </w:tc>
        <w:tc>
          <w:tcPr>
            <w:tcW w:type="dxa" w:w="1881"/>
          </w:tcPr>
          <w:p>
            <w:pPr>
              <w:jc w:val="center"/>
            </w:pPr>
            <w:r/>
            <w:r>
              <w:rPr>
                <w:sz w:val="19"/>
              </w:rPr>
              <w:t>151</w:t>
            </w:r>
          </w:p>
        </w:tc>
        <w:tc>
          <w:tcPr>
            <w:tcW w:type="dxa" w:w="1881"/>
          </w:tcPr>
          <w:p>
            <w:pPr>
              <w:jc w:val="center"/>
            </w:pPr>
            <w:r/>
            <w:r>
              <w:rPr>
                <w:sz w:val="19"/>
              </w:rPr>
              <w:t>80.1%</w:t>
            </w:r>
          </w:p>
        </w:tc>
      </w:tr>
      <w:tr>
        <w:tc>
          <w:tcPr>
            <w:tcW w:type="dxa" w:w="1881"/>
          </w:tcPr>
          <w:p>
            <w:pPr>
              <w:jc w:val="center"/>
            </w:pPr>
            <w:r/>
            <w:r>
              <w:rPr>
                <w:sz w:val="19"/>
              </w:rPr>
              <w:t>11</w:t>
            </w:r>
          </w:p>
        </w:tc>
        <w:tc>
          <w:tcPr>
            <w:tcW w:type="dxa" w:w="1881"/>
          </w:tcPr>
          <w:p>
            <w:pPr>
              <w:jc w:val="center"/>
            </w:pPr>
            <w:r/>
            <w:r>
              <w:rPr>
                <w:sz w:val="19"/>
              </w:rPr>
              <w:t>Galileo</w:t>
            </w:r>
          </w:p>
        </w:tc>
        <w:tc>
          <w:tcPr>
            <w:tcW w:type="dxa" w:w="1881"/>
          </w:tcPr>
          <w:p>
            <w:pPr>
              <w:jc w:val="center"/>
            </w:pPr>
            <w:r/>
            <w:r>
              <w:rPr>
                <w:sz w:val="19"/>
              </w:rPr>
              <w:t>A Discourse</w:t>
            </w:r>
          </w:p>
        </w:tc>
        <w:tc>
          <w:tcPr>
            <w:tcW w:type="dxa" w:w="1881"/>
          </w:tcPr>
          <w:p>
            <w:pPr>
              <w:jc w:val="center"/>
            </w:pPr>
            <w:r/>
            <w:r>
              <w:rPr>
                <w:sz w:val="19"/>
              </w:rPr>
              <w:t>533</w:t>
            </w:r>
          </w:p>
        </w:tc>
        <w:tc>
          <w:tcPr>
            <w:tcW w:type="dxa" w:w="1881"/>
          </w:tcPr>
          <w:p>
            <w:pPr>
              <w:jc w:val="center"/>
            </w:pPr>
            <w:r/>
            <w:r>
              <w:rPr>
                <w:sz w:val="19"/>
              </w:rPr>
              <w:t>79.7%</w:t>
            </w:r>
          </w:p>
        </w:tc>
      </w:tr>
      <w:tr>
        <w:tc>
          <w:tcPr>
            <w:tcW w:type="dxa" w:w="1881"/>
          </w:tcPr>
          <w:p>
            <w:pPr>
              <w:jc w:val="center"/>
            </w:pPr>
            <w:r/>
            <w:r>
              <w:rPr>
                <w:sz w:val="19"/>
              </w:rPr>
              <w:t>12</w:t>
            </w:r>
          </w:p>
        </w:tc>
        <w:tc>
          <w:tcPr>
            <w:tcW w:type="dxa" w:w="1881"/>
          </w:tcPr>
          <w:p>
            <w:pPr>
              <w:jc w:val="center"/>
            </w:pPr>
            <w:r/>
            <w:r>
              <w:rPr>
                <w:sz w:val="19"/>
              </w:rPr>
              <w:t>Spinoza</w:t>
            </w:r>
          </w:p>
        </w:tc>
        <w:tc>
          <w:tcPr>
            <w:tcW w:type="dxa" w:w="1881"/>
          </w:tcPr>
          <w:p>
            <w:pPr>
              <w:jc w:val="center"/>
            </w:pPr>
            <w:r/>
            <w:r>
              <w:rPr>
                <w:sz w:val="19"/>
              </w:rPr>
              <w:t>Ethics (combined)</w:t>
            </w:r>
          </w:p>
        </w:tc>
        <w:tc>
          <w:tcPr>
            <w:tcW w:type="dxa" w:w="1881"/>
          </w:tcPr>
          <w:p>
            <w:pPr>
              <w:jc w:val="center"/>
            </w:pPr>
            <w:r/>
            <w:r>
              <w:rPr>
                <w:sz w:val="19"/>
              </w:rPr>
              <w:t>1,255</w:t>
            </w:r>
          </w:p>
        </w:tc>
        <w:tc>
          <w:tcPr>
            <w:tcW w:type="dxa" w:w="1881"/>
          </w:tcPr>
          <w:p>
            <w:pPr>
              <w:jc w:val="center"/>
            </w:pPr>
            <w:r/>
            <w:r>
              <w:rPr>
                <w:sz w:val="19"/>
              </w:rPr>
              <w:t>79.4%</w:t>
            </w:r>
          </w:p>
        </w:tc>
      </w:tr>
      <w:tr>
        <w:tc>
          <w:tcPr>
            <w:tcW w:type="dxa" w:w="1881"/>
          </w:tcPr>
          <w:p>
            <w:pPr>
              <w:jc w:val="center"/>
            </w:pPr>
            <w:r/>
            <w:r>
              <w:rPr>
                <w:sz w:val="19"/>
              </w:rPr>
              <w:t>13</w:t>
            </w:r>
          </w:p>
        </w:tc>
        <w:tc>
          <w:tcPr>
            <w:tcW w:type="dxa" w:w="1881"/>
          </w:tcPr>
          <w:p>
            <w:pPr>
              <w:jc w:val="center"/>
            </w:pPr>
            <w:r/>
            <w:r>
              <w:rPr>
                <w:sz w:val="19"/>
              </w:rPr>
              <w:t>Bacon</w:t>
            </w:r>
          </w:p>
        </w:tc>
        <w:tc>
          <w:tcPr>
            <w:tcW w:type="dxa" w:w="1881"/>
          </w:tcPr>
          <w:p>
            <w:pPr>
              <w:jc w:val="center"/>
            </w:pPr>
            <w:r/>
            <w:r>
              <w:rPr>
                <w:sz w:val="19"/>
              </w:rPr>
              <w:t>Novum Organum</w:t>
            </w:r>
          </w:p>
        </w:tc>
        <w:tc>
          <w:tcPr>
            <w:tcW w:type="dxa" w:w="1881"/>
          </w:tcPr>
          <w:p>
            <w:pPr>
              <w:jc w:val="center"/>
            </w:pPr>
            <w:r/>
            <w:r>
              <w:rPr>
                <w:sz w:val="19"/>
              </w:rPr>
              <w:t>1,013</w:t>
            </w:r>
          </w:p>
        </w:tc>
        <w:tc>
          <w:tcPr>
            <w:tcW w:type="dxa" w:w="1881"/>
          </w:tcPr>
          <w:p>
            <w:pPr>
              <w:jc w:val="center"/>
            </w:pPr>
            <w:r/>
            <w:r>
              <w:rPr>
                <w:sz w:val="19"/>
              </w:rPr>
              <w:t>78.9%</w:t>
            </w:r>
          </w:p>
        </w:tc>
      </w:tr>
      <w:tr>
        <w:tc>
          <w:tcPr>
            <w:tcW w:type="dxa" w:w="1881"/>
          </w:tcPr>
          <w:p>
            <w:pPr>
              <w:jc w:val="center"/>
            </w:pPr>
            <w:r/>
            <w:r>
              <w:rPr>
                <w:sz w:val="19"/>
              </w:rPr>
              <w:t>14</w:t>
            </w:r>
          </w:p>
        </w:tc>
        <w:tc>
          <w:tcPr>
            <w:tcW w:type="dxa" w:w="1881"/>
          </w:tcPr>
          <w:p>
            <w:pPr>
              <w:jc w:val="center"/>
            </w:pPr>
            <w:r/>
            <w:r>
              <w:rPr>
                <w:sz w:val="19"/>
              </w:rPr>
              <w:t>Hobbs</w:t>
            </w:r>
          </w:p>
        </w:tc>
        <w:tc>
          <w:tcPr>
            <w:tcW w:type="dxa" w:w="1881"/>
          </w:tcPr>
          <w:p>
            <w:pPr>
              <w:jc w:val="center"/>
            </w:pPr>
            <w:r/>
            <w:r>
              <w:rPr>
                <w:sz w:val="19"/>
              </w:rPr>
              <w:t>Finding Longitude</w:t>
            </w:r>
          </w:p>
        </w:tc>
        <w:tc>
          <w:tcPr>
            <w:tcW w:type="dxa" w:w="1881"/>
          </w:tcPr>
          <w:p>
            <w:pPr>
              <w:jc w:val="center"/>
            </w:pPr>
            <w:r/>
            <w:r>
              <w:rPr>
                <w:sz w:val="19"/>
              </w:rPr>
              <w:t>66</w:t>
            </w:r>
          </w:p>
        </w:tc>
        <w:tc>
          <w:tcPr>
            <w:tcW w:type="dxa" w:w="1881"/>
          </w:tcPr>
          <w:p>
            <w:pPr>
              <w:jc w:val="center"/>
            </w:pPr>
            <w:r/>
            <w:r>
              <w:rPr>
                <w:sz w:val="19"/>
              </w:rPr>
              <w:t>78.8%</w:t>
            </w:r>
          </w:p>
        </w:tc>
      </w:tr>
      <w:tr>
        <w:tc>
          <w:tcPr>
            <w:tcW w:type="dxa" w:w="1881"/>
          </w:tcPr>
          <w:p>
            <w:pPr>
              <w:jc w:val="center"/>
            </w:pPr>
            <w:r/>
            <w:r>
              <w:rPr>
                <w:sz w:val="19"/>
              </w:rPr>
              <w:t>15</w:t>
            </w:r>
          </w:p>
        </w:tc>
        <w:tc>
          <w:tcPr>
            <w:tcW w:type="dxa" w:w="1881"/>
          </w:tcPr>
          <w:p>
            <w:pPr>
              <w:jc w:val="center"/>
            </w:pPr>
            <w:r/>
            <w:r>
              <w:rPr>
                <w:sz w:val="19"/>
              </w:rPr>
              <w:t>Huygens</w:t>
            </w:r>
          </w:p>
        </w:tc>
        <w:tc>
          <w:tcPr>
            <w:tcW w:type="dxa" w:w="1881"/>
          </w:tcPr>
          <w:p>
            <w:pPr>
              <w:jc w:val="center"/>
            </w:pPr>
            <w:r/>
            <w:r>
              <w:rPr>
                <w:sz w:val="19"/>
              </w:rPr>
              <w:t>The Celestial Worlds Discover'd</w:t>
            </w:r>
          </w:p>
        </w:tc>
        <w:tc>
          <w:tcPr>
            <w:tcW w:type="dxa" w:w="1881"/>
          </w:tcPr>
          <w:p>
            <w:pPr>
              <w:jc w:val="center"/>
            </w:pPr>
            <w:r/>
            <w:r>
              <w:rPr>
                <w:sz w:val="19"/>
              </w:rPr>
              <w:t>265</w:t>
            </w:r>
          </w:p>
        </w:tc>
        <w:tc>
          <w:tcPr>
            <w:tcW w:type="dxa" w:w="1881"/>
          </w:tcPr>
          <w:p>
            <w:pPr>
              <w:jc w:val="center"/>
            </w:pPr>
            <w:r/>
            <w:r>
              <w:rPr>
                <w:sz w:val="19"/>
              </w:rPr>
              <w:t>77.0%</w:t>
            </w:r>
          </w:p>
        </w:tc>
      </w:tr>
    </w:tbl>
    <w:p>
      <w:pPr>
        <w:spacing w:line="336" w:lineRule="auto"/>
        <w:ind w:firstLine="283"/>
      </w:pPr>
      <w:r>
        <w:rPr>
          <w:rFonts w:ascii="Times New Roman" w:hAnsi="Times New Roman"/>
          <w:sz w:val="22"/>
        </w:rPr>
        <w:t xml:space="preserve">The most striking signal is: </w:t>
      </w:r>
      <w:r>
        <w:rPr>
          <w:rFonts w:ascii="Times New Roman" w:hAnsi="Times New Roman"/>
          <w:b/>
          <w:sz w:val="22"/>
        </w:rPr>
        <w:t>every one of the top 15 scores above 77%, which is higher than the Top-1 in Greek, Roman, and Renaissance slices</w:t>
      </w:r>
      <w:r>
        <w:rPr>
          <w:rFonts w:ascii="Times New Roman" w:hAnsi="Times New Roman"/>
          <w:sz w:val="22"/>
        </w:rPr>
        <w:t xml:space="preserve">. Top-5 mean 89.6%, Top-10 mean 86.1% — this is not an isolated peak, it is </w:t>
      </w:r>
      <w:r>
        <w:rPr>
          <w:rFonts w:ascii="Times New Roman" w:hAnsi="Times New Roman"/>
          <w:b/>
          <w:sz w:val="22"/>
        </w:rPr>
        <w:t>a continuous highland</w:t>
      </w:r>
      <w:r>
        <w:rPr>
          <w:rFonts w:ascii="Times New Roman" w:hAnsi="Times New Roman"/>
          <w:sz w:val="22"/>
        </w:rPr>
        <w:t>.</w:t>
      </w:r>
    </w:p>
    <w:p>
      <w:pPr>
        <w:spacing w:line="336" w:lineRule="auto"/>
        <w:ind w:firstLine="283"/>
      </w:pPr>
      <w:r>
        <w:rPr>
          <w:rFonts w:ascii="Times New Roman" w:hAnsi="Times New Roman"/>
          <w:sz w:val="22"/>
        </w:rPr>
        <w:t xml:space="preserve">The roster: Newton × 2, Huygens × 2, Spinoza × 4, plus Galileo, Bacon, Berkeley, Locke, Pemberton, Whiston — </w:t>
      </w:r>
      <w:r>
        <w:rPr>
          <w:rFonts w:ascii="Times New Roman" w:hAnsi="Times New Roman"/>
          <w:b/>
          <w:sz w:val="22"/>
        </w:rPr>
        <w:t>precisely the group later written into "Scientific Revolution" chapters of the history of science</w:t>
      </w:r>
      <w:r>
        <w:rPr>
          <w:rFonts w:ascii="Times New Roman" w:hAnsi="Times New Roman"/>
          <w:sz w:val="22"/>
        </w:rPr>
        <w:t xml:space="preserve">. Their works cluster together in BGE space because the era produced a </w:t>
      </w:r>
      <w:r>
        <w:rPr>
          <w:rFonts w:ascii="Times New Roman" w:hAnsi="Times New Roman"/>
          <w:b/>
          <w:sz w:val="22"/>
        </w:rPr>
        <w:t>cross-author, cross-disciplinary common textual style</w:t>
      </w:r>
      <w:r>
        <w:rPr>
          <w:rFonts w:ascii="Times New Roman" w:hAnsi="Times New Roman"/>
          <w:sz w:val="22"/>
        </w:rPr>
        <w:t>. Galileo wrote kinematics, Spinoza wrote ethics, Locke wrote epistemology, but all of them used something close to the Euclidean-Newtonian language structure (definition–axiom–corollary–proof).</w:t>
      </w:r>
    </w:p>
    <w:p>
      <w:pPr>
        <w:spacing w:line="336" w:lineRule="auto"/>
        <w:ind w:firstLine="283"/>
      </w:pPr>
      <w:r>
        <w:rPr>
          <w:rFonts w:ascii="Times New Roman" w:hAnsi="Times New Roman"/>
          <w:b/>
          <w:sz w:val="22"/>
        </w:rPr>
        <w:t>Pemble, Pemberton, Whiston are particularly noteworthy</w:t>
      </w:r>
      <w:r>
        <w:rPr>
          <w:rFonts w:ascii="Times New Roman" w:hAnsi="Times New Roman"/>
          <w:sz w:val="22"/>
        </w:rPr>
        <w:t xml:space="preserve">: these three rank 840, 355, 687 in today's Gutenberg downloads — "basically no one reads them now." But in the 17th–18th centuries they were key transmitters of Newtonian thought: Pemberton wrote the officially endorsed introduction to Newton's philosophy; Whiston was Newton's successor at Cambridge. </w:t>
      </w:r>
      <w:r>
        <w:rPr>
          <w:rFonts w:ascii="Times New Roman" w:hAnsi="Times New Roman"/>
          <w:b/>
          <w:sz w:val="22"/>
        </w:rPr>
        <w:t>Their scores match Newton's.</w:t>
      </w:r>
      <w:r>
        <w:rPr>
          <w:rFonts w:ascii="Times New Roman" w:hAnsi="Times New Roman"/>
          <w:sz w:val="22"/>
        </w:rPr>
        <w:t xml:space="preserve"> This is direct evidence of a "scientific community" — not a few lonely geniuses, but a whole group sharing a common language.</w:t>
      </w:r>
    </w:p>
    <w:p>
      <w:pPr>
        <w:spacing w:line="336" w:lineRule="auto"/>
        <w:ind w:firstLine="283"/>
      </w:pPr>
      <w:r>
        <w:rPr>
          <w:rFonts w:ascii="Times New Roman" w:hAnsi="Times New Roman"/>
          <w:b/>
          <w:sz w:val="22"/>
        </w:rPr>
        <w:t>The Leibniz slice's median is 6.84%.</w:t>
      </w:r>
      <w:r>
        <w:rPr>
          <w:rFonts w:ascii="Times New Roman" w:hAnsi="Times New Roman"/>
          <w:sz w:val="22"/>
        </w:rPr>
        <w:t xml:space="preserve"> This is a </w:t>
      </w:r>
      <w:r>
        <w:rPr>
          <w:rFonts w:ascii="Times New Roman" w:hAnsi="Times New Roman"/>
          <w:b/>
          <w:sz w:val="22"/>
        </w:rPr>
        <w:t>qualitative signal</w:t>
      </w:r>
      <w:r>
        <w:rPr>
          <w:rFonts w:ascii="Times New Roman" w:hAnsi="Times New Roman"/>
          <w:sz w:val="22"/>
        </w:rPr>
        <w:t xml:space="preserve">. In the previous three slices medians were 0 or near-zero, meaning typical books contain no mathematical language. Here the median first crosses significantly above zero — </w:t>
      </w:r>
      <w:r>
        <w:rPr>
          <w:rFonts w:ascii="Times New Roman" w:hAnsi="Times New Roman"/>
          <w:b/>
          <w:sz w:val="22"/>
        </w:rPr>
        <w:t>the middle book out of 983 books can still find 6–7% of its paragraphs approaching Newton's style</w:t>
      </w:r>
      <w:r>
        <w:rPr>
          <w:rFonts w:ascii="Times New Roman" w:hAnsi="Times New Roman"/>
          <w:sz w:val="22"/>
        </w:rPr>
        <w:t>. Mathematical language has moved from isolated peaks to a geological stratum — elites still stand tall at the top, but the background concentration of the entire textual ecology has risen.</w:t>
      </w:r>
    </w:p>
    <w:p>
      <w:pPr>
        <w:pStyle w:val="Heading2"/>
      </w:pPr>
      <w:r>
        <w:rPr>
          <w:rFonts w:ascii="Times New Roman" w:hAnsi="Times New Roman"/>
          <w:b/>
          <w:sz w:val="25"/>
        </w:rPr>
        <w:t>3.6 Euler Era: Elite Peaks Meeting Popular Dilution</w:t>
      </w:r>
    </w:p>
    <w:p>
      <w:pPr>
        <w:spacing w:line="336" w:lineRule="auto"/>
        <w:ind w:firstLine="283"/>
      </w:pPr>
      <w:r>
        <w:rPr>
          <w:rFonts w:ascii="Times New Roman" w:hAnsi="Times New Roman"/>
          <w:sz w:val="22"/>
        </w:rPr>
        <w:t xml:space="preserve">The Euler slice has 1,631 books, 1,700,526 paragraphs, centered on Newton's </w:t>
      </w:r>
      <w:r>
        <w:rPr>
          <w:rFonts w:ascii="Times New Roman" w:hAnsi="Times New Roman"/>
          <w:i/>
          <w:sz w:val="22"/>
        </w:rPr>
        <w:t>Opticks</w:t>
      </w:r>
      <w:r>
        <w:rPr>
          <w:rFonts w:ascii="Times New Roman" w:hAnsi="Times New Roman"/>
          <w:sz w:val="22"/>
        </w:rPr>
        <w:t>. Top 15: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b/>
                <w:sz w:val="20"/>
              </w:rPr>
              <w:t>Rank</w:t>
            </w:r>
          </w:p>
        </w:tc>
        <w:tc>
          <w:tcPr>
            <w:tcW w:type="dxa" w:w="1881"/>
          </w:tcPr>
          <w:p>
            <w:pPr>
              <w:jc w:val="center"/>
            </w:pPr>
            <w:r/>
            <w:r>
              <w:rPr>
                <w:b/>
                <w:sz w:val="20"/>
              </w:rPr>
              <w:t>Author</w:t>
            </w:r>
          </w:p>
        </w:tc>
        <w:tc>
          <w:tcPr>
            <w:tcW w:type="dxa" w:w="1881"/>
          </w:tcPr>
          <w:p>
            <w:pPr>
              <w:jc w:val="center"/>
            </w:pPr>
            <w:r/>
            <w:r>
              <w:rPr>
                <w:b/>
                <w:sz w:val="20"/>
              </w:rPr>
              <w:t>Work</w:t>
            </w:r>
          </w:p>
        </w:tc>
        <w:tc>
          <w:tcPr>
            <w:tcW w:type="dxa" w:w="1881"/>
          </w:tcPr>
          <w:p>
            <w:pPr>
              <w:jc w:val="center"/>
            </w:pPr>
            <w:r/>
            <w:r>
              <w:rPr>
                <w:b/>
                <w:sz w:val="20"/>
              </w:rPr>
              <w:t>Paragraphs</w:t>
            </w:r>
          </w:p>
        </w:tc>
        <w:tc>
          <w:tcPr>
            <w:tcW w:type="dxa" w:w="1881"/>
          </w:tcPr>
          <w:p>
            <w:pPr>
              <w:jc w:val="center"/>
            </w:pPr>
            <w:r/>
            <w:r>
              <w:rPr>
                <w:b/>
                <w:sz w:val="20"/>
              </w:rPr>
              <w:t>≥0.6</w:t>
            </w:r>
          </w:p>
        </w:tc>
      </w:tr>
      <w:tr>
        <w:tc>
          <w:tcPr>
            <w:tcW w:type="dxa" w:w="1881"/>
          </w:tcPr>
          <w:p>
            <w:pPr>
              <w:jc w:val="center"/>
            </w:pPr>
            <w:r/>
            <w:r>
              <w:rPr>
                <w:sz w:val="19"/>
              </w:rPr>
              <w:t>1</w:t>
            </w:r>
          </w:p>
        </w:tc>
        <w:tc>
          <w:tcPr>
            <w:tcW w:type="dxa" w:w="1881"/>
          </w:tcPr>
          <w:p>
            <w:pPr>
              <w:jc w:val="center"/>
            </w:pPr>
            <w:r/>
            <w:r>
              <w:rPr>
                <w:sz w:val="19"/>
              </w:rPr>
              <w:t>Berkeley</w:t>
            </w:r>
          </w:p>
        </w:tc>
        <w:tc>
          <w:tcPr>
            <w:tcW w:type="dxa" w:w="1881"/>
          </w:tcPr>
          <w:p>
            <w:pPr>
              <w:jc w:val="center"/>
            </w:pPr>
            <w:r/>
            <w:r>
              <w:rPr>
                <w:sz w:val="19"/>
              </w:rPr>
              <w:t>Essay Towards a New Theory of Vision</w:t>
            </w:r>
          </w:p>
        </w:tc>
        <w:tc>
          <w:tcPr>
            <w:tcW w:type="dxa" w:w="1881"/>
          </w:tcPr>
          <w:p>
            <w:pPr>
              <w:jc w:val="center"/>
            </w:pPr>
            <w:r/>
            <w:r>
              <w:rPr>
                <w:sz w:val="19"/>
              </w:rPr>
              <w:t>243</w:t>
            </w:r>
          </w:p>
        </w:tc>
        <w:tc>
          <w:tcPr>
            <w:tcW w:type="dxa" w:w="1881"/>
          </w:tcPr>
          <w:p>
            <w:pPr>
              <w:jc w:val="center"/>
            </w:pPr>
            <w:r/>
            <w:r>
              <w:rPr>
                <w:sz w:val="19"/>
              </w:rPr>
              <w:t>97.1%</w:t>
            </w:r>
          </w:p>
        </w:tc>
      </w:tr>
      <w:tr>
        <w:tc>
          <w:tcPr>
            <w:tcW w:type="dxa" w:w="1881"/>
          </w:tcPr>
          <w:p>
            <w:pPr>
              <w:jc w:val="center"/>
            </w:pPr>
            <w:r/>
            <w:r>
              <w:rPr>
                <w:sz w:val="19"/>
              </w:rPr>
              <w:t>2</w:t>
            </w:r>
          </w:p>
        </w:tc>
        <w:tc>
          <w:tcPr>
            <w:tcW w:type="dxa" w:w="1881"/>
          </w:tcPr>
          <w:p>
            <w:pPr>
              <w:jc w:val="center"/>
            </w:pPr>
            <w:r/>
            <w:r>
              <w:rPr>
                <w:sz w:val="19"/>
              </w:rPr>
              <w:t>Newton</w:t>
            </w:r>
          </w:p>
        </w:tc>
        <w:tc>
          <w:tcPr>
            <w:tcW w:type="dxa" w:w="1881"/>
          </w:tcPr>
          <w:p>
            <w:pPr>
              <w:jc w:val="center"/>
            </w:pPr>
            <w:r/>
            <w:r>
              <w:rPr>
                <w:sz w:val="19"/>
              </w:rPr>
              <w:t>Opticks</w:t>
            </w:r>
          </w:p>
        </w:tc>
        <w:tc>
          <w:tcPr>
            <w:tcW w:type="dxa" w:w="1881"/>
          </w:tcPr>
          <w:p>
            <w:pPr>
              <w:jc w:val="center"/>
            </w:pPr>
            <w:r/>
            <w:r>
              <w:rPr>
                <w:sz w:val="19"/>
              </w:rPr>
              <w:t>891</w:t>
            </w:r>
          </w:p>
        </w:tc>
        <w:tc>
          <w:tcPr>
            <w:tcW w:type="dxa" w:w="1881"/>
          </w:tcPr>
          <w:p>
            <w:pPr>
              <w:jc w:val="center"/>
            </w:pPr>
            <w:r/>
            <w:r>
              <w:rPr>
                <w:sz w:val="19"/>
              </w:rPr>
              <w:t>96.2%</w:t>
            </w:r>
          </w:p>
        </w:tc>
      </w:tr>
      <w:tr>
        <w:tc>
          <w:tcPr>
            <w:tcW w:type="dxa" w:w="1881"/>
          </w:tcPr>
          <w:p>
            <w:pPr>
              <w:jc w:val="center"/>
            </w:pPr>
            <w:r/>
            <w:r>
              <w:rPr>
                <w:sz w:val="19"/>
              </w:rPr>
              <w:t>3</w:t>
            </w:r>
          </w:p>
        </w:tc>
        <w:tc>
          <w:tcPr>
            <w:tcW w:type="dxa" w:w="1881"/>
          </w:tcPr>
          <w:p>
            <w:pPr>
              <w:jc w:val="center"/>
            </w:pPr>
            <w:r/>
            <w:r>
              <w:rPr>
                <w:sz w:val="19"/>
              </w:rPr>
              <w:t>Huygens</w:t>
            </w:r>
          </w:p>
        </w:tc>
        <w:tc>
          <w:tcPr>
            <w:tcW w:type="dxa" w:w="1881"/>
          </w:tcPr>
          <w:p>
            <w:pPr>
              <w:jc w:val="center"/>
            </w:pPr>
            <w:r/>
            <w:r>
              <w:rPr>
                <w:sz w:val="19"/>
              </w:rPr>
              <w:t>Treatise on Light</w:t>
            </w:r>
          </w:p>
        </w:tc>
        <w:tc>
          <w:tcPr>
            <w:tcW w:type="dxa" w:w="1881"/>
          </w:tcPr>
          <w:p>
            <w:pPr>
              <w:jc w:val="center"/>
            </w:pPr>
            <w:r/>
            <w:r>
              <w:rPr>
                <w:sz w:val="19"/>
              </w:rPr>
              <w:t>422</w:t>
            </w:r>
          </w:p>
        </w:tc>
        <w:tc>
          <w:tcPr>
            <w:tcW w:type="dxa" w:w="1881"/>
          </w:tcPr>
          <w:p>
            <w:pPr>
              <w:jc w:val="center"/>
            </w:pPr>
            <w:r/>
            <w:r>
              <w:rPr>
                <w:sz w:val="19"/>
              </w:rPr>
              <w:t>91.2%</w:t>
            </w:r>
          </w:p>
        </w:tc>
      </w:tr>
      <w:tr>
        <w:tc>
          <w:tcPr>
            <w:tcW w:type="dxa" w:w="1881"/>
          </w:tcPr>
          <w:p>
            <w:pPr>
              <w:jc w:val="center"/>
            </w:pPr>
            <w:r/>
            <w:r>
              <w:rPr>
                <w:sz w:val="19"/>
              </w:rPr>
              <w:t>4</w:t>
            </w:r>
          </w:p>
        </w:tc>
        <w:tc>
          <w:tcPr>
            <w:tcW w:type="dxa" w:w="1881"/>
          </w:tcPr>
          <w:p>
            <w:pPr>
              <w:jc w:val="center"/>
            </w:pPr>
            <w:r/>
            <w:r>
              <w:rPr>
                <w:sz w:val="19"/>
              </w:rPr>
              <w:t>Penrose</w:t>
            </w:r>
          </w:p>
        </w:tc>
        <w:tc>
          <w:tcPr>
            <w:tcW w:type="dxa" w:w="1881"/>
          </w:tcPr>
          <w:p>
            <w:pPr>
              <w:jc w:val="center"/>
            </w:pPr>
            <w:r/>
            <w:r>
              <w:rPr>
                <w:sz w:val="19"/>
              </w:rPr>
              <w:t>A Treatise on Electricity</w:t>
            </w:r>
          </w:p>
        </w:tc>
        <w:tc>
          <w:tcPr>
            <w:tcW w:type="dxa" w:w="1881"/>
          </w:tcPr>
          <w:p>
            <w:pPr>
              <w:jc w:val="center"/>
            </w:pPr>
            <w:r/>
            <w:r>
              <w:rPr>
                <w:sz w:val="19"/>
              </w:rPr>
              <w:t>98</w:t>
            </w:r>
          </w:p>
        </w:tc>
        <w:tc>
          <w:tcPr>
            <w:tcW w:type="dxa" w:w="1881"/>
          </w:tcPr>
          <w:p>
            <w:pPr>
              <w:jc w:val="center"/>
            </w:pPr>
            <w:r/>
            <w:r>
              <w:rPr>
                <w:sz w:val="19"/>
              </w:rPr>
              <w:t>85.7%</w:t>
            </w:r>
          </w:p>
        </w:tc>
      </w:tr>
      <w:tr>
        <w:tc>
          <w:tcPr>
            <w:tcW w:type="dxa" w:w="1881"/>
          </w:tcPr>
          <w:p>
            <w:pPr>
              <w:jc w:val="center"/>
            </w:pPr>
            <w:r/>
            <w:r>
              <w:rPr>
                <w:sz w:val="19"/>
              </w:rPr>
              <w:t>5</w:t>
            </w:r>
          </w:p>
        </w:tc>
        <w:tc>
          <w:tcPr>
            <w:tcW w:type="dxa" w:w="1881"/>
          </w:tcPr>
          <w:p>
            <w:pPr>
              <w:jc w:val="center"/>
            </w:pPr>
            <w:r/>
            <w:r>
              <w:rPr>
                <w:sz w:val="19"/>
              </w:rPr>
              <w:t>Goethe</w:t>
            </w:r>
          </w:p>
        </w:tc>
        <w:tc>
          <w:tcPr>
            <w:tcW w:type="dxa" w:w="1881"/>
          </w:tcPr>
          <w:p>
            <w:pPr>
              <w:jc w:val="center"/>
            </w:pPr>
            <w:r/>
            <w:r>
              <w:rPr>
                <w:sz w:val="19"/>
              </w:rPr>
              <w:t>Theory of Colours</w:t>
            </w:r>
          </w:p>
        </w:tc>
        <w:tc>
          <w:tcPr>
            <w:tcW w:type="dxa" w:w="1881"/>
          </w:tcPr>
          <w:p>
            <w:pPr>
              <w:jc w:val="center"/>
            </w:pPr>
            <w:r/>
            <w:r>
              <w:rPr>
                <w:sz w:val="19"/>
              </w:rPr>
              <w:t>1,498</w:t>
            </w:r>
          </w:p>
        </w:tc>
        <w:tc>
          <w:tcPr>
            <w:tcW w:type="dxa" w:w="1881"/>
          </w:tcPr>
          <w:p>
            <w:pPr>
              <w:jc w:val="center"/>
            </w:pPr>
            <w:r/>
            <w:r>
              <w:rPr>
                <w:sz w:val="19"/>
              </w:rPr>
              <w:t>84.0%</w:t>
            </w:r>
          </w:p>
        </w:tc>
      </w:tr>
      <w:tr>
        <w:tc>
          <w:tcPr>
            <w:tcW w:type="dxa" w:w="1881"/>
          </w:tcPr>
          <w:p>
            <w:pPr>
              <w:jc w:val="center"/>
            </w:pPr>
            <w:r/>
            <w:r>
              <w:rPr>
                <w:sz w:val="19"/>
              </w:rPr>
              <w:t>6</w:t>
            </w:r>
          </w:p>
        </w:tc>
        <w:tc>
          <w:tcPr>
            <w:tcW w:type="dxa" w:w="1881"/>
          </w:tcPr>
          <w:p>
            <w:pPr>
              <w:jc w:val="center"/>
            </w:pPr>
            <w:r/>
            <w:r>
              <w:rPr>
                <w:sz w:val="19"/>
              </w:rPr>
              <w:t>Boyle</w:t>
            </w:r>
          </w:p>
        </w:tc>
        <w:tc>
          <w:tcPr>
            <w:tcW w:type="dxa" w:w="1881"/>
          </w:tcPr>
          <w:p>
            <w:pPr>
              <w:jc w:val="center"/>
            </w:pPr>
            <w:r/>
            <w:r>
              <w:rPr>
                <w:sz w:val="19"/>
              </w:rPr>
              <w:t>Experiments Touching Colours</w:t>
            </w:r>
          </w:p>
        </w:tc>
        <w:tc>
          <w:tcPr>
            <w:tcW w:type="dxa" w:w="1881"/>
          </w:tcPr>
          <w:p>
            <w:pPr>
              <w:jc w:val="center"/>
            </w:pPr>
            <w:r/>
            <w:r>
              <w:rPr>
                <w:sz w:val="19"/>
              </w:rPr>
              <w:t>909</w:t>
            </w:r>
          </w:p>
        </w:tc>
        <w:tc>
          <w:tcPr>
            <w:tcW w:type="dxa" w:w="1881"/>
          </w:tcPr>
          <w:p>
            <w:pPr>
              <w:jc w:val="center"/>
            </w:pPr>
            <w:r/>
            <w:r>
              <w:rPr>
                <w:sz w:val="19"/>
              </w:rPr>
              <w:t>83.9%</w:t>
            </w:r>
          </w:p>
        </w:tc>
      </w:tr>
      <w:tr>
        <w:tc>
          <w:tcPr>
            <w:tcW w:type="dxa" w:w="1881"/>
          </w:tcPr>
          <w:p>
            <w:pPr>
              <w:jc w:val="center"/>
            </w:pPr>
            <w:r/>
            <w:r>
              <w:rPr>
                <w:sz w:val="19"/>
              </w:rPr>
              <w:t>7</w:t>
            </w:r>
          </w:p>
        </w:tc>
        <w:tc>
          <w:tcPr>
            <w:tcW w:type="dxa" w:w="1881"/>
          </w:tcPr>
          <w:p>
            <w:pPr>
              <w:jc w:val="center"/>
            </w:pPr>
            <w:r/>
            <w:r>
              <w:rPr>
                <w:sz w:val="19"/>
              </w:rPr>
              <w:t>Hooke</w:t>
            </w:r>
          </w:p>
        </w:tc>
        <w:tc>
          <w:tcPr>
            <w:tcW w:type="dxa" w:w="1881"/>
          </w:tcPr>
          <w:p>
            <w:pPr>
              <w:jc w:val="center"/>
            </w:pPr>
            <w:r/>
            <w:r>
              <w:rPr>
                <w:sz w:val="19"/>
              </w:rPr>
              <w:t>Micrographia</w:t>
            </w:r>
          </w:p>
        </w:tc>
        <w:tc>
          <w:tcPr>
            <w:tcW w:type="dxa" w:w="1881"/>
          </w:tcPr>
          <w:p>
            <w:pPr>
              <w:jc w:val="center"/>
            </w:pPr>
            <w:r/>
            <w:r>
              <w:rPr>
                <w:sz w:val="19"/>
              </w:rPr>
              <w:t>1,621</w:t>
            </w:r>
          </w:p>
        </w:tc>
        <w:tc>
          <w:tcPr>
            <w:tcW w:type="dxa" w:w="1881"/>
          </w:tcPr>
          <w:p>
            <w:pPr>
              <w:jc w:val="center"/>
            </w:pPr>
            <w:r/>
            <w:r>
              <w:rPr>
                <w:sz w:val="19"/>
              </w:rPr>
              <w:t>81.9%</w:t>
            </w:r>
          </w:p>
        </w:tc>
      </w:tr>
      <w:tr>
        <w:tc>
          <w:tcPr>
            <w:tcW w:type="dxa" w:w="1881"/>
          </w:tcPr>
          <w:p>
            <w:pPr>
              <w:jc w:val="center"/>
            </w:pPr>
            <w:r/>
            <w:r>
              <w:rPr>
                <w:sz w:val="19"/>
              </w:rPr>
              <w:t>8</w:t>
            </w:r>
          </w:p>
        </w:tc>
        <w:tc>
          <w:tcPr>
            <w:tcW w:type="dxa" w:w="1881"/>
          </w:tcPr>
          <w:p>
            <w:pPr>
              <w:jc w:val="center"/>
            </w:pPr>
            <w:r/>
            <w:r>
              <w:rPr>
                <w:sz w:val="19"/>
              </w:rPr>
              <w:t>Berkeley</w:t>
            </w:r>
          </w:p>
        </w:tc>
        <w:tc>
          <w:tcPr>
            <w:tcW w:type="dxa" w:w="1881"/>
          </w:tcPr>
          <w:p>
            <w:pPr>
              <w:jc w:val="center"/>
            </w:pPr>
            <w:r/>
            <w:r>
              <w:rPr>
                <w:sz w:val="19"/>
              </w:rPr>
              <w:t>Principles of Human Knowledge</w:t>
            </w:r>
          </w:p>
        </w:tc>
        <w:tc>
          <w:tcPr>
            <w:tcW w:type="dxa" w:w="1881"/>
          </w:tcPr>
          <w:p>
            <w:pPr>
              <w:jc w:val="center"/>
            </w:pPr>
            <w:r/>
            <w:r>
              <w:rPr>
                <w:sz w:val="19"/>
              </w:rPr>
              <w:t>328</w:t>
            </w:r>
          </w:p>
        </w:tc>
        <w:tc>
          <w:tcPr>
            <w:tcW w:type="dxa" w:w="1881"/>
          </w:tcPr>
          <w:p>
            <w:pPr>
              <w:jc w:val="center"/>
            </w:pPr>
            <w:r/>
            <w:r>
              <w:rPr>
                <w:sz w:val="19"/>
              </w:rPr>
              <w:t>77.7%</w:t>
            </w:r>
          </w:p>
        </w:tc>
      </w:tr>
      <w:tr>
        <w:tc>
          <w:tcPr>
            <w:tcW w:type="dxa" w:w="1881"/>
          </w:tcPr>
          <w:p>
            <w:pPr>
              <w:jc w:val="center"/>
            </w:pPr>
            <w:r/>
            <w:r>
              <w:rPr>
                <w:sz w:val="19"/>
              </w:rPr>
              <w:t>9</w:t>
            </w:r>
          </w:p>
        </w:tc>
        <w:tc>
          <w:tcPr>
            <w:tcW w:type="dxa" w:w="1881"/>
          </w:tcPr>
          <w:p>
            <w:pPr>
              <w:jc w:val="center"/>
            </w:pPr>
            <w:r/>
            <w:r>
              <w:rPr>
                <w:sz w:val="19"/>
              </w:rPr>
              <w:t>Grew</w:t>
            </w:r>
          </w:p>
        </w:tc>
        <w:tc>
          <w:tcPr>
            <w:tcW w:type="dxa" w:w="1881"/>
          </w:tcPr>
          <w:p>
            <w:pPr>
              <w:jc w:val="center"/>
            </w:pPr>
            <w:r/>
            <w:r>
              <w:rPr>
                <w:sz w:val="19"/>
              </w:rPr>
              <w:t>The Anatomy of Vegetables</w:t>
            </w:r>
          </w:p>
        </w:tc>
        <w:tc>
          <w:tcPr>
            <w:tcW w:type="dxa" w:w="1881"/>
          </w:tcPr>
          <w:p>
            <w:pPr>
              <w:jc w:val="center"/>
            </w:pPr>
            <w:r/>
            <w:r>
              <w:rPr>
                <w:sz w:val="19"/>
              </w:rPr>
              <w:t>392</w:t>
            </w:r>
          </w:p>
        </w:tc>
        <w:tc>
          <w:tcPr>
            <w:tcW w:type="dxa" w:w="1881"/>
          </w:tcPr>
          <w:p>
            <w:pPr>
              <w:jc w:val="center"/>
            </w:pPr>
            <w:r/>
            <w:r>
              <w:rPr>
                <w:sz w:val="19"/>
              </w:rPr>
              <w:t>74.7%</w:t>
            </w:r>
          </w:p>
        </w:tc>
      </w:tr>
      <w:tr>
        <w:tc>
          <w:tcPr>
            <w:tcW w:type="dxa" w:w="1881"/>
          </w:tcPr>
          <w:p>
            <w:pPr>
              <w:jc w:val="center"/>
            </w:pPr>
            <w:r/>
            <w:r>
              <w:rPr>
                <w:sz w:val="19"/>
              </w:rPr>
              <w:t>10</w:t>
            </w:r>
          </w:p>
        </w:tc>
        <w:tc>
          <w:tcPr>
            <w:tcW w:type="dxa" w:w="1881"/>
          </w:tcPr>
          <w:p>
            <w:pPr>
              <w:jc w:val="center"/>
            </w:pPr>
            <w:r/>
            <w:r>
              <w:rPr>
                <w:sz w:val="19"/>
              </w:rPr>
              <w:t>Pemberton</w:t>
            </w:r>
          </w:p>
        </w:tc>
        <w:tc>
          <w:tcPr>
            <w:tcW w:type="dxa" w:w="1881"/>
          </w:tcPr>
          <w:p>
            <w:pPr>
              <w:jc w:val="center"/>
            </w:pPr>
            <w:r/>
            <w:r>
              <w:rPr>
                <w:sz w:val="19"/>
              </w:rPr>
              <w:t>Newton's Philosophy</w:t>
            </w:r>
          </w:p>
        </w:tc>
        <w:tc>
          <w:tcPr>
            <w:tcW w:type="dxa" w:w="1881"/>
          </w:tcPr>
          <w:p>
            <w:pPr>
              <w:jc w:val="center"/>
            </w:pPr>
            <w:r/>
            <w:r>
              <w:rPr>
                <w:sz w:val="19"/>
              </w:rPr>
              <w:t>1,249</w:t>
            </w:r>
          </w:p>
        </w:tc>
        <w:tc>
          <w:tcPr>
            <w:tcW w:type="dxa" w:w="1881"/>
          </w:tcPr>
          <w:p>
            <w:pPr>
              <w:jc w:val="center"/>
            </w:pPr>
            <w:r/>
            <w:r>
              <w:rPr>
                <w:sz w:val="19"/>
              </w:rPr>
              <w:t>74.5%</w:t>
            </w:r>
          </w:p>
        </w:tc>
      </w:tr>
      <w:tr>
        <w:tc>
          <w:tcPr>
            <w:tcW w:type="dxa" w:w="1881"/>
          </w:tcPr>
          <w:p>
            <w:pPr>
              <w:jc w:val="center"/>
            </w:pPr>
            <w:r/>
            <w:r>
              <w:rPr>
                <w:sz w:val="19"/>
              </w:rPr>
              <w:t>11</w:t>
            </w:r>
          </w:p>
        </w:tc>
        <w:tc>
          <w:tcPr>
            <w:tcW w:type="dxa" w:w="1881"/>
          </w:tcPr>
          <w:p>
            <w:pPr>
              <w:jc w:val="center"/>
            </w:pPr>
            <w:r/>
            <w:r>
              <w:rPr>
                <w:sz w:val="19"/>
              </w:rPr>
              <w:t>Huygens</w:t>
            </w:r>
          </w:p>
        </w:tc>
        <w:tc>
          <w:tcPr>
            <w:tcW w:type="dxa" w:w="1881"/>
          </w:tcPr>
          <w:p>
            <w:pPr>
              <w:jc w:val="center"/>
            </w:pPr>
            <w:r/>
            <w:r>
              <w:rPr>
                <w:sz w:val="19"/>
              </w:rPr>
              <w:t>Celestial Worlds</w:t>
            </w:r>
          </w:p>
        </w:tc>
        <w:tc>
          <w:tcPr>
            <w:tcW w:type="dxa" w:w="1881"/>
          </w:tcPr>
          <w:p>
            <w:pPr>
              <w:jc w:val="center"/>
            </w:pPr>
            <w:r/>
            <w:r>
              <w:rPr>
                <w:sz w:val="19"/>
              </w:rPr>
              <w:t>265</w:t>
            </w:r>
          </w:p>
        </w:tc>
        <w:tc>
          <w:tcPr>
            <w:tcW w:type="dxa" w:w="1881"/>
          </w:tcPr>
          <w:p>
            <w:pPr>
              <w:jc w:val="center"/>
            </w:pPr>
            <w:r/>
            <w:r>
              <w:rPr>
                <w:sz w:val="19"/>
              </w:rPr>
              <w:t>73.6%</w:t>
            </w:r>
          </w:p>
        </w:tc>
      </w:tr>
      <w:tr>
        <w:tc>
          <w:tcPr>
            <w:tcW w:type="dxa" w:w="1881"/>
          </w:tcPr>
          <w:p>
            <w:pPr>
              <w:jc w:val="center"/>
            </w:pPr>
            <w:r/>
            <w:r>
              <w:rPr>
                <w:sz w:val="19"/>
              </w:rPr>
              <w:t>12</w:t>
            </w:r>
          </w:p>
        </w:tc>
        <w:tc>
          <w:tcPr>
            <w:tcW w:type="dxa" w:w="1881"/>
          </w:tcPr>
          <w:p>
            <w:pPr>
              <w:jc w:val="center"/>
            </w:pPr>
            <w:r/>
            <w:r>
              <w:rPr>
                <w:sz w:val="19"/>
              </w:rPr>
              <w:t>Franklin</w:t>
            </w:r>
          </w:p>
        </w:tc>
        <w:tc>
          <w:tcPr>
            <w:tcW w:type="dxa" w:w="1881"/>
          </w:tcPr>
          <w:p>
            <w:pPr>
              <w:jc w:val="center"/>
            </w:pPr>
            <w:r/>
            <w:r>
              <w:rPr>
                <w:sz w:val="19"/>
              </w:rPr>
              <w:t>Experiments on Electricity</w:t>
            </w:r>
          </w:p>
        </w:tc>
        <w:tc>
          <w:tcPr>
            <w:tcW w:type="dxa" w:w="1881"/>
          </w:tcPr>
          <w:p>
            <w:pPr>
              <w:jc w:val="center"/>
            </w:pPr>
            <w:r/>
            <w:r>
              <w:rPr>
                <w:sz w:val="19"/>
              </w:rPr>
              <w:t>300</w:t>
            </w:r>
          </w:p>
        </w:tc>
        <w:tc>
          <w:tcPr>
            <w:tcW w:type="dxa" w:w="1881"/>
          </w:tcPr>
          <w:p>
            <w:pPr>
              <w:jc w:val="center"/>
            </w:pPr>
            <w:r/>
            <w:r>
              <w:rPr>
                <w:sz w:val="19"/>
              </w:rPr>
              <w:t>72.0%</w:t>
            </w:r>
          </w:p>
        </w:tc>
      </w:tr>
      <w:tr>
        <w:tc>
          <w:tcPr>
            <w:tcW w:type="dxa" w:w="1881"/>
          </w:tcPr>
          <w:p>
            <w:pPr>
              <w:jc w:val="center"/>
            </w:pPr>
            <w:r/>
            <w:r>
              <w:rPr>
                <w:sz w:val="19"/>
              </w:rPr>
              <w:t>13</w:t>
            </w:r>
          </w:p>
        </w:tc>
        <w:tc>
          <w:tcPr>
            <w:tcW w:type="dxa" w:w="1881"/>
          </w:tcPr>
          <w:p>
            <w:pPr>
              <w:jc w:val="center"/>
            </w:pPr>
            <w:r/>
            <w:r>
              <w:rPr>
                <w:sz w:val="19"/>
              </w:rPr>
              <w:t>Boyle</w:t>
            </w:r>
          </w:p>
        </w:tc>
        <w:tc>
          <w:tcPr>
            <w:tcW w:type="dxa" w:w="1881"/>
          </w:tcPr>
          <w:p>
            <w:pPr>
              <w:jc w:val="center"/>
            </w:pPr>
            <w:r/>
            <w:r>
              <w:rPr>
                <w:sz w:val="19"/>
              </w:rPr>
              <w:t>Sceptical Chymist</w:t>
            </w:r>
          </w:p>
        </w:tc>
        <w:tc>
          <w:tcPr>
            <w:tcW w:type="dxa" w:w="1881"/>
          </w:tcPr>
          <w:p>
            <w:pPr>
              <w:jc w:val="center"/>
            </w:pPr>
            <w:r/>
            <w:r>
              <w:rPr>
                <w:sz w:val="19"/>
              </w:rPr>
              <w:t>777</w:t>
            </w:r>
          </w:p>
        </w:tc>
        <w:tc>
          <w:tcPr>
            <w:tcW w:type="dxa" w:w="1881"/>
          </w:tcPr>
          <w:p>
            <w:pPr>
              <w:jc w:val="center"/>
            </w:pPr>
            <w:r/>
            <w:r>
              <w:rPr>
                <w:sz w:val="19"/>
              </w:rPr>
              <w:t>71.8%</w:t>
            </w:r>
          </w:p>
        </w:tc>
      </w:tr>
      <w:tr>
        <w:tc>
          <w:tcPr>
            <w:tcW w:type="dxa" w:w="1881"/>
          </w:tcPr>
          <w:p>
            <w:pPr>
              <w:jc w:val="center"/>
            </w:pPr>
            <w:r/>
            <w:r>
              <w:rPr>
                <w:sz w:val="19"/>
              </w:rPr>
              <w:t>14</w:t>
            </w:r>
          </w:p>
        </w:tc>
        <w:tc>
          <w:tcPr>
            <w:tcW w:type="dxa" w:w="1881"/>
          </w:tcPr>
          <w:p>
            <w:pPr>
              <w:jc w:val="center"/>
            </w:pPr>
            <w:r/>
            <w:r>
              <w:rPr>
                <w:sz w:val="19"/>
              </w:rPr>
              <w:t>Grew</w:t>
            </w:r>
          </w:p>
        </w:tc>
        <w:tc>
          <w:tcPr>
            <w:tcW w:type="dxa" w:w="1881"/>
          </w:tcPr>
          <w:p>
            <w:pPr>
              <w:jc w:val="center"/>
            </w:pPr>
            <w:r/>
            <w:r>
              <w:rPr>
                <w:sz w:val="19"/>
              </w:rPr>
              <w:t>Anatomy of Plants</w:t>
            </w:r>
          </w:p>
        </w:tc>
        <w:tc>
          <w:tcPr>
            <w:tcW w:type="dxa" w:w="1881"/>
          </w:tcPr>
          <w:p>
            <w:pPr>
              <w:jc w:val="center"/>
            </w:pPr>
            <w:r/>
            <w:r>
              <w:rPr>
                <w:sz w:val="19"/>
              </w:rPr>
              <w:t>2,350</w:t>
            </w:r>
          </w:p>
        </w:tc>
        <w:tc>
          <w:tcPr>
            <w:tcW w:type="dxa" w:w="1881"/>
          </w:tcPr>
          <w:p>
            <w:pPr>
              <w:jc w:val="center"/>
            </w:pPr>
            <w:r/>
            <w:r>
              <w:rPr>
                <w:sz w:val="19"/>
              </w:rPr>
              <w:t>71.1%</w:t>
            </w:r>
          </w:p>
        </w:tc>
      </w:tr>
      <w:tr>
        <w:tc>
          <w:tcPr>
            <w:tcW w:type="dxa" w:w="1881"/>
          </w:tcPr>
          <w:p>
            <w:pPr>
              <w:jc w:val="center"/>
            </w:pPr>
            <w:r/>
            <w:r>
              <w:rPr>
                <w:sz w:val="19"/>
              </w:rPr>
              <w:t>15</w:t>
            </w:r>
          </w:p>
        </w:tc>
        <w:tc>
          <w:tcPr>
            <w:tcW w:type="dxa" w:w="1881"/>
          </w:tcPr>
          <w:p>
            <w:pPr>
              <w:jc w:val="center"/>
            </w:pPr>
            <w:r/>
            <w:r>
              <w:rPr>
                <w:sz w:val="19"/>
              </w:rPr>
              <w:t>Whiston</w:t>
            </w:r>
          </w:p>
        </w:tc>
        <w:tc>
          <w:tcPr>
            <w:tcW w:type="dxa" w:w="1881"/>
          </w:tcPr>
          <w:p>
            <w:pPr>
              <w:jc w:val="center"/>
            </w:pPr>
            <w:r/>
            <w:r>
              <w:rPr>
                <w:sz w:val="19"/>
              </w:rPr>
              <w:t>Mechanical Lectures</w:t>
            </w:r>
          </w:p>
        </w:tc>
        <w:tc>
          <w:tcPr>
            <w:tcW w:type="dxa" w:w="1881"/>
          </w:tcPr>
          <w:p>
            <w:pPr>
              <w:jc w:val="center"/>
            </w:pPr>
            <w:r/>
            <w:r>
              <w:rPr>
                <w:sz w:val="19"/>
              </w:rPr>
              <w:t>313</w:t>
            </w:r>
          </w:p>
        </w:tc>
        <w:tc>
          <w:tcPr>
            <w:tcW w:type="dxa" w:w="1881"/>
          </w:tcPr>
          <w:p>
            <w:pPr>
              <w:jc w:val="center"/>
            </w:pPr>
            <w:r/>
            <w:r>
              <w:rPr>
                <w:sz w:val="19"/>
              </w:rPr>
              <w:t>69.6%</w:t>
            </w:r>
          </w:p>
        </w:tc>
      </w:tr>
    </w:tbl>
    <w:p>
      <w:pPr>
        <w:spacing w:line="336" w:lineRule="auto"/>
        <w:ind w:firstLine="283"/>
      </w:pPr>
      <w:r>
        <w:rPr>
          <w:rFonts w:ascii="Times New Roman" w:hAnsi="Times New Roman"/>
          <w:sz w:val="22"/>
        </w:rPr>
        <w:t xml:space="preserve">The Euler slice's Top-5 mean is 90.9%, </w:t>
      </w:r>
      <w:r>
        <w:rPr>
          <w:rFonts w:ascii="Times New Roman" w:hAnsi="Times New Roman"/>
          <w:b/>
          <w:sz w:val="22"/>
        </w:rPr>
        <w:t>slightly higher than Leibniz's 89.6%</w:t>
      </w:r>
      <w:r>
        <w:rPr>
          <w:rFonts w:ascii="Times New Roman" w:hAnsi="Times New Roman"/>
          <w:sz w:val="22"/>
        </w:rPr>
        <w:t xml:space="preserve">. The content is richer: optics (Newton/Huygens/Berkeley), color theory (Goethe/Boyle), microscopy (Hooke), electricity (Franklin/Penrose), plant anatomy (Grew × 2) — </w:t>
      </w:r>
      <w:r>
        <w:rPr>
          <w:rFonts w:ascii="Times New Roman" w:hAnsi="Times New Roman"/>
          <w:b/>
          <w:sz w:val="22"/>
        </w:rPr>
        <w:t>mid-18th-century natural philosophy continues and broadens the 17th-century scientific community's language</w:t>
      </w:r>
      <w:r>
        <w:rPr>
          <w:rFonts w:ascii="Times New Roman" w:hAnsi="Times New Roman"/>
          <w:sz w:val="22"/>
        </w:rPr>
        <w:t>.</w:t>
      </w:r>
    </w:p>
    <w:p>
      <w:pPr>
        <w:spacing w:line="336" w:lineRule="auto"/>
        <w:ind w:firstLine="283"/>
      </w:pPr>
      <w:r>
        <w:rPr>
          <w:rFonts w:ascii="Times New Roman" w:hAnsi="Times New Roman"/>
          <w:sz w:val="22"/>
        </w:rPr>
        <w:t xml:space="preserve">Extending beyond Top-15: Hume's </w:t>
      </w:r>
      <w:r>
        <w:rPr>
          <w:rFonts w:ascii="Times New Roman" w:hAnsi="Times New Roman"/>
          <w:i/>
          <w:sz w:val="22"/>
        </w:rPr>
        <w:t>A Treatise of Human Nature</w:t>
      </w:r>
      <w:r>
        <w:rPr>
          <w:rFonts w:ascii="Times New Roman" w:hAnsi="Times New Roman"/>
          <w:sz w:val="22"/>
        </w:rPr>
        <w:t xml:space="preserve"> at 69.3%, Kant's </w:t>
      </w:r>
      <w:r>
        <w:rPr>
          <w:rFonts w:ascii="Times New Roman" w:hAnsi="Times New Roman"/>
          <w:i/>
          <w:sz w:val="22"/>
        </w:rPr>
        <w:t>Prolegomena</w:t>
      </w:r>
      <w:r>
        <w:rPr>
          <w:rFonts w:ascii="Times New Roman" w:hAnsi="Times New Roman"/>
          <w:sz w:val="22"/>
        </w:rPr>
        <w:t xml:space="preserve"> at 64.1%. These two philosophers carry close-to-</w:t>
      </w:r>
      <w:r>
        <w:rPr>
          <w:rFonts w:ascii="Times New Roman" w:hAnsi="Times New Roman"/>
          <w:i/>
          <w:sz w:val="22"/>
        </w:rPr>
        <w:t>Opticks</w:t>
      </w:r>
      <w:r>
        <w:rPr>
          <w:rFonts w:ascii="Times New Roman" w:hAnsi="Times New Roman"/>
          <w:sz w:val="22"/>
        </w:rPr>
        <w:t xml:space="preserve"> linguistic tightness — </w:t>
      </w:r>
      <w:r>
        <w:rPr>
          <w:rFonts w:ascii="Times New Roman" w:hAnsi="Times New Roman"/>
          <w:b/>
          <w:sz w:val="22"/>
        </w:rPr>
        <w:t>the Enlightenment mainstream of philosophy inherits scientific textual style</w:t>
      </w:r>
      <w:r>
        <w:rPr>
          <w:rFonts w:ascii="Times New Roman" w:hAnsi="Times New Roman"/>
          <w:sz w:val="22"/>
        </w:rPr>
        <w:t>.</w:t>
      </w:r>
    </w:p>
    <w:p>
      <w:pPr>
        <w:spacing w:line="336" w:lineRule="auto"/>
        <w:ind w:firstLine="283"/>
      </w:pPr>
      <w:r>
        <w:rPr>
          <w:rFonts w:ascii="Times New Roman" w:hAnsi="Times New Roman"/>
          <w:b/>
          <w:sz w:val="22"/>
        </w:rPr>
        <w:t>But the real signal is in the median</w:t>
      </w:r>
      <w:r>
        <w:rPr>
          <w:rFonts w:ascii="Times New Roman" w:hAnsi="Times New Roman"/>
          <w:sz w:val="22"/>
        </w:rPr>
        <w:t xml:space="preserve">: Euler era's median is </w:t>
      </w:r>
      <w:r>
        <w:rPr>
          <w:rFonts w:ascii="Times New Roman" w:hAnsi="Times New Roman"/>
          <w:b/>
          <w:sz w:val="22"/>
        </w:rPr>
        <w:t>3.12%</w:t>
      </w:r>
      <w:r>
        <w:rPr>
          <w:rFonts w:ascii="Times New Roman" w:hAnsi="Times New Roman"/>
          <w:sz w:val="22"/>
        </w:rPr>
        <w:t xml:space="preserve">, </w:t>
      </w:r>
      <w:r>
        <w:rPr>
          <w:rFonts w:ascii="Times New Roman" w:hAnsi="Times New Roman"/>
          <w:b/>
          <w:sz w:val="22"/>
        </w:rPr>
        <w:t>less than half of Leibniz's 6.84%</w:t>
      </w:r>
      <w:r>
        <w:rPr>
          <w:rFonts w:ascii="Times New Roman" w:hAnsi="Times New Roman"/>
          <w:sz w:val="22"/>
        </w:rPr>
        <w:t>.</w:t>
      </w:r>
    </w:p>
    <w:p>
      <w:pPr>
        <w:spacing w:line="336" w:lineRule="auto"/>
        <w:ind w:firstLine="283"/>
      </w:pPr>
      <w:r>
        <w:rPr>
          <w:rFonts w:ascii="Times New Roman" w:hAnsi="Times New Roman"/>
          <w:sz w:val="22"/>
        </w:rPr>
        <w:t xml:space="preserve">Compare: Leibniz 983 books, Euler 1,631 books — 66% more. Total paragraphs: 1.0M → 1.7M — 68% more. Euler era sees </w:t>
      </w:r>
      <w:r>
        <w:rPr>
          <w:rFonts w:ascii="Times New Roman" w:hAnsi="Times New Roman"/>
          <w:b/>
          <w:sz w:val="22"/>
        </w:rPr>
        <w:t>explosive growth in total text volume</w:t>
      </w:r>
      <w:r>
        <w:rPr>
          <w:rFonts w:ascii="Times New Roman" w:hAnsi="Times New Roman"/>
          <w:sz w:val="22"/>
        </w:rPr>
        <w:t xml:space="preserve">, but most of this new material is not mathematical. </w:t>
      </w:r>
      <w:r>
        <w:rPr>
          <w:rFonts w:ascii="Times New Roman" w:hAnsi="Times New Roman"/>
          <w:b/>
          <w:sz w:val="22"/>
        </w:rPr>
        <w:t>Elite scientists have not vanished (Top 5 is in fact higher) — but their relative concentration in the total ecology has halved.</w:t>
      </w:r>
    </w:p>
    <w:p>
      <w:pPr>
        <w:spacing w:line="336" w:lineRule="auto"/>
        <w:ind w:firstLine="283"/>
      </w:pPr>
      <w:r>
        <w:rPr>
          <w:rFonts w:ascii="Times New Roman" w:hAnsi="Times New Roman"/>
          <w:sz w:val="22"/>
        </w:rPr>
        <w:t xml:space="preserve">This is the quantitative evidence for the "dilution" hypothesis stated in Q3. The Euler era coincides with the mature European print industry, the rise of the novel as a genre, and the popularization of travel writing and sermon collections. </w:t>
      </w:r>
      <w:r>
        <w:rPr>
          <w:rFonts w:ascii="Times New Roman" w:hAnsi="Times New Roman"/>
          <w:b/>
          <w:sz w:val="22"/>
        </w:rPr>
        <w:t>Most of the newly appearing mass-market books are novels, biographies, travelogues, theology, drama</w:t>
      </w:r>
      <w:r>
        <w:rPr>
          <w:rFonts w:ascii="Times New Roman" w:hAnsi="Times New Roman"/>
          <w:sz w:val="22"/>
        </w:rPr>
        <w:t xml:space="preserve"> — they pull the expected per-book mathematical score down without pulling down the elite peak.</w:t>
      </w:r>
    </w:p>
    <w:p>
      <w:pPr>
        <w:pStyle w:val="Heading2"/>
      </w:pPr>
      <w:r>
        <w:rPr>
          <w:rFonts w:ascii="Times New Roman" w:hAnsi="Times New Roman"/>
          <w:b/>
          <w:sz w:val="25"/>
        </w:rPr>
        <w:t>3.7 The Two Curves Together</w:t>
      </w:r>
    </w:p>
    <w:p>
      <w:pPr>
        <w:spacing w:line="336" w:lineRule="auto"/>
        <w:ind w:firstLine="283"/>
      </w:pPr>
      <w:r>
        <w:rPr>
          <w:rFonts w:ascii="Times New Roman" w:hAnsi="Times New Roman"/>
          <w:sz w:val="22"/>
        </w:rPr>
        <w:t>Placing the two curves side by side reveals the overall picture.</w:t>
      </w:r>
    </w:p>
    <w:p>
      <w:pPr>
        <w:jc w:val="center"/>
      </w:pPr>
      <w:r>
        <w:drawing>
          <wp:inline xmlns:a="http://schemas.openxmlformats.org/drawingml/2006/main" xmlns:pic="http://schemas.openxmlformats.org/drawingml/2006/picture">
            <wp:extent cx="5400000" cy="2943472"/>
            <wp:docPr id="3" name="Picture 3"/>
            <wp:cNvGraphicFramePr>
              <a:graphicFrameLocks noChangeAspect="1"/>
            </wp:cNvGraphicFramePr>
            <a:graphic>
              <a:graphicData uri="http://schemas.openxmlformats.org/drawingml/2006/picture">
                <pic:pic>
                  <pic:nvPicPr>
                    <pic:cNvPr id="0" name="fig1_dual_curves.png"/>
                    <pic:cNvPicPr/>
                  </pic:nvPicPr>
                  <pic:blipFill>
                    <a:blip r:embed="rId9"/>
                    <a:stretch>
                      <a:fillRect/>
                    </a:stretch>
                  </pic:blipFill>
                  <pic:spPr>
                    <a:xfrm>
                      <a:off x="0" y="0"/>
                      <a:ext cx="5400000" cy="2943472"/>
                    </a:xfrm>
                    <a:prstGeom prst="rect"/>
                  </pic:spPr>
                </pic:pic>
              </a:graphicData>
            </a:graphic>
          </wp:inline>
        </w:drawing>
      </w:r>
    </w:p>
    <w:p>
      <w:pPr>
        <w:jc w:val="center"/>
      </w:pPr>
      <w:r>
        <w:rPr>
          <w:i/>
          <w:color w:val="666666"/>
          <w:sz w:val="18"/>
        </w:rPr>
        <w:t>Figure: Dual curves across five slices</w:t>
      </w:r>
    </w:p>
    <w:p>
      <w:pPr>
        <w:spacing w:line="336" w:lineRule="auto"/>
        <w:ind w:firstLine="283"/>
      </w:pPr>
      <w:r>
        <w:rPr>
          <w:rFonts w:ascii="Times New Roman" w:hAnsi="Times New Roman"/>
          <w:b/>
          <w:sz w:val="22"/>
        </w:rPr>
        <w:t>Vertical elite curve</w:t>
      </w:r>
      <w:r>
        <w:rPr>
          <w:rFonts w:ascii="Times New Roman" w:hAnsi="Times New Roman"/>
          <w:sz w:val="22"/>
        </w:rPr>
        <w:t xml:space="preserve"> tells us: before 1600, mathematical canons trace a descending curve (Greek 61% → Roman 47% → Renaissance 42%) — not absolute decline, but "no single Euclid-like canon able to anchor the entire mathematical-language tradition." After 1600 the curve leaps toward saturation (90%) and stays there.</w:t>
      </w:r>
    </w:p>
    <w:p>
      <w:pPr>
        <w:spacing w:line="336" w:lineRule="auto"/>
        <w:ind w:firstLine="283"/>
      </w:pPr>
      <w:r>
        <w:rPr>
          <w:rFonts w:ascii="Times New Roman" w:hAnsi="Times New Roman"/>
          <w:b/>
          <w:sz w:val="22"/>
        </w:rPr>
        <w:t>Horizontal popularization curve</w:t>
      </w:r>
      <w:r>
        <w:rPr>
          <w:rFonts w:ascii="Times New Roman" w:hAnsi="Times New Roman"/>
          <w:sz w:val="22"/>
        </w:rPr>
        <w:t xml:space="preserve"> tells us: the mathematical content of the broader textual ecology, before 1600, is </w:t>
      </w:r>
      <w:r>
        <w:rPr>
          <w:rFonts w:ascii="Times New Roman" w:hAnsi="Times New Roman"/>
          <w:b/>
          <w:sz w:val="22"/>
        </w:rPr>
        <w:t>flat at zero</w:t>
      </w:r>
      <w:r>
        <w:rPr>
          <w:rFonts w:ascii="Times New Roman" w:hAnsi="Times New Roman"/>
          <w:sz w:val="22"/>
        </w:rPr>
        <w:t xml:space="preserve"> — in any of those eras, a randomly chosen book most likely contains zero mathematical language. After 1600, this number first becomes noticeably positive, peaks at 6.84% in the Leibniz era, and is then diluted back to 3.12% in the Euler era by the proliferating mass-market publications.</w:t>
      </w:r>
    </w:p>
    <w:p>
      <w:pPr>
        <w:jc w:val="center"/>
      </w:pPr>
      <w:r>
        <w:drawing>
          <wp:inline xmlns:a="http://schemas.openxmlformats.org/drawingml/2006/main" xmlns:pic="http://schemas.openxmlformats.org/drawingml/2006/picture">
            <wp:extent cx="5400000" cy="3061499"/>
            <wp:docPr id="4" name="Picture 4"/>
            <wp:cNvGraphicFramePr>
              <a:graphicFrameLocks noChangeAspect="1"/>
            </wp:cNvGraphicFramePr>
            <a:graphic>
              <a:graphicData uri="http://schemas.openxmlformats.org/drawingml/2006/picture">
                <pic:pic>
                  <pic:nvPicPr>
                    <pic:cNvPr id="0" name="fig2_stratified_bars.png"/>
                    <pic:cNvPicPr/>
                  </pic:nvPicPr>
                  <pic:blipFill>
                    <a:blip r:embed="rId10"/>
                    <a:stretch>
                      <a:fillRect/>
                    </a:stretch>
                  </pic:blipFill>
                  <pic:spPr>
                    <a:xfrm>
                      <a:off x="0" y="0"/>
                      <a:ext cx="5400000" cy="3061499"/>
                    </a:xfrm>
                    <a:prstGeom prst="rect"/>
                  </pic:spPr>
                </pic:pic>
              </a:graphicData>
            </a:graphic>
          </wp:inline>
        </w:drawing>
      </w:r>
    </w:p>
    <w:p>
      <w:pPr>
        <w:jc w:val="center"/>
      </w:pPr>
      <w:r>
        <w:rPr>
          <w:i/>
          <w:color w:val="666666"/>
          <w:sz w:val="18"/>
        </w:rPr>
        <w:t>Figure: Stratified bar chart across five slices</w:t>
      </w:r>
    </w:p>
    <w:p>
      <w:pPr>
        <w:spacing w:line="336" w:lineRule="auto"/>
        <w:ind w:firstLine="283"/>
      </w:pPr>
      <w:r>
        <w:rPr>
          <w:rFonts w:ascii="Times New Roman" w:hAnsi="Times New Roman"/>
          <w:sz w:val="22"/>
        </w:rPr>
        <w:t xml:space="preserve">The stratified bar chart makes this shift visible. In Greek the "&lt;1%" bin (essentially no mathematical content) accounts for 63.4% of books; in Roman 74.4%; in Renaissance an extreme </w:t>
      </w:r>
      <w:r>
        <w:rPr>
          <w:rFonts w:ascii="Times New Roman" w:hAnsi="Times New Roman"/>
          <w:b/>
          <w:sz w:val="22"/>
        </w:rPr>
        <w:t>91.0%</w:t>
      </w:r>
      <w:r>
        <w:rPr>
          <w:rFonts w:ascii="Times New Roman" w:hAnsi="Times New Roman"/>
          <w:sz w:val="22"/>
        </w:rPr>
        <w:t xml:space="preserve"> — 332 out of 365 Renaissance books score below 1%. In the Leibniz era the "&lt;1%" bin drops to 16.7% (164 books), while the two middle bins "1–5%" and "5–20%" together account for 66% — </w:t>
      </w:r>
      <w:r>
        <w:rPr>
          <w:rFonts w:ascii="Times New Roman" w:hAnsi="Times New Roman"/>
          <w:b/>
          <w:sz w:val="22"/>
        </w:rPr>
        <w:t>a large number of ordinary books enter the "some mathematical flavor" state</w:t>
      </w:r>
      <w:r>
        <w:rPr>
          <w:rFonts w:ascii="Times New Roman" w:hAnsi="Times New Roman"/>
          <w:sz w:val="22"/>
        </w:rPr>
        <w:t>. In Euler the structure starts to rebound: "&lt;1%" rises to 24.3% (397 books), "1–5%" expands to 37.4% (610 books), and the middle "5–20%" is thinned. The elite layer (≥50%) holds up in Leibniz's 5.1% (50 books) and Euler's 2.9% (48 books).</w:t>
      </w:r>
    </w:p>
    <w:p>
      <w:pPr>
        <w:spacing w:line="336" w:lineRule="auto"/>
        <w:ind w:firstLine="283"/>
      </w:pPr>
      <w:r>
        <w:rPr>
          <w:rFonts w:ascii="Times New Roman" w:hAnsi="Times New Roman"/>
          <w:b/>
          <w:sz w:val="22"/>
        </w:rPr>
        <w:t>The horizontal curve matters more than the vertical.</w:t>
      </w:r>
      <w:r>
        <w:rPr>
          <w:rFonts w:ascii="Times New Roman" w:hAnsi="Times New Roman"/>
          <w:sz w:val="22"/>
        </w:rPr>
        <w:t xml:space="preserve"> The vertical curve tells us what a few elites are doing; the horizontal curve tells us what the </w:t>
      </w:r>
      <w:r>
        <w:rPr>
          <w:rFonts w:ascii="Times New Roman" w:hAnsi="Times New Roman"/>
          <w:b/>
          <w:sz w:val="22"/>
        </w:rPr>
        <w:t>whole writing ecology</w:t>
      </w:r>
      <w:r>
        <w:rPr>
          <w:rFonts w:ascii="Times New Roman" w:hAnsi="Times New Roman"/>
          <w:sz w:val="22"/>
        </w:rPr>
        <w:t xml:space="preserve"> is doing. The common definition of "Scientific Revolution" centers on Newton, Galileo, Boyle, and other heroes — but in our data, the real qualitative change is not in the Top 5 (Top 5 was already high in the earlier eras), it is in </w:t>
      </w:r>
      <w:r>
        <w:rPr>
          <w:rFonts w:ascii="Times New Roman" w:hAnsi="Times New Roman"/>
          <w:b/>
          <w:sz w:val="22"/>
        </w:rPr>
        <w:t>the median crossing from 0 to 6.84% for the first time</w:t>
      </w:r>
      <w:r>
        <w:rPr>
          <w:rFonts w:ascii="Times New Roman" w:hAnsi="Times New Roman"/>
          <w:sz w:val="22"/>
        </w:rPr>
        <w:t>. Mathematical language moved from peaks to stratum.</w:t>
      </w:r>
    </w:p>
    <w:p>
      <w:pPr>
        <w:pStyle w:val="Heading2"/>
      </w:pPr>
      <w:r>
        <w:rPr>
          <w:rFonts w:ascii="Times New Roman" w:hAnsi="Times New Roman"/>
          <w:b/>
          <w:sz w:val="25"/>
        </w:rPr>
        <w:t>3.8 Some Details</w:t>
      </w:r>
    </w:p>
    <w:p>
      <w:pPr>
        <w:spacing w:line="336" w:lineRule="auto"/>
        <w:ind w:firstLine="283"/>
      </w:pPr>
      <w:r>
        <w:rPr>
          <w:rFonts w:ascii="Times New Roman" w:hAnsi="Times New Roman"/>
          <w:sz w:val="22"/>
        </w:rPr>
        <w:t>A few observations that surfaced during scanning; each either supports the main conclusions or exposes a method boundary.</w:t>
      </w:r>
    </w:p>
    <w:p>
      <w:pPr>
        <w:spacing w:line="336" w:lineRule="auto"/>
        <w:ind w:firstLine="283"/>
      </w:pPr>
      <w:r>
        <w:rPr>
          <w:rFonts w:ascii="Times New Roman" w:hAnsi="Times New Roman"/>
          <w:b/>
          <w:sz w:val="22"/>
        </w:rPr>
        <w:t>The Spinoza problem.</w:t>
      </w:r>
      <w:r>
        <w:rPr>
          <w:rFonts w:ascii="Times New Roman" w:hAnsi="Times New Roman"/>
          <w:sz w:val="22"/>
        </w:rPr>
        <w:t xml:space="preserve"> Spinoza's </w:t>
      </w:r>
      <w:r>
        <w:rPr>
          <w:rFonts w:ascii="Times New Roman" w:hAnsi="Times New Roman"/>
          <w:i/>
          <w:sz w:val="22"/>
        </w:rPr>
        <w:t>Ethics</w:t>
      </w:r>
      <w:r>
        <w:rPr>
          <w:rFonts w:ascii="Times New Roman" w:hAnsi="Times New Roman"/>
          <w:sz w:val="22"/>
        </w:rPr>
        <w:t xml:space="preserve"> five parts all enter the Leibniz Top 12, scoring 73–89%. But Spinoza discusses theology and ethics, not natural science. He uses the "geometric method" — each section laid out as "definition → axiom → proposition → proof → corollary," modeled on Euclid. </w:t>
      </w:r>
      <w:r>
        <w:rPr>
          <w:rFonts w:ascii="Times New Roman" w:hAnsi="Times New Roman"/>
          <w:b/>
          <w:sz w:val="22"/>
        </w:rPr>
        <w:t>BGE catches the form and scores him as highly mathematical.</w:t>
      </w:r>
      <w:r>
        <w:rPr>
          <w:rFonts w:ascii="Times New Roman" w:hAnsi="Times New Roman"/>
          <w:sz w:val="22"/>
        </w:rPr>
        <w:t xml:space="preserve"> This is a clear method limitation: </w:t>
      </w:r>
      <w:r>
        <w:rPr>
          <w:rFonts w:ascii="Times New Roman" w:hAnsi="Times New Roman"/>
          <w:b/>
          <w:sz w:val="22"/>
        </w:rPr>
        <w:t>the method reads textual form, not mathematical substance.</w:t>
      </w:r>
      <w:r>
        <w:rPr>
          <w:rFonts w:ascii="Times New Roman" w:hAnsi="Times New Roman"/>
          <w:sz w:val="22"/>
        </w:rPr>
        <w:t xml:space="preserve"> The full discussion is in Chapter 4.</w:t>
      </w:r>
    </w:p>
    <w:p>
      <w:pPr>
        <w:spacing w:line="336" w:lineRule="auto"/>
        <w:ind w:firstLine="283"/>
      </w:pPr>
      <w:r>
        <w:rPr>
          <w:rFonts w:ascii="Times New Roman" w:hAnsi="Times New Roman"/>
          <w:sz w:val="22"/>
        </w:rPr>
        <w:t>*</w:t>
      </w:r>
      <w:r>
        <w:rPr>
          <w:rFonts w:ascii="Times New Roman" w:hAnsi="Times New Roman"/>
          <w:i/>
          <w:sz w:val="22"/>
        </w:rPr>
        <w:t xml:space="preserve">Goethe's </w:t>
      </w:r>
      <w:r>
        <w:rPr>
          <w:rFonts w:ascii="Times New Roman" w:hAnsi="Times New Roman"/>
          <w:sz w:val="22"/>
        </w:rPr>
        <w:t>Theory of Colours</w:t>
      </w:r>
      <w:r>
        <w:rPr>
          <w:rFonts w:ascii="Times New Roman" w:hAnsi="Times New Roman"/>
          <w:i/>
          <w:sz w:val="22"/>
        </w:rPr>
        <w:t>.</w:t>
      </w:r>
      <w:r>
        <w:rPr>
          <w:rFonts w:ascii="Times New Roman" w:hAnsi="Times New Roman"/>
          <w:i/>
          <w:sz w:val="22"/>
        </w:rPr>
        <w:t xml:space="preserve"> Goethe's </w:t>
      </w:r>
      <w:r>
        <w:rPr>
          <w:rFonts w:ascii="Times New Roman" w:hAnsi="Times New Roman"/>
          <w:sz w:val="22"/>
        </w:rPr>
        <w:t>Theory of Colours</w:t>
      </w:r>
      <w:r>
        <w:rPr>
          <w:rFonts w:ascii="Times New Roman" w:hAnsi="Times New Roman"/>
          <w:i/>
          <w:sz w:val="22"/>
        </w:rPr>
        <w:t xml:space="preserve"> enters Euler Top 5 at 84%. Goethe famously opposed Newton's optics from a phenomenological-philosophical stance. But stylistically he fully inherits </w:t>
      </w:r>
      <w:r>
        <w:rPr>
          <w:rFonts w:ascii="Times New Roman" w:hAnsi="Times New Roman"/>
          <w:sz w:val="22"/>
        </w:rPr>
        <w:t>Opticks</w:t>
      </w:r>
      <w:r>
        <w:rPr>
          <w:rFonts w:ascii="Times New Roman" w:hAnsi="Times New Roman"/>
          <w:i/>
          <w:sz w:val="22"/>
        </w:rPr>
        <w:t xml:space="preserve">' "observe–record–infer" language structure. </w:t>
      </w:r>
      <w:r>
        <w:rPr>
          <w:rFonts w:ascii="Times New Roman" w:hAnsi="Times New Roman"/>
          <w:i/>
          <w:sz w:val="22"/>
        </w:rPr>
        <w:t>Content opposed, style inherited</w:t>
      </w:r>
      <w:r>
        <w:rPr>
          <w:rFonts w:ascii="Times New Roman" w:hAnsi="Times New Roman"/>
          <w:sz w:val="22"/>
        </w:rPr>
        <w:t>* — BGE captures the latter.</w:t>
      </w:r>
    </w:p>
    <w:p>
      <w:pPr>
        <w:spacing w:line="336" w:lineRule="auto"/>
        <w:ind w:firstLine="283"/>
      </w:pPr>
      <w:r>
        <w:rPr>
          <w:rFonts w:ascii="Times New Roman" w:hAnsi="Times New Roman"/>
          <w:b/>
          <w:sz w:val="22"/>
        </w:rPr>
        <w:t>Pemberton / Whiston / Pemble.</w:t>
      </w:r>
      <w:r>
        <w:rPr>
          <w:rFonts w:ascii="Times New Roman" w:hAnsi="Times New Roman"/>
          <w:sz w:val="22"/>
        </w:rPr>
        <w:t xml:space="preserve"> All three appear in Leibniz Top 15 despite being ranked 355 / 687 / 840 in today's Gutenberg downloads. This confirms that </w:t>
      </w:r>
      <w:r>
        <w:rPr>
          <w:rFonts w:ascii="Times New Roman" w:hAnsi="Times New Roman"/>
          <w:b/>
          <w:sz w:val="22"/>
        </w:rPr>
        <w:t>today's download ranks do not represent 17–18th century academic influence.</w:t>
      </w:r>
      <w:r>
        <w:rPr>
          <w:rFonts w:ascii="Times New Roman" w:hAnsi="Times New Roman"/>
          <w:sz w:val="22"/>
        </w:rPr>
        <w:t xml:space="preserve"> Studies using download rank as a proxy for "historical importance" should take note.</w:t>
      </w:r>
    </w:p>
    <w:p>
      <w:pPr>
        <w:spacing w:line="336" w:lineRule="auto"/>
        <w:ind w:firstLine="283"/>
      </w:pPr>
      <w:r>
        <w:rPr>
          <w:rFonts w:ascii="Times New Roman" w:hAnsi="Times New Roman"/>
          <w:b/>
          <w:sz w:val="22"/>
        </w:rPr>
        <w:t>Dürer in Renaissance Top 2.</w:t>
      </w:r>
      <w:r>
        <w:rPr>
          <w:rFonts w:ascii="Times New Roman" w:hAnsi="Times New Roman"/>
          <w:sz w:val="22"/>
        </w:rPr>
        <w:t xml:space="preserve"> Dürer's </w:t>
      </w:r>
      <w:r>
        <w:rPr>
          <w:rFonts w:ascii="Times New Roman" w:hAnsi="Times New Roman"/>
          <w:i/>
          <w:sz w:val="22"/>
        </w:rPr>
        <w:t>Of the Just Shaping of Letters</w:t>
      </w:r>
      <w:r>
        <w:rPr>
          <w:rFonts w:ascii="Times New Roman" w:hAnsi="Times New Roman"/>
          <w:sz w:val="22"/>
        </w:rPr>
        <w:t xml:space="preserve"> scores 48.4%, significantly above all other Renaissance non-mathematical works. The book is Dürer using compass-and-straightedge geometry to derive Roman letter proportions. It is often referenced in art history as a visual work, rarely emphasized as a </w:t>
      </w:r>
      <w:r>
        <w:rPr>
          <w:rFonts w:ascii="Times New Roman" w:hAnsi="Times New Roman"/>
          <w:b/>
          <w:sz w:val="22"/>
        </w:rPr>
        <w:t>mathematical text</w:t>
      </w:r>
      <w:r>
        <w:rPr>
          <w:rFonts w:ascii="Times New Roman" w:hAnsi="Times New Roman"/>
          <w:sz w:val="22"/>
        </w:rPr>
        <w:t>. Our method picks it out of hundreds of Renaissance books and places it at rank 2 — a small discovery.</w:t>
      </w:r>
    </w:p>
    <w:p>
      <w:pPr>
        <w:spacing w:line="336" w:lineRule="auto"/>
        <w:ind w:firstLine="283"/>
      </w:pPr>
      <w:r>
        <w:rPr>
          <w:rFonts w:ascii="Times New Roman" w:hAnsi="Times New Roman"/>
          <w:sz w:val="22"/>
        </w:rPr>
        <w:t>*</w:t>
      </w:r>
      <w:r>
        <w:rPr>
          <w:rFonts w:ascii="Times New Roman" w:hAnsi="Times New Roman"/>
          <w:i/>
          <w:sz w:val="22"/>
        </w:rPr>
        <w:t xml:space="preserve">Berkeley's </w:t>
      </w:r>
      <w:r>
        <w:rPr>
          <w:rFonts w:ascii="Times New Roman" w:hAnsi="Times New Roman"/>
          <w:sz w:val="22"/>
        </w:rPr>
        <w:t>Essay Towards a New Theory of Vision*</w:t>
      </w:r>
      <w:r>
        <w:rPr>
          <w:rFonts w:ascii="Times New Roman" w:hAnsi="Times New Roman"/>
          <w:b/>
          <w:sz w:val="22"/>
        </w:rPr>
        <w:t xml:space="preserve"> tops the Euler slice at 97.1%, </w:t>
      </w:r>
      <w:r>
        <w:rPr>
          <w:rFonts w:ascii="Times New Roman" w:hAnsi="Times New Roman"/>
          <w:sz w:val="22"/>
        </w:rPr>
        <w:t xml:space="preserve">above Newton's </w:t>
      </w:r>
      <w:r>
        <w:rPr>
          <w:rFonts w:ascii="Times New Roman" w:hAnsi="Times New Roman"/>
          <w:i/>
          <w:sz w:val="22"/>
        </w:rPr>
        <w:t>Opticks</w:t>
      </w:r>
      <w:r>
        <w:rPr>
          <w:rFonts w:ascii="Times New Roman" w:hAnsi="Times New Roman"/>
          <w:sz w:val="22"/>
        </w:rPr>
        <w:t xml:space="preserve"> itself (96.2%)*</w:t>
      </w:r>
      <w:r>
        <w:rPr>
          <w:rFonts w:ascii="Times New Roman" w:hAnsi="Times New Roman"/>
          <w:i/>
          <w:sz w:val="22"/>
        </w:rPr>
        <w:t xml:space="preserve">. Berkeley's </w:t>
      </w:r>
      <w:r>
        <w:rPr>
          <w:rFonts w:ascii="Times New Roman" w:hAnsi="Times New Roman"/>
          <w:sz w:val="22"/>
        </w:rPr>
        <w:t>Essay</w:t>
      </w:r>
      <w:r>
        <w:rPr>
          <w:rFonts w:ascii="Times New Roman" w:hAnsi="Times New Roman"/>
          <w:i/>
          <w:sz w:val="22"/>
        </w:rPr>
        <w:t xml:space="preserve"> is a philosophical treatment of "how humans perceive distance and size through vision," using extensive geometric-optical reasoning. BGE sees it as "more like </w:t>
      </w:r>
      <w:r>
        <w:rPr>
          <w:rFonts w:ascii="Times New Roman" w:hAnsi="Times New Roman"/>
          <w:sz w:val="22"/>
        </w:rPr>
        <w:t>Opticks</w:t>
      </w:r>
      <w:r>
        <w:rPr>
          <w:rFonts w:ascii="Times New Roman" w:hAnsi="Times New Roman"/>
          <w:i/>
          <w:sz w:val="22"/>
        </w:rPr>
        <w:t xml:space="preserve"> than </w:t>
      </w:r>
      <w:r>
        <w:rPr>
          <w:rFonts w:ascii="Times New Roman" w:hAnsi="Times New Roman"/>
          <w:sz w:val="22"/>
        </w:rPr>
        <w:t>Opticks*" — Berkeley has deeply internalized Newton's language.</w:t>
      </w:r>
    </w:p>
    <w:p/>
    <w:p>
      <w:pPr>
        <w:pStyle w:val="Heading1"/>
      </w:pPr>
      <w:r>
        <w:rPr>
          <w:rFonts w:ascii="Times New Roman" w:hAnsi="Times New Roman"/>
          <w:b/>
          <w:sz w:val="30"/>
        </w:rPr>
        <w:t>4. Discussion</w:t>
      </w:r>
    </w:p>
    <w:p>
      <w:pPr>
        <w:pStyle w:val="Heading2"/>
      </w:pPr>
      <w:r>
        <w:rPr>
          <w:rFonts w:ascii="Times New Roman" w:hAnsi="Times New Roman"/>
          <w:b/>
          <w:sz w:val="25"/>
        </w:rPr>
        <w:t>4.1 Three-Phase Textual Stratigraphy</w:t>
      </w:r>
    </w:p>
    <w:p>
      <w:pPr>
        <w:spacing w:line="336" w:lineRule="auto"/>
        <w:ind w:firstLine="283"/>
      </w:pPr>
      <w:r>
        <w:rPr>
          <w:rFonts w:ascii="Times New Roman" w:hAnsi="Times New Roman"/>
          <w:sz w:val="22"/>
        </w:rPr>
        <w:t>Putting the two curves together yields a three-phase civilizational stratigraphy of text:</w:t>
      </w:r>
    </w:p>
    <w:p>
      <w:pPr>
        <w:spacing w:line="336" w:lineRule="auto"/>
        <w:ind w:firstLine="283"/>
      </w:pPr>
      <w:r>
        <w:rPr>
          <w:rFonts w:ascii="Times New Roman" w:hAnsi="Times New Roman"/>
          <w:b/>
          <w:sz w:val="22"/>
        </w:rPr>
        <w:t>Phase 1: Isolated Peaks (Classical–Renaissance).</w:t>
      </w:r>
      <w:r>
        <w:rPr>
          <w:rFonts w:ascii="Times New Roman" w:hAnsi="Times New Roman"/>
          <w:sz w:val="22"/>
        </w:rPr>
        <w:t xml:space="preserve"> Greek, Roman, and Renaissance are all peak structures — elite canons stand high, while the mass of texts contains no mathematical language at all. The Greek peak is the tallest (Euclid + Plato + Aristotle). The Roman peak is thinner (no original canons, propped up by Plutarch and Boethius). The Renaissance peak is thinner still (Cardano alone, with only Dürer / Record / Dee as foothills). Medians for all three are 0 — mathematics is the business of a few, and the wider textual ecology has nothing to do with it.</w:t>
      </w:r>
    </w:p>
    <w:p>
      <w:pPr>
        <w:spacing w:line="336" w:lineRule="auto"/>
        <w:ind w:firstLine="283"/>
      </w:pPr>
      <w:r>
        <w:rPr>
          <w:rFonts w:ascii="Times New Roman" w:hAnsi="Times New Roman"/>
          <w:b/>
          <w:sz w:val="22"/>
        </w:rPr>
        <w:t>Phase 2: Stratum (Leibniz).</w:t>
      </w:r>
      <w:r>
        <w:rPr>
          <w:rFonts w:ascii="Times New Roman" w:hAnsi="Times New Roman"/>
          <w:sz w:val="22"/>
        </w:rPr>
        <w:t xml:space="preserve"> The median first leaps from 0 to 6.84%, and the elite layer surges from 40% to 90%. Both numbers jumping together means not "a few more mathematicians appeared," but that </w:t>
      </w:r>
      <w:r>
        <w:rPr>
          <w:rFonts w:ascii="Times New Roman" w:hAnsi="Times New Roman"/>
          <w:b/>
          <w:sz w:val="22"/>
        </w:rPr>
        <w:t>a whole scientific-and-philosophical community starts sharing a new linguistic style</w:t>
      </w:r>
      <w:r>
        <w:rPr>
          <w:rFonts w:ascii="Times New Roman" w:hAnsi="Times New Roman"/>
          <w:sz w:val="22"/>
        </w:rPr>
        <w:t>. Newton / Huygens / Spinoza / Galileo / Bacon / Locke / Boyle / Hooke — no longer isolated peaks, but a continuous highland. Mathematical language moves from "the peculiar dialect of a few books" to "the lingua franca of a generation of intellectuals." This is what the "Scientific Revolution" looks like at the textual layer.</w:t>
      </w:r>
    </w:p>
    <w:p>
      <w:pPr>
        <w:spacing w:line="336" w:lineRule="auto"/>
        <w:ind w:firstLine="283"/>
      </w:pPr>
      <w:r>
        <w:rPr>
          <w:rFonts w:ascii="Times New Roman" w:hAnsi="Times New Roman"/>
          <w:b/>
          <w:sz w:val="22"/>
        </w:rPr>
        <w:t>Phase 3: Dilution (Euler and beyond).</w:t>
      </w:r>
      <w:r>
        <w:rPr>
          <w:rFonts w:ascii="Times New Roman" w:hAnsi="Times New Roman"/>
          <w:sz w:val="22"/>
        </w:rPr>
        <w:t xml:space="preserve"> Elite scores rise further (Top 5 = 90.9%), but the median is cut in half (6.84% → 3.12%). This two-way motion reveals a special phenomenon of the print era: </w:t>
      </w:r>
      <w:r>
        <w:rPr>
          <w:rFonts w:ascii="Times New Roman" w:hAnsi="Times New Roman"/>
          <w:b/>
          <w:sz w:val="22"/>
        </w:rPr>
        <w:t>the publication market expands faster than the scientific community.</w:t>
      </w:r>
      <w:r>
        <w:rPr>
          <w:rFonts w:ascii="Times New Roman" w:hAnsi="Times New Roman"/>
          <w:sz w:val="22"/>
        </w:rPr>
        <w:t xml:space="preserve"> The great mass of new publications — novels, travel writing, sermons, biographies, drama — is not mathematical; it drowns the relative share of scientific elites in the overall text. </w:t>
      </w:r>
      <w:r>
        <w:rPr>
          <w:rFonts w:ascii="Times New Roman" w:hAnsi="Times New Roman"/>
          <w:b/>
          <w:sz w:val="22"/>
        </w:rPr>
        <w:t>Elites are not fewer; the masses are more.</w:t>
      </w:r>
    </w:p>
    <w:p>
      <w:pPr>
        <w:spacing w:line="336" w:lineRule="auto"/>
        <w:ind w:firstLine="283"/>
      </w:pPr>
      <w:r>
        <w:rPr>
          <w:rFonts w:ascii="Times New Roman" w:hAnsi="Times New Roman"/>
          <w:sz w:val="22"/>
        </w:rPr>
        <w:t>Three phases; three different relationships between mathematical language and the social textual ecology: isolated, permeating, diluted.</w:t>
      </w:r>
    </w:p>
    <w:p>
      <w:pPr>
        <w:pStyle w:val="Heading2"/>
      </w:pPr>
      <w:r>
        <w:rPr>
          <w:rFonts w:ascii="Times New Roman" w:hAnsi="Times New Roman"/>
          <w:b/>
          <w:sz w:val="25"/>
        </w:rPr>
        <w:t>4.2 Another Characterization of the "Scientific Revolution"</w:t>
      </w:r>
    </w:p>
    <w:p>
      <w:pPr>
        <w:spacing w:line="336" w:lineRule="auto"/>
        <w:ind w:firstLine="283"/>
      </w:pPr>
      <w:r>
        <w:rPr>
          <w:rFonts w:ascii="Times New Roman" w:hAnsi="Times New Roman"/>
          <w:sz w:val="22"/>
        </w:rPr>
        <w:t>The "Scientific Revolution" is a central concept in the history of science, but its boundaries differ by scholar. Koyré emphasizes the shift from closed to open cosmos; Dijksterhuis emphasizes the rise of mechanistic worldview; Butterfield emphasizes methodological breakthroughs (mathematization + experiment). Each focuses on a few core texts (Copernicus, Galileo, Descartes, Newton).</w:t>
      </w:r>
    </w:p>
    <w:p>
      <w:pPr>
        <w:spacing w:line="336" w:lineRule="auto"/>
        <w:ind w:firstLine="283"/>
      </w:pPr>
      <w:r>
        <w:rPr>
          <w:rFonts w:ascii="Times New Roman" w:hAnsi="Times New Roman"/>
          <w:sz w:val="22"/>
        </w:rPr>
        <w:t xml:space="preserve">Our data offers </w:t>
      </w:r>
      <w:r>
        <w:rPr>
          <w:rFonts w:ascii="Times New Roman" w:hAnsi="Times New Roman"/>
          <w:b/>
          <w:sz w:val="22"/>
        </w:rPr>
        <w:t>another dimension of characterization</w:t>
      </w:r>
      <w:r>
        <w:rPr>
          <w:rFonts w:ascii="Times New Roman" w:hAnsi="Times New Roman"/>
          <w:sz w:val="22"/>
        </w:rPr>
        <w:t xml:space="preserve">: at the textual layer, the hallmark of the Scientific Revolution is not the elite going higher — Greek's elite was already at 61% — but rather </w:t>
      </w:r>
      <w:r>
        <w:rPr>
          <w:rFonts w:ascii="Times New Roman" w:hAnsi="Times New Roman"/>
          <w:b/>
          <w:sz w:val="22"/>
        </w:rPr>
        <w:t>the median crossing from 0 to positive</w:t>
      </w:r>
      <w:r>
        <w:rPr>
          <w:rFonts w:ascii="Times New Roman" w:hAnsi="Times New Roman"/>
          <w:sz w:val="22"/>
        </w:rPr>
        <w:t>.</w:t>
      </w:r>
    </w:p>
    <w:p>
      <w:pPr>
        <w:spacing w:line="336" w:lineRule="auto"/>
        <w:ind w:firstLine="283"/>
      </w:pPr>
      <w:r>
        <w:rPr>
          <w:rFonts w:ascii="Times New Roman" w:hAnsi="Times New Roman"/>
          <w:sz w:val="22"/>
        </w:rPr>
        <w:t xml:space="preserve">Greece had Euclid and Plato, but "a Greek picking up a random book" encountered mathematical language with probability 0. A Leibniz-era European intellectual picking up a random book encountered mathematical language with probability 6.84%. </w:t>
      </w:r>
      <w:r>
        <w:rPr>
          <w:rFonts w:ascii="Times New Roman" w:hAnsi="Times New Roman"/>
          <w:b/>
          <w:sz w:val="22"/>
        </w:rPr>
        <w:t>The difference between 0 and non-zero is more revolutionary than any rise in the vertical curve.</w:t>
      </w:r>
    </w:p>
    <w:p>
      <w:pPr>
        <w:spacing w:line="336" w:lineRule="auto"/>
        <w:ind w:firstLine="283"/>
      </w:pPr>
      <w:r>
        <w:rPr>
          <w:rFonts w:ascii="Times New Roman" w:hAnsi="Times New Roman"/>
          <w:sz w:val="22"/>
        </w:rPr>
        <w:t xml:space="preserve">This is not a replacement of the heroic narrative in the history of science, but a complementary side: revolution is not only the creation of a few geniuses, but the formation of a community language. When Newton wrote </w:t>
      </w:r>
      <w:r>
        <w:rPr>
          <w:rFonts w:ascii="Times New Roman" w:hAnsi="Times New Roman"/>
          <w:i/>
          <w:sz w:val="22"/>
        </w:rPr>
        <w:t>Principia</w:t>
      </w:r>
      <w:r>
        <w:rPr>
          <w:rFonts w:ascii="Times New Roman" w:hAnsi="Times New Roman"/>
          <w:sz w:val="22"/>
        </w:rPr>
        <w:t>, contemporaries (Huygens, Locke, Spinoza, Bacon) could immediately read, discuss, and extend it using a similar linguistic structure — this state of "being co-processable by contemporaries" is precisely what isolated-peak eras lacked.</w:t>
      </w:r>
    </w:p>
    <w:p>
      <w:pPr>
        <w:pStyle w:val="Heading2"/>
      </w:pPr>
      <w:r>
        <w:rPr>
          <w:rFonts w:ascii="Times New Roman" w:hAnsi="Times New Roman"/>
          <w:b/>
          <w:sz w:val="25"/>
        </w:rPr>
        <w:t>4.3 Roman Mathematics: Not Decline, but Continuation Without New Canons</w:t>
      </w:r>
    </w:p>
    <w:p>
      <w:pPr>
        <w:spacing w:line="336" w:lineRule="auto"/>
        <w:ind w:firstLine="283"/>
      </w:pPr>
      <w:r>
        <w:rPr>
          <w:rFonts w:ascii="Times New Roman" w:hAnsi="Times New Roman"/>
          <w:sz w:val="22"/>
        </w:rPr>
        <w:t>Our data refines the historical evaluation of Roman mathematics.</w:t>
      </w:r>
    </w:p>
    <w:p>
      <w:pPr>
        <w:spacing w:line="336" w:lineRule="auto"/>
        <w:ind w:firstLine="283"/>
      </w:pPr>
      <w:r>
        <w:rPr>
          <w:rFonts w:ascii="Times New Roman" w:hAnsi="Times New Roman"/>
          <w:sz w:val="22"/>
        </w:rPr>
        <w:t xml:space="preserve">A traditional narrative says "Roman mathematics declined" — Rome did not produce Euclid, Archimedes, or Apollonius. That is factually true. But </w:t>
      </w:r>
      <w:r>
        <w:rPr>
          <w:rFonts w:ascii="Times New Roman" w:hAnsi="Times New Roman"/>
          <w:b/>
          <w:sz w:val="22"/>
        </w:rPr>
        <w:t>"Rome produced no original mathematical canons" is not the same as "Rome had no mathematical language."</w:t>
      </w:r>
    </w:p>
    <w:p>
      <w:pPr>
        <w:spacing w:line="336" w:lineRule="auto"/>
        <w:ind w:firstLine="283"/>
      </w:pPr>
      <w:r>
        <w:rPr>
          <w:rFonts w:ascii="Times New Roman" w:hAnsi="Times New Roman"/>
          <w:sz w:val="22"/>
        </w:rPr>
        <w:t xml:space="preserve">In our Top 15, nine slots belong to Plutarch — a Greek-writing essayist discussing ethics, religion, myth. His chapters in </w:t>
      </w:r>
      <w:r>
        <w:rPr>
          <w:rFonts w:ascii="Times New Roman" w:hAnsi="Times New Roman"/>
          <w:i/>
          <w:sz w:val="22"/>
        </w:rPr>
        <w:t>Moralia</w:t>
      </w:r>
      <w:r>
        <w:rPr>
          <w:rFonts w:ascii="Times New Roman" w:hAnsi="Times New Roman"/>
          <w:sz w:val="22"/>
        </w:rPr>
        <w:t xml:space="preserve"> on cosmic soul, fate, the E at Delphi, the face on the moon score 20–44%; </w:t>
      </w:r>
      <w:r>
        <w:rPr>
          <w:rFonts w:ascii="Times New Roman" w:hAnsi="Times New Roman"/>
          <w:b/>
          <w:sz w:val="22"/>
        </w:rPr>
        <w:t>these texts use the language of Plato-Pythagoras mathematical philosophy.</w:t>
      </w:r>
      <w:r>
        <w:rPr>
          <w:rFonts w:ascii="Times New Roman" w:hAnsi="Times New Roman"/>
          <w:sz w:val="22"/>
        </w:rPr>
        <w:t xml:space="preserve"> Plus Boethius 93%, Lucretius 30%, Vitruvius 20%, Galen 14% — we see not "mathematics disappeared" but </w:t>
      </w:r>
      <w:r>
        <w:rPr>
          <w:rFonts w:ascii="Times New Roman" w:hAnsi="Times New Roman"/>
          <w:b/>
          <w:sz w:val="22"/>
        </w:rPr>
        <w:t>"mathematics dropped from independent canons back to embedded existence"</w:t>
      </w:r>
      <w:r>
        <w:rPr>
          <w:rFonts w:ascii="Times New Roman" w:hAnsi="Times New Roman"/>
          <w:sz w:val="22"/>
        </w:rPr>
        <w:t xml:space="preserve"> — embedded in philosophical discussion, engineering application, medical theory, and popular poetry.</w:t>
      </w:r>
    </w:p>
    <w:p>
      <w:pPr>
        <w:spacing w:line="336" w:lineRule="auto"/>
        <w:ind w:firstLine="283"/>
      </w:pPr>
      <w:r>
        <w:rPr>
          <w:rFonts w:ascii="Times New Roman" w:hAnsi="Times New Roman"/>
          <w:b/>
          <w:sz w:val="22"/>
        </w:rPr>
        <w:t>Rome's 0 median</w:t>
      </w:r>
      <w:r>
        <w:rPr>
          <w:rFonts w:ascii="Times New Roman" w:hAnsi="Times New Roman"/>
          <w:sz w:val="22"/>
        </w:rPr>
        <w:t xml:space="preserve"> further shows this embedding is superficial. Rome never built a self-sustaining mathematical education and research community the way Greece did (with Alexandria's library and museum); mathematics became the private cultivation of a few learned individuals. By the time Boethius translated Aristotle and wrote </w:t>
      </w:r>
      <w:r>
        <w:rPr>
          <w:rFonts w:ascii="Times New Roman" w:hAnsi="Times New Roman"/>
          <w:i/>
          <w:sz w:val="22"/>
        </w:rPr>
        <w:t>On Substance</w:t>
      </w:r>
      <w:r>
        <w:rPr>
          <w:rFonts w:ascii="Times New Roman" w:hAnsi="Times New Roman"/>
          <w:sz w:val="22"/>
        </w:rPr>
        <w:t xml:space="preserve"> in the early 6th century, he was a solitary figure preserving a tradition on the ruins of a collapsed empire.</w:t>
      </w:r>
    </w:p>
    <w:p>
      <w:pPr>
        <w:pStyle w:val="Heading2"/>
      </w:pPr>
      <w:r>
        <w:rPr>
          <w:rFonts w:ascii="Times New Roman" w:hAnsi="Times New Roman"/>
          <w:b/>
          <w:sz w:val="25"/>
        </w:rPr>
        <w:t>4.4 Renaissance: Thinner Elite, Masses Unchanged</w:t>
      </w:r>
    </w:p>
    <w:p>
      <w:pPr>
        <w:spacing w:line="336" w:lineRule="auto"/>
        <w:ind w:firstLine="283"/>
      </w:pPr>
      <w:r>
        <w:rPr>
          <w:rFonts w:ascii="Times New Roman" w:hAnsi="Times New Roman"/>
          <w:sz w:val="22"/>
        </w:rPr>
        <w:t>The Renaissance slice's Top-5 mean is 41.6%, below Greek's 61.1% and Roman's 47.4%. This seems counterintuitive — was the Renaissance not a time of "mathematical revival"?</w:t>
      </w:r>
    </w:p>
    <w:p>
      <w:pPr>
        <w:spacing w:line="336" w:lineRule="auto"/>
        <w:ind w:firstLine="283"/>
      </w:pPr>
      <w:r>
        <w:rPr>
          <w:rFonts w:ascii="Times New Roman" w:hAnsi="Times New Roman"/>
          <w:sz w:val="22"/>
        </w:rPr>
        <w:t>Our data shows: *</w:t>
      </w:r>
      <w:r>
        <w:rPr>
          <w:rFonts w:ascii="Times New Roman" w:hAnsi="Times New Roman"/>
          <w:i/>
          <w:sz w:val="22"/>
        </w:rPr>
        <w:t xml:space="preserve">Cardano's </w:t>
      </w:r>
      <w:r>
        <w:rPr>
          <w:rFonts w:ascii="Times New Roman" w:hAnsi="Times New Roman"/>
          <w:sz w:val="22"/>
        </w:rPr>
        <w:t>Ars Magna</w:t>
      </w:r>
      <w:r>
        <w:rPr>
          <w:rFonts w:ascii="Times New Roman" w:hAnsi="Times New Roman"/>
          <w:i/>
          <w:sz w:val="22"/>
        </w:rPr>
        <w:t xml:space="preserve"> is isolated.</w:t>
      </w:r>
      <w:r>
        <w:rPr>
          <w:rFonts w:ascii="Times New Roman" w:hAnsi="Times New Roman"/>
          <w:sz w:val="22"/>
        </w:rPr>
        <w:t>* In the Renaissance slice it scores 95.2%, then drops in a cliff to Dürer's 48.4%. After that: 31%, 20%, 13% — a very steep descent. This is not a "Renaissance mathematical community" — it is "Cardano plus three marginal figures."</w:t>
      </w:r>
    </w:p>
    <w:p>
      <w:pPr>
        <w:spacing w:line="336" w:lineRule="auto"/>
        <w:ind w:firstLine="283"/>
      </w:pPr>
      <w:r>
        <w:rPr>
          <w:rFonts w:ascii="Times New Roman" w:hAnsi="Times New Roman"/>
          <w:sz w:val="22"/>
        </w:rPr>
        <w:t xml:space="preserve">Compare the Leibniz slice: Top 1 to Top 15 go from 92.5% to 77%, almost a plateau; Renaissance Top 1 to Top 15 go from 95.2% to 2.8%, a cliff. </w:t>
      </w:r>
      <w:r>
        <w:rPr>
          <w:rFonts w:ascii="Times New Roman" w:hAnsi="Times New Roman"/>
          <w:b/>
          <w:sz w:val="22"/>
        </w:rPr>
        <w:t>Cardano has no contemporaries — at least not among the 365 Renaissance Gutenberg books</w:t>
      </w:r>
      <w:r>
        <w:rPr>
          <w:rFonts w:ascii="Times New Roman" w:hAnsi="Times New Roman"/>
          <w:sz w:val="22"/>
        </w:rPr>
        <w:t>. Dürer (art), Record (education), Dee (philosophy) work in adjacent applied-mathematics fields, not in Cardano's algebraic sense.</w:t>
      </w:r>
    </w:p>
    <w:p>
      <w:pPr>
        <w:spacing w:line="336" w:lineRule="auto"/>
        <w:ind w:firstLine="283"/>
      </w:pPr>
      <w:r>
        <w:rPr>
          <w:rFonts w:ascii="Times New Roman" w:hAnsi="Times New Roman"/>
          <w:b/>
          <w:sz w:val="22"/>
        </w:rPr>
        <w:t>The Renaissance is regarded in the history of science as a "connective" period</w:t>
      </w:r>
      <w:r>
        <w:rPr>
          <w:rFonts w:ascii="Times New Roman" w:hAnsi="Times New Roman"/>
          <w:sz w:val="22"/>
        </w:rPr>
        <w:t xml:space="preserve">, often linked to Copernicus, Vesalius, and early Galileo. But our slice window is 1400–1600, </w:t>
      </w:r>
      <w:r>
        <w:rPr>
          <w:rFonts w:ascii="Times New Roman" w:hAnsi="Times New Roman"/>
          <w:b/>
          <w:sz w:val="22"/>
        </w:rPr>
        <w:t>ending around Galileo's birth</w:t>
      </w:r>
      <w:r>
        <w:rPr>
          <w:rFonts w:ascii="Times New Roman" w:hAnsi="Times New Roman"/>
          <w:sz w:val="22"/>
        </w:rPr>
        <w:t xml:space="preserve">. The true "community" forms in the next slice — Galileo, Kepler, Descartes, Huygens, Newton. From this perspective, the Renaissance slice's "thin peak" image makes sense — </w:t>
      </w:r>
      <w:r>
        <w:rPr>
          <w:rFonts w:ascii="Times New Roman" w:hAnsi="Times New Roman"/>
          <w:b/>
          <w:sz w:val="22"/>
        </w:rPr>
        <w:t>the Scientific Revolution has not yet happened.</w:t>
      </w:r>
    </w:p>
    <w:p>
      <w:pPr>
        <w:pStyle w:val="Heading2"/>
      </w:pPr>
      <w:r>
        <w:rPr>
          <w:rFonts w:ascii="Times New Roman" w:hAnsi="Times New Roman"/>
          <w:b/>
          <w:sz w:val="25"/>
        </w:rPr>
        <w:t>4.5 Re-examining the Limitations</w:t>
      </w:r>
    </w:p>
    <w:p>
      <w:pPr>
        <w:spacing w:line="336" w:lineRule="auto"/>
        <w:ind w:firstLine="283"/>
      </w:pPr>
      <w:r>
        <w:rPr>
          <w:rFonts w:ascii="Times New Roman" w:hAnsi="Times New Roman"/>
          <w:sz w:val="22"/>
        </w:rPr>
        <w:t>Chapter 2 listed three method limitations. The Chapter 3 results let us discuss each more concretely.</w:t>
      </w:r>
    </w:p>
    <w:p>
      <w:pPr>
        <w:spacing w:line="336" w:lineRule="auto"/>
        <w:ind w:firstLine="283"/>
      </w:pPr>
      <w:r>
        <w:rPr>
          <w:rFonts w:ascii="Times New Roman" w:hAnsi="Times New Roman"/>
          <w:b/>
          <w:sz w:val="22"/>
        </w:rPr>
        <w:t>Spinoza effect.</w:t>
      </w:r>
      <w:r>
        <w:rPr>
          <w:rFonts w:ascii="Times New Roman" w:hAnsi="Times New Roman"/>
          <w:sz w:val="22"/>
        </w:rPr>
        <w:t xml:space="preserve"> Spinoza's </w:t>
      </w:r>
      <w:r>
        <w:rPr>
          <w:rFonts w:ascii="Times New Roman" w:hAnsi="Times New Roman"/>
          <w:i/>
          <w:sz w:val="22"/>
        </w:rPr>
        <w:t>Ethics</w:t>
      </w:r>
      <w:r>
        <w:rPr>
          <w:rFonts w:ascii="Times New Roman" w:hAnsi="Times New Roman"/>
          <w:sz w:val="22"/>
        </w:rPr>
        <w:t xml:space="preserve"> occupies ranks 4, 6, 10, 12 in the Leibniz slice, scoring 79–89%. He discusses God, mind, emotion, ethics — but in "geometric method," with each section laid out as "definition → axiom → proposition → proof → corollary." BGE reads this shell as highly mathematical.</w:t>
      </w:r>
    </w:p>
    <w:p>
      <w:pPr>
        <w:spacing w:line="336" w:lineRule="auto"/>
        <w:ind w:firstLine="283"/>
      </w:pPr>
      <w:r>
        <w:rPr>
          <w:rFonts w:ascii="Times New Roman" w:hAnsi="Times New Roman"/>
          <w:sz w:val="22"/>
        </w:rPr>
        <w:t xml:space="preserve">This is a typical case of </w:t>
      </w:r>
      <w:r>
        <w:rPr>
          <w:rFonts w:ascii="Times New Roman" w:hAnsi="Times New Roman"/>
          <w:b/>
          <w:sz w:val="22"/>
        </w:rPr>
        <w:t>form deceiving content</w:t>
      </w:r>
      <w:r>
        <w:rPr>
          <w:rFonts w:ascii="Times New Roman" w:hAnsi="Times New Roman"/>
          <w:sz w:val="22"/>
        </w:rPr>
        <w:t xml:space="preserve">. A researcher unfamiliar with Spinoza might conclude he is an important mathematical philosopher. In fact his mathematical form is </w:t>
      </w:r>
      <w:r>
        <w:rPr>
          <w:rFonts w:ascii="Times New Roman" w:hAnsi="Times New Roman"/>
          <w:b/>
          <w:sz w:val="22"/>
        </w:rPr>
        <w:t>borrowed</w:t>
      </w:r>
      <w:r>
        <w:rPr>
          <w:rFonts w:ascii="Times New Roman" w:hAnsi="Times New Roman"/>
          <w:sz w:val="22"/>
        </w:rPr>
        <w:t>; the content is almost entirely metaphysics.</w:t>
      </w:r>
    </w:p>
    <w:p>
      <w:pPr>
        <w:spacing w:line="336" w:lineRule="auto"/>
        <w:ind w:firstLine="283"/>
      </w:pPr>
      <w:r>
        <w:rPr>
          <w:rFonts w:ascii="Times New Roman" w:hAnsi="Times New Roman"/>
          <w:sz w:val="22"/>
        </w:rPr>
        <w:t xml:space="preserve">But note: </w:t>
      </w:r>
      <w:r>
        <w:rPr>
          <w:rFonts w:ascii="Times New Roman" w:hAnsi="Times New Roman"/>
          <w:b/>
          <w:sz w:val="22"/>
        </w:rPr>
        <w:t>from another angle this detection is not wrong.</w:t>
      </w:r>
      <w:r>
        <w:rPr>
          <w:rFonts w:ascii="Times New Roman" w:hAnsi="Times New Roman"/>
          <w:sz w:val="22"/>
        </w:rPr>
        <w:t xml:space="preserve"> Spinoza's choice to write theology in geometric method is itself a </w:t>
      </w:r>
      <w:r>
        <w:rPr>
          <w:rFonts w:ascii="Times New Roman" w:hAnsi="Times New Roman"/>
          <w:b/>
          <w:sz w:val="22"/>
        </w:rPr>
        <w:t>cultural signal</w:t>
      </w:r>
      <w:r>
        <w:rPr>
          <w:rFonts w:ascii="Times New Roman" w:hAnsi="Times New Roman"/>
          <w:sz w:val="22"/>
        </w:rPr>
        <w:t xml:space="preserve"> — he considered Euclidean form the most rigorous mode of truth-claim. The popularity of this formal choice (Christian Wolff and others wrote "geometric-method" philosophy) is itself an expression of "mathematical language becoming a stratum": the </w:t>
      </w:r>
      <w:r>
        <w:rPr>
          <w:rFonts w:ascii="Times New Roman" w:hAnsi="Times New Roman"/>
          <w:b/>
          <w:sz w:val="22"/>
        </w:rPr>
        <w:t>formal authority</w:t>
      </w:r>
      <w:r>
        <w:rPr>
          <w:rFonts w:ascii="Times New Roman" w:hAnsi="Times New Roman"/>
          <w:sz w:val="22"/>
        </w:rPr>
        <w:t xml:space="preserve"> of mathematical language overflows into non-mathematical domains.</w:t>
      </w:r>
    </w:p>
    <w:p>
      <w:pPr>
        <w:spacing w:line="336" w:lineRule="auto"/>
        <w:ind w:firstLine="283"/>
      </w:pPr>
      <w:r>
        <w:rPr>
          <w:rFonts w:ascii="Times New Roman" w:hAnsi="Times New Roman"/>
          <w:sz w:val="22"/>
        </w:rPr>
        <w:t xml:space="preserve">So our data </w:t>
      </w:r>
      <w:r>
        <w:rPr>
          <w:rFonts w:ascii="Times New Roman" w:hAnsi="Times New Roman"/>
          <w:b/>
          <w:sz w:val="22"/>
        </w:rPr>
        <w:t>captures two things at once</w:t>
      </w:r>
      <w:r>
        <w:rPr>
          <w:rFonts w:ascii="Times New Roman" w:hAnsi="Times New Roman"/>
          <w:sz w:val="22"/>
        </w:rPr>
        <w:t>: genuine mathematization (Newton) and cultural overflow of mathematical form (Spinoza). When answering Q1 "elite-layer density" these need to be distinguished; but when answering Q2 "how has mathematical language diffused into the broader text ecology," both are evidence.</w:t>
      </w:r>
    </w:p>
    <w:p>
      <w:pPr>
        <w:spacing w:line="336" w:lineRule="auto"/>
        <w:ind w:firstLine="283"/>
      </w:pPr>
      <w:r>
        <w:rPr>
          <w:rFonts w:ascii="Times New Roman" w:hAnsi="Times New Roman"/>
          <w:b/>
          <w:sz w:val="22"/>
        </w:rPr>
        <w:t>English translation effect.</w:t>
      </w:r>
      <w:r>
        <w:rPr>
          <w:rFonts w:ascii="Times New Roman" w:hAnsi="Times New Roman"/>
          <w:sz w:val="22"/>
        </w:rPr>
        <w:t xml:space="preserve"> All our data depends on translations. Greek, Latin, Italian, French, German originals are all projected into our vector space via 19–20th century English translators. Translator style affects scores. Example: Lucretius' </w:t>
      </w:r>
      <w:r>
        <w:rPr>
          <w:rFonts w:ascii="Times New Roman" w:hAnsi="Times New Roman"/>
          <w:i/>
          <w:sz w:val="22"/>
        </w:rPr>
        <w:t>De Rerum Natura</w:t>
      </w:r>
      <w:r>
        <w:rPr>
          <w:rFonts w:ascii="Times New Roman" w:hAnsi="Times New Roman"/>
          <w:sz w:val="22"/>
        </w:rPr>
        <w:t xml:space="preserve"> scores 29.6% in the Munro 1867 translation — Munro was a Victorian Cambridge scholar who tended to render Lucretius' verse in standard academic English prose, which may have boosted the score. A more modern, conversational translation (e.g., Stallings 2007) might score differently.</w:t>
      </w:r>
    </w:p>
    <w:p>
      <w:pPr>
        <w:spacing w:line="336" w:lineRule="auto"/>
        <w:ind w:firstLine="283"/>
      </w:pPr>
      <w:r>
        <w:rPr>
          <w:rFonts w:ascii="Times New Roman" w:hAnsi="Times New Roman"/>
          <w:sz w:val="22"/>
        </w:rPr>
        <w:t xml:space="preserve">This is a systematic bias we cannot fully eliminate. The mitigation is to use translators from the same generation within each slice, and to focus on </w:t>
      </w:r>
      <w:r>
        <w:rPr>
          <w:rFonts w:ascii="Times New Roman" w:hAnsi="Times New Roman"/>
          <w:b/>
          <w:sz w:val="22"/>
        </w:rPr>
        <w:t>relative relations, not absolute values</w:t>
      </w:r>
      <w:r>
        <w:rPr>
          <w:rFonts w:ascii="Times New Roman" w:hAnsi="Times New Roman"/>
          <w:sz w:val="22"/>
        </w:rPr>
        <w:t>. Future work that can directly scan original-language texts (with Greek- or Latin-specific embedding models) would be more reliable.</w:t>
      </w:r>
    </w:p>
    <w:p>
      <w:pPr>
        <w:spacing w:line="336" w:lineRule="auto"/>
        <w:ind w:firstLine="283"/>
      </w:pPr>
      <w:r>
        <w:rPr>
          <w:rFonts w:ascii="Times New Roman" w:hAnsi="Times New Roman"/>
          <w:b/>
          <w:sz w:val="22"/>
        </w:rPr>
        <w:t>Gutenberg/Perseus sampling bias.</w:t>
      </w:r>
      <w:r>
        <w:rPr>
          <w:rFonts w:ascii="Times New Roman" w:hAnsi="Times New Roman"/>
          <w:sz w:val="22"/>
        </w:rPr>
        <w:t xml:space="preserve"> Our five slices draw from two digital libraries: Perseus (classical languages) and Gutenberg (modern languages). Neither represents "the true reading ecology of the era" — they are 20–21st-century selections and digitizations.</w:t>
      </w:r>
    </w:p>
    <w:p>
      <w:pPr>
        <w:spacing w:line="336" w:lineRule="auto"/>
        <w:ind w:firstLine="283"/>
      </w:pPr>
      <w:r>
        <w:rPr>
          <w:rFonts w:ascii="Times New Roman" w:hAnsi="Times New Roman"/>
          <w:sz w:val="22"/>
        </w:rPr>
        <w:t xml:space="preserve">How does this affect the main conclusions? Our main conclusions are </w:t>
      </w:r>
      <w:r>
        <w:rPr>
          <w:rFonts w:ascii="Times New Roman" w:hAnsi="Times New Roman"/>
          <w:b/>
          <w:sz w:val="22"/>
        </w:rPr>
        <w:t>relative</w:t>
      </w:r>
      <w:r>
        <w:rPr>
          <w:rFonts w:ascii="Times New Roman" w:hAnsi="Times New Roman"/>
          <w:sz w:val="22"/>
        </w:rPr>
        <w:t xml:space="preserve">: Leibniz median 6.84% vs. Euler median 3.12% — a within-Gutenberg comparison across two eras. The probability of "being digitized" should be roughly equal for both eras (Gutenberg selects books that are "historically significant and out of copyright"). </w:t>
      </w:r>
      <w:r>
        <w:rPr>
          <w:rFonts w:ascii="Times New Roman" w:hAnsi="Times New Roman"/>
          <w:b/>
          <w:sz w:val="22"/>
        </w:rPr>
        <w:t>Relative relations are more trustworthy than absolute values.</w:t>
      </w:r>
      <w:r>
        <w:rPr>
          <w:rFonts w:ascii="Times New Roman" w:hAnsi="Times New Roman"/>
          <w:sz w:val="22"/>
        </w:rPr>
        <w:t xml:space="preserve"> But we cannot say "the probability of a 1700 European reading a mathematical book was 6.84%" — that absolute value is a statistic of a digitized sample, not historical truth.</w:t>
      </w:r>
    </w:p>
    <w:p/>
    <w:p>
      <w:pPr>
        <w:pStyle w:val="Heading1"/>
      </w:pPr>
      <w:r>
        <w:rPr>
          <w:rFonts w:ascii="Times New Roman" w:hAnsi="Times New Roman"/>
          <w:b/>
          <w:sz w:val="30"/>
        </w:rPr>
        <w:t>5. Conclusion and Future Work</w:t>
      </w:r>
    </w:p>
    <w:p>
      <w:pPr>
        <w:pStyle w:val="Heading2"/>
      </w:pPr>
      <w:r>
        <w:rPr>
          <w:rFonts w:ascii="Times New Roman" w:hAnsi="Times New Roman"/>
          <w:b/>
          <w:sz w:val="25"/>
        </w:rPr>
        <w:t>5.1 Main Findings</w:t>
      </w:r>
    </w:p>
    <w:p>
      <w:pPr>
        <w:spacing w:line="336" w:lineRule="auto"/>
        <w:ind w:firstLine="283"/>
      </w:pPr>
      <w:r>
        <w:rPr>
          <w:rFonts w:ascii="Times New Roman" w:hAnsi="Times New Roman"/>
          <w:sz w:val="22"/>
        </w:rPr>
        <w:t>This study scanned 3,977 English translations and 3.38 million paragraphs, spanning about 2,200 years of Western civilizational history. Main findings:</w:t>
      </w:r>
    </w:p>
    <w:p>
      <w:pPr>
        <w:spacing w:line="336" w:lineRule="auto"/>
        <w:ind w:firstLine="283"/>
      </w:pPr>
      <w:r>
        <w:rPr>
          <w:rFonts w:ascii="Times New Roman" w:hAnsi="Times New Roman"/>
          <w:b/>
          <w:sz w:val="22"/>
        </w:rPr>
        <w:t>Finding 1: The vertical elite curve is U-shaped.</w:t>
      </w:r>
      <w:r>
        <w:rPr>
          <w:rFonts w:ascii="Times New Roman" w:hAnsi="Times New Roman"/>
          <w:sz w:val="22"/>
        </w:rPr>
        <w:t xml:space="preserve"> Top-5 mean falls from Greek 61% through Roman 47% and Renaissance 42% to the bottom, then leaps to 90% in the Leibniz era and stabilizes at 91% in Euler. The U's bottom is in the Renaissance, not Rome — overturning the intuitive notion that the Renaissance was already a mathematical revival. True mathematical revival has to wait until the late 17th century.</w:t>
      </w:r>
    </w:p>
    <w:p>
      <w:pPr>
        <w:spacing w:line="336" w:lineRule="auto"/>
        <w:ind w:firstLine="283"/>
      </w:pPr>
      <w:r>
        <w:rPr>
          <w:rFonts w:ascii="Times New Roman" w:hAnsi="Times New Roman"/>
          <w:b/>
          <w:sz w:val="22"/>
        </w:rPr>
        <w:t>Finding 2: The median's first jump occurs in the Leibniz era.</w:t>
      </w:r>
      <w:r>
        <w:rPr>
          <w:rFonts w:ascii="Times New Roman" w:hAnsi="Times New Roman"/>
          <w:sz w:val="22"/>
        </w:rPr>
        <w:t xml:space="preserve"> In Greek, Roman, and Renaissance the median is near 0 — typical texts contain no mathematical language. In the Leibniz era the median jumps to 6.84%; in Euler it falls back to 3.12%. This is the study's most important quantitative finding. At the textual layer, the hallmark of the Scientific Revolution is not the elite going higher, but </w:t>
      </w:r>
      <w:r>
        <w:rPr>
          <w:rFonts w:ascii="Times New Roman" w:hAnsi="Times New Roman"/>
          <w:b/>
          <w:sz w:val="22"/>
        </w:rPr>
        <w:t>the median crossing from 0 to positive</w:t>
      </w:r>
      <w:r>
        <w:rPr>
          <w:rFonts w:ascii="Times New Roman" w:hAnsi="Times New Roman"/>
          <w:sz w:val="22"/>
        </w:rPr>
        <w:t>. Mathematical language moves from isolated peaks to geological stratum.</w:t>
      </w:r>
    </w:p>
    <w:p>
      <w:pPr>
        <w:spacing w:line="336" w:lineRule="auto"/>
        <w:ind w:firstLine="283"/>
      </w:pPr>
      <w:r>
        <w:rPr>
          <w:rFonts w:ascii="Times New Roman" w:hAnsi="Times New Roman"/>
          <w:b/>
          <w:sz w:val="22"/>
        </w:rPr>
        <w:t>Finding 3: The print era produces a quantifiable dilution effect.</w:t>
      </w:r>
      <w:r>
        <w:rPr>
          <w:rFonts w:ascii="Times New Roman" w:hAnsi="Times New Roman"/>
          <w:sz w:val="22"/>
        </w:rPr>
        <w:t xml:space="preserve"> In the Euler era the Top-5 mean slightly exceeds Leibniz's (90.9% vs 89.6%), but the median is halved (3.12% vs 6.84%), and total text volume grows 66%. </w:t>
      </w:r>
      <w:r>
        <w:rPr>
          <w:rFonts w:ascii="Times New Roman" w:hAnsi="Times New Roman"/>
          <w:b/>
          <w:sz w:val="22"/>
        </w:rPr>
        <w:t>Elite scientists have not vanished; they have been diluted, relative to the rapidly expanding mass-market publication industry.</w:t>
      </w:r>
      <w:r>
        <w:rPr>
          <w:rFonts w:ascii="Times New Roman" w:hAnsi="Times New Roman"/>
          <w:sz w:val="22"/>
        </w:rPr>
        <w:t xml:space="preserve"> This phenomenon needs to be extended in future work to longer timescales (19th and 20th centuries) for verification.</w:t>
      </w:r>
    </w:p>
    <w:p>
      <w:pPr>
        <w:spacing w:line="336" w:lineRule="auto"/>
        <w:ind w:firstLine="283"/>
      </w:pPr>
      <w:r>
        <w:rPr>
          <w:rFonts w:ascii="Times New Roman" w:hAnsi="Times New Roman"/>
          <w:b/>
          <w:sz w:val="22"/>
        </w:rPr>
        <w:t>Finding 4: Rome is not mathematical decline, but absence of new canons.</w:t>
      </w:r>
      <w:r>
        <w:rPr>
          <w:rFonts w:ascii="Times New Roman" w:hAnsi="Times New Roman"/>
          <w:sz w:val="22"/>
        </w:rPr>
        <w:t xml:space="preserve"> Nine of the Roman Top 15 slots belong to Plutarch — a Greek-language essayist discussing Platonism, fate, cosmic soul. Rome produced no Euclid-like new canons, but continued the Greek mathematical-language tradition through embedded philosophy and applications. The narrative of "decline" is insufficient.</w:t>
      </w:r>
    </w:p>
    <w:p>
      <w:pPr>
        <w:spacing w:line="336" w:lineRule="auto"/>
        <w:ind w:firstLine="283"/>
      </w:pPr>
      <w:r>
        <w:rPr>
          <w:rFonts w:ascii="Times New Roman" w:hAnsi="Times New Roman"/>
          <w:b/>
          <w:sz w:val="22"/>
        </w:rPr>
        <w:t>Finding 5: Formal authority of mathematical language overflows.</w:t>
      </w:r>
      <w:r>
        <w:rPr>
          <w:rFonts w:ascii="Times New Roman" w:hAnsi="Times New Roman"/>
          <w:sz w:val="22"/>
        </w:rPr>
        <w:t xml:space="preserve"> Spinoza's </w:t>
      </w:r>
      <w:r>
        <w:rPr>
          <w:rFonts w:ascii="Times New Roman" w:hAnsi="Times New Roman"/>
          <w:i/>
          <w:sz w:val="22"/>
        </w:rPr>
        <w:t>Ethics</w:t>
      </w:r>
      <w:r>
        <w:rPr>
          <w:rFonts w:ascii="Times New Roman" w:hAnsi="Times New Roman"/>
          <w:sz w:val="22"/>
        </w:rPr>
        <w:t>, written in "geometric method" about theology, is classified by BGE as 89% mathematical. This is not a methodological error but a cultural phenomenon — contemporary intellectuals actively borrowed the formal authority of mathematics, confirming that mathematical language had become the paradigm for rigorous statement. This overflow is itself a manifestation of "stratification."</w:t>
      </w:r>
    </w:p>
    <w:p>
      <w:pPr>
        <w:pStyle w:val="Heading2"/>
      </w:pPr>
      <w:r>
        <w:rPr>
          <w:rFonts w:ascii="Times New Roman" w:hAnsi="Times New Roman"/>
          <w:b/>
          <w:sz w:val="25"/>
        </w:rPr>
        <w:t>5.2 Boundaries of the Study</w:t>
      </w:r>
    </w:p>
    <w:p>
      <w:pPr>
        <w:spacing w:line="336" w:lineRule="auto"/>
        <w:ind w:firstLine="283"/>
      </w:pPr>
      <w:r>
        <w:rPr>
          <w:rFonts w:ascii="Times New Roman" w:hAnsi="Times New Roman"/>
          <w:sz w:val="22"/>
        </w:rPr>
        <w:t>All conclusions depend on three underlying assumptions:</w:t>
      </w:r>
    </w:p>
    <w:p>
      <w:pPr>
        <w:pStyle w:val="ListNumber"/>
      </w:pPr>
      <w:r>
        <w:rPr>
          <w:rFonts w:ascii="Times New Roman" w:hAnsi="Times New Roman"/>
          <w:b/>
          <w:sz w:val="22"/>
        </w:rPr>
        <w:t>The samples are Gutenberg and Perseus digitized texts</w:t>
      </w:r>
      <w:r>
        <w:rPr>
          <w:rFonts w:ascii="Times New Roman" w:hAnsi="Times New Roman"/>
          <w:sz w:val="22"/>
        </w:rPr>
        <w:t>, not the real historical reading ecology.</w:t>
      </w:r>
    </w:p>
    <w:p>
      <w:pPr>
        <w:pStyle w:val="ListNumber"/>
      </w:pPr>
      <w:r>
        <w:rPr>
          <w:rFonts w:ascii="Times New Roman" w:hAnsi="Times New Roman"/>
          <w:b/>
          <w:sz w:val="22"/>
        </w:rPr>
        <w:t>All texts are scanned in English translation</w:t>
      </w:r>
      <w:r>
        <w:rPr>
          <w:rFonts w:ascii="Times New Roman" w:hAnsi="Times New Roman"/>
          <w:sz w:val="22"/>
        </w:rPr>
        <w:t>, so translator style affects absolute values.</w:t>
      </w:r>
    </w:p>
    <w:p>
      <w:pPr>
        <w:pStyle w:val="ListNumber"/>
      </w:pPr>
      <w:r>
        <w:rPr>
          <w:rFonts w:ascii="Times New Roman" w:hAnsi="Times New Roman"/>
          <w:b/>
          <w:sz w:val="22"/>
        </w:rPr>
        <w:t>The method identifies textual style, not mathematical thought.</w:t>
      </w:r>
    </w:p>
    <w:p>
      <w:pPr>
        <w:spacing w:line="336" w:lineRule="auto"/>
        <w:ind w:firstLine="283"/>
      </w:pPr>
      <w:r>
        <w:rPr>
          <w:rFonts w:ascii="Times New Roman" w:hAnsi="Times New Roman"/>
          <w:sz w:val="22"/>
        </w:rPr>
        <w:t xml:space="preserve">Within these three boundaries, </w:t>
      </w:r>
      <w:r>
        <w:rPr>
          <w:rFonts w:ascii="Times New Roman" w:hAnsi="Times New Roman"/>
          <w:b/>
          <w:sz w:val="22"/>
        </w:rPr>
        <w:t>relative relations (differences between slices, between elite and median) are more trustworthy than absolute values</w:t>
      </w:r>
      <w:r>
        <w:rPr>
          <w:rFonts w:ascii="Times New Roman" w:hAnsi="Times New Roman"/>
          <w:sz w:val="22"/>
        </w:rPr>
        <w:t>. Readers should use the conclusions within these boundaries — they should not be extrapolated to stronger claims like "per capita mathematical literacy in era X."</w:t>
      </w:r>
    </w:p>
    <w:p>
      <w:pPr>
        <w:pStyle w:val="Heading2"/>
      </w:pPr>
      <w:r>
        <w:rPr>
          <w:rFonts w:ascii="Times New Roman" w:hAnsi="Times New Roman"/>
          <w:b/>
          <w:sz w:val="25"/>
        </w:rPr>
        <w:t>5.3 Future Directions</w:t>
      </w:r>
    </w:p>
    <w:p>
      <w:pPr>
        <w:spacing w:line="336" w:lineRule="auto"/>
        <w:ind w:firstLine="283"/>
      </w:pPr>
      <w:r>
        <w:rPr>
          <w:rFonts w:ascii="Times New Roman" w:hAnsi="Times New Roman"/>
          <w:sz w:val="22"/>
        </w:rPr>
        <w:t>This study is the first segment of a longer plan. Possible extensions:</w:t>
      </w:r>
    </w:p>
    <w:p>
      <w:pPr>
        <w:spacing w:line="336" w:lineRule="auto"/>
        <w:ind w:firstLine="283"/>
      </w:pPr>
      <w:r>
        <w:rPr>
          <w:rFonts w:ascii="Times New Roman" w:hAnsi="Times New Roman"/>
          <w:b/>
          <w:sz w:val="22"/>
        </w:rPr>
        <w:t>Direction 1: Fill in the medieval slice.</w:t>
      </w:r>
      <w:r>
        <w:rPr>
          <w:rFonts w:ascii="Times New Roman" w:hAnsi="Times New Roman"/>
          <w:sz w:val="22"/>
        </w:rPr>
        <w:t xml:space="preserve"> Our Roman slice ends in the 4th–6th century; the Renaissance slice begins in 1400 — leaving a gap of roughly 1000 years. During this interval European mathematics was mediated through the Islamic world (al-Khwarizmi, al-Khayyam) and late Byzantium. Scanning Fibonacci's </w:t>
      </w:r>
      <w:r>
        <w:rPr>
          <w:rFonts w:ascii="Times New Roman" w:hAnsi="Times New Roman"/>
          <w:i/>
          <w:sz w:val="22"/>
        </w:rPr>
        <w:t>Liber Abaci</w:t>
      </w:r>
      <w:r>
        <w:rPr>
          <w:rFonts w:ascii="Times New Roman" w:hAnsi="Times New Roman"/>
          <w:sz w:val="22"/>
        </w:rPr>
        <w:t>, Oresme, Bradwardine, and other medieval texts would fill this gap.</w:t>
      </w:r>
    </w:p>
    <w:p>
      <w:pPr>
        <w:spacing w:line="336" w:lineRule="auto"/>
        <w:ind w:firstLine="283"/>
      </w:pPr>
      <w:r>
        <w:rPr>
          <w:rFonts w:ascii="Times New Roman" w:hAnsi="Times New Roman"/>
          <w:b/>
          <w:sz w:val="22"/>
        </w:rPr>
        <w:t>Direction 2: An independent Chinese slice.</w:t>
      </w:r>
      <w:r>
        <w:rPr>
          <w:rFonts w:ascii="Times New Roman" w:hAnsi="Times New Roman"/>
          <w:sz w:val="22"/>
        </w:rPr>
        <w:t xml:space="preserve"> This study deliberately does not add Chinese mathematical texts (</w:t>
      </w:r>
      <w:r>
        <w:rPr>
          <w:rFonts w:ascii="Times New Roman" w:hAnsi="Times New Roman"/>
          <w:i/>
          <w:sz w:val="22"/>
        </w:rPr>
        <w:t>Nine Chapters</w:t>
      </w:r>
      <w:r>
        <w:rPr>
          <w:rFonts w:ascii="Times New Roman" w:hAnsi="Times New Roman"/>
          <w:sz w:val="22"/>
        </w:rPr>
        <w:t xml:space="preserve">, </w:t>
      </w:r>
      <w:r>
        <w:rPr>
          <w:rFonts w:ascii="Times New Roman" w:hAnsi="Times New Roman"/>
          <w:i/>
          <w:sz w:val="22"/>
        </w:rPr>
        <w:t>Shushu Jiuzhang</w:t>
      </w:r>
      <w:r>
        <w:rPr>
          <w:rFonts w:ascii="Times New Roman" w:hAnsi="Times New Roman"/>
          <w:sz w:val="22"/>
        </w:rPr>
        <w:t xml:space="preserve">, </w:t>
      </w:r>
      <w:r>
        <w:rPr>
          <w:rFonts w:ascii="Times New Roman" w:hAnsi="Times New Roman"/>
          <w:i/>
          <w:sz w:val="22"/>
        </w:rPr>
        <w:t>Siyuan Yujian</w:t>
      </w:r>
      <w:r>
        <w:rPr>
          <w:rFonts w:ascii="Times New Roman" w:hAnsi="Times New Roman"/>
          <w:sz w:val="22"/>
        </w:rPr>
        <w:t xml:space="preserve">) into the cross-civilizational comparison — they use different languages, different mathematical paradigms, and different social structures from the European slices; forcing them onto the same plot would generate spurious correlations. The correct approach is to do a separate Chinese slice, using the </w:t>
      </w:r>
      <w:r>
        <w:rPr>
          <w:rFonts w:ascii="Times New Roman" w:hAnsi="Times New Roman"/>
          <w:i/>
          <w:sz w:val="22"/>
        </w:rPr>
        <w:t>Nine Chapters</w:t>
      </w:r>
      <w:r>
        <w:rPr>
          <w:rFonts w:ascii="Times New Roman" w:hAnsi="Times New Roman"/>
          <w:sz w:val="22"/>
        </w:rPr>
        <w:t xml:space="preserve"> as center, scanning all historical Chinese texts, drawing an independent curve, and then making a structural comparison with the European curves — not a numerical one.</w:t>
      </w:r>
    </w:p>
    <w:p>
      <w:pPr>
        <w:spacing w:line="336" w:lineRule="auto"/>
        <w:ind w:firstLine="283"/>
      </w:pPr>
      <w:r>
        <w:rPr>
          <w:rFonts w:ascii="Times New Roman" w:hAnsi="Times New Roman"/>
          <w:b/>
          <w:sz w:val="22"/>
        </w:rPr>
        <w:t>Direction 3: Extend to the 19th–20th centuries.</w:t>
      </w:r>
      <w:r>
        <w:rPr>
          <w:rFonts w:ascii="Times New Roman" w:hAnsi="Times New Roman"/>
          <w:sz w:val="22"/>
        </w:rPr>
        <w:t xml:space="preserve"> Is the Euler era's dilution the start or the end of a trend? As 19th-century universities institutionalize science and 20th-century scientific papers emerge as an independent genre, does the elite–mass split deepen further or begin to converge? This requires scanning Gutenberg's 19–20th century portions.</w:t>
      </w:r>
    </w:p>
    <w:p>
      <w:pPr>
        <w:spacing w:line="336" w:lineRule="auto"/>
        <w:ind w:firstLine="283"/>
      </w:pPr>
      <w:r>
        <w:rPr>
          <w:rFonts w:ascii="Times New Roman" w:hAnsi="Times New Roman"/>
          <w:b/>
          <w:sz w:val="22"/>
        </w:rPr>
        <w:t>Direction 4: Extend to continuous languages.</w:t>
      </w:r>
      <w:r>
        <w:rPr>
          <w:rFonts w:ascii="Times New Roman" w:hAnsi="Times New Roman"/>
          <w:sz w:val="22"/>
        </w:rPr>
        <w:t xml:space="preserve"> This study's larger framework divides language along a "discrete-continuous" spectrum into four phases: natural language → mathematical language → machine language (code) → AI high-dimensional continuous language (embedding vectors themselves). This study slices the transition from phase 1 to phase 2. Future work could apply the same method to "machine language" (GitHub code corpora) and "AI continuous language" (LLM-generated text) cross-sections, to see whether the "isolated peaks → stratum → dilution" textual stratigraphy recurs at each transition.</w:t>
      </w:r>
    </w:p>
    <w:p>
      <w:pPr>
        <w:pStyle w:val="Heading2"/>
      </w:pPr>
      <w:r>
        <w:rPr>
          <w:rFonts w:ascii="Times New Roman" w:hAnsi="Times New Roman"/>
          <w:b/>
          <w:sz w:val="25"/>
        </w:rPr>
        <w:t>5.4 Data and Code Release</w:t>
      </w:r>
    </w:p>
    <w:p>
      <w:pPr>
        <w:spacing w:line="336" w:lineRule="auto"/>
        <w:ind w:firstLine="283"/>
      </w:pPr>
      <w:r>
        <w:rPr>
          <w:rFonts w:ascii="Times New Roman" w:hAnsi="Times New Roman"/>
          <w:sz w:val="22"/>
        </w:rPr>
        <w:t>All data and code are open:</w:t>
      </w:r>
    </w:p>
    <w:p>
      <w:pPr>
        <w:pStyle w:val="ListBullet"/>
      </w:pPr>
      <w:r>
        <w:rPr>
          <w:rFonts w:ascii="Times New Roman" w:hAnsi="Times New Roman"/>
          <w:b/>
          <w:sz w:val="22"/>
        </w:rPr>
        <w:t>Scan result JSONs</w:t>
      </w:r>
      <w:r>
        <w:rPr>
          <w:rFonts w:ascii="Times New Roman" w:hAnsi="Times New Roman"/>
          <w:sz w:val="22"/>
        </w:rPr>
        <w:t xml:space="preserve"> for the five slices — each book's max / ratio_06 / p50 / p95 metrics</w:t>
      </w:r>
    </w:p>
    <w:p>
      <w:pPr>
        <w:pStyle w:val="ListBullet"/>
      </w:pPr>
      <w:r>
        <w:rPr>
          <w:rFonts w:ascii="Times New Roman" w:hAnsi="Times New Roman"/>
          <w:b/>
          <w:sz w:val="22"/>
        </w:rPr>
        <w:t>Center vector `.npy` files</w:t>
      </w:r>
      <w:r>
        <w:rPr>
          <w:rFonts w:ascii="Times New Roman" w:hAnsi="Times New Roman"/>
          <w:sz w:val="22"/>
        </w:rPr>
        <w:t xml:space="preserve"> — Euclid, Cardano, Newton </w:t>
      </w:r>
      <w:r>
        <w:rPr>
          <w:rFonts w:ascii="Times New Roman" w:hAnsi="Times New Roman"/>
          <w:i/>
          <w:sz w:val="22"/>
        </w:rPr>
        <w:t>Principia</w:t>
      </w:r>
      <w:r>
        <w:rPr>
          <w:rFonts w:ascii="Times New Roman" w:hAnsi="Times New Roman"/>
          <w:sz w:val="22"/>
        </w:rPr>
        <w:t xml:space="preserve">, Newton </w:t>
      </w:r>
      <w:r>
        <w:rPr>
          <w:rFonts w:ascii="Times New Roman" w:hAnsi="Times New Roman"/>
          <w:i/>
          <w:sz w:val="22"/>
        </w:rPr>
        <w:t>Opticks</w:t>
      </w:r>
    </w:p>
    <w:p>
      <w:pPr>
        <w:pStyle w:val="ListBullet"/>
      </w:pPr>
      <w:r>
        <w:rPr>
          <w:rFonts w:ascii="Times New Roman" w:hAnsi="Times New Roman"/>
          <w:b/>
          <w:sz w:val="22"/>
        </w:rPr>
        <w:t>Scanning scripts</w:t>
      </w:r>
      <w:r>
        <w:rPr>
          <w:rFonts w:ascii="Times New Roman" w:hAnsi="Times New Roman"/>
          <w:sz w:val="22"/>
        </w:rPr>
        <w:t xml:space="preserve"> in Python using the `sentence-transformers` library, reproducible on consumer-grade GPU</w:t>
      </w:r>
    </w:p>
    <w:p>
      <w:pPr>
        <w:pStyle w:val="ListBullet"/>
      </w:pPr>
      <w:r>
        <w:rPr>
          <w:rFonts w:ascii="Times New Roman" w:hAnsi="Times New Roman"/>
          <w:b/>
          <w:sz w:val="22"/>
        </w:rPr>
        <w:t>Author–work lookup tables</w:t>
      </w:r>
      <w:r>
        <w:rPr>
          <w:rFonts w:ascii="Times New Roman" w:hAnsi="Times New Roman"/>
          <w:sz w:val="22"/>
        </w:rPr>
        <w:t xml:space="preserve"> — Perseus Greek/Latin, Gutenberg era-filtered rank tables</w:t>
      </w:r>
    </w:p>
    <w:p>
      <w:pPr>
        <w:spacing w:line="336" w:lineRule="auto"/>
        <w:ind w:firstLine="283"/>
      </w:pPr>
      <w:r>
        <w:rPr>
          <w:rFonts w:ascii="Times New Roman" w:hAnsi="Times New Roman"/>
          <w:sz w:val="22"/>
        </w:rPr>
        <w:t>GitHub repository: (pending release)</w:t>
      </w:r>
    </w:p>
    <w:p>
      <w:pPr>
        <w:spacing w:line="336" w:lineRule="auto"/>
        <w:ind w:firstLine="283"/>
      </w:pPr>
      <w:r>
        <w:rPr>
          <w:rFonts w:ascii="Times New Roman" w:hAnsi="Times New Roman"/>
          <w:sz w:val="22"/>
        </w:rPr>
        <w:t>Any use, verification, or extension is welcome. If you scan new slices or find new structures, please contact the author — we are happy to integrate findings into a larger stratigraphic map.</w:t>
      </w:r>
    </w:p>
    <w:p/>
    <w:p>
      <w:pPr>
        <w:spacing w:line="336" w:lineRule="auto"/>
        <w:ind w:firstLine="283"/>
      </w:pPr>
      <w:r>
        <w:rPr>
          <w:rFonts w:ascii="Times New Roman" w:hAnsi="Times New Roman"/>
          <w:i/>
          <w:sz w:val="22"/>
        </w:rPr>
        <w:t>The Chinese original of this paper is available at [`数学语言的向量剖面_v1.md`](./数学语言的向量剖面_v1.md) or [`数学语言的向量剖面_v1.pdf`](./数学语言的向量剖面_v1.pdf). This English version was translated by Claude from the Chinese original with the author's review.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