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a3778098656741ba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86afb64f58f6417f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0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72"/>
        </w:rPr>
        <w:t>蒙东新能源电站</w:t>
      </w:r>
    </w:p>
    <w:p>
      <w:pPr>
        <w:spacing w:after="600"/>
        <w:ind w:left="1200" w:right="1200"/>
      </w:pPr>
      <w:r>
        <w:rPr>
          <w:rFonts w:ascii="Calibri" w:hAnsi="Calibri" w:eastAsia="Microsoft YaHei"/>
          <w:b/>
          <w:color w:val="D4A853"/>
          <w:spacing w:val="30"/>
          <w:sz w:val="56"/>
        </w:rPr>
        <w:t>交易规则汇编</w:t>
      </w:r>
    </w:p>
    <w:p>
      <w:pPr>
        <w:spacing w:after="4000"/>
        <w:ind w:left="1200" w:right="1200"/>
      </w:pPr>
      <w:r>
        <w:rPr>
          <w:rFonts w:ascii="Calibri" w:hAnsi="Calibri" w:eastAsia="Microsoft YaHei"/>
          <w:color w:val="94A3B8"/>
          <w:spacing w:val="20"/>
          <w:sz w:val="28"/>
        </w:rPr>
        <w:t>AI算法开发专用版 | 可直接嵌入代码的硬规则</w:t>
      </w:r>
    </w:p>
    <w:p>
      <w:pPr>
        <w:ind w:left="1200"/>
      </w:pPr>
      <w:r>
        <w:rPr>
          <w:rFonts w:ascii="Calibri" w:hAnsi="Calibri" w:eastAsia="Microsoft YaHei"/>
          <w:color w:val="64748B"/>
          <w:sz w:val="22"/>
        </w:rPr>
        <w:t>2025年5月 | 适配蒙东电力现货市场96点交易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200"/>
      </w:pPr>
      <w:r>
        <w:rPr>
          <w:rFonts w:ascii="Calibri" w:hAnsi="Calibri" w:eastAsia="Microsoft YaHei"/>
          <w:color w:val="94A3B8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第一章 国家顶层政策文件</w:t>
      </w:r>
      <w:r>
        <w:tab/>
      </w:r>
      <w:r>
        <w:t>3</w:t>
      </w:r>
    </w:p>
    <w:p>
      <w:pPr>
        <w:pStyle w:val="TOC1"/>
      </w:pPr>
      <w:r>
        <w:t>第二章 蒙东电网规则体系</w:t>
      </w:r>
      <w:r>
        <w:tab/>
      </w:r>
      <w:r>
        <w:t>5</w:t>
      </w:r>
    </w:p>
    <w:p>
      <w:pPr>
        <w:pStyle w:val="TOC1"/>
      </w:pPr>
      <w:r>
        <w:t>第三章 市场准入与主体规则</w:t>
      </w:r>
      <w:r>
        <w:tab/>
      </w:r>
      <w:r>
        <w:t>7</w:t>
      </w:r>
    </w:p>
    <w:p>
      <w:pPr>
        <w:pStyle w:val="TOC1"/>
      </w:pPr>
      <w:r>
        <w:t>第四章 现货价格硬性限价</w:t>
      </w:r>
      <w:r>
        <w:tab/>
      </w:r>
      <w:r>
        <w:t>9</w:t>
      </w:r>
    </w:p>
    <w:p>
      <w:pPr>
        <w:pStyle w:val="TOC1"/>
      </w:pPr>
      <w:r>
        <w:t>第五章 96点曲线申报规则</w:t>
      </w:r>
      <w:r>
        <w:tab/>
      </w:r>
      <w:r>
        <w:t>11</w:t>
      </w:r>
    </w:p>
    <w:p>
      <w:pPr>
        <w:pStyle w:val="TOC1"/>
      </w:pPr>
      <w:r>
        <w:t>第六章 保量保价机制</w:t>
      </w:r>
      <w:r>
        <w:tab/>
      </w:r>
      <w:r>
        <w:t>13</w:t>
      </w:r>
    </w:p>
    <w:p>
      <w:pPr>
        <w:pStyle w:val="TOC1"/>
      </w:pPr>
      <w:r>
        <w:t>第七章 中长期与现货耦合规则</w:t>
      </w:r>
      <w:r>
        <w:tab/>
      </w:r>
      <w:r>
        <w:t>15</w:t>
      </w:r>
    </w:p>
    <w:p>
      <w:pPr>
        <w:pStyle w:val="TOC1"/>
      </w:pPr>
      <w:r>
        <w:t>第八章 现货出清机制</w:t>
      </w:r>
      <w:r>
        <w:tab/>
      </w:r>
      <w:r>
        <w:t>17</w:t>
      </w:r>
    </w:p>
    <w:p>
      <w:pPr>
        <w:pStyle w:val="TOC1"/>
      </w:pPr>
      <w:r>
        <w:t>第九章 偏差考核规则</w:t>
      </w:r>
      <w:r>
        <w:tab/>
      </w:r>
      <w:r>
        <w:t>19</w:t>
      </w:r>
    </w:p>
    <w:p>
      <w:pPr>
        <w:pStyle w:val="TOC1"/>
      </w:pPr>
      <w:r>
        <w:t>第十章 结算规则</w:t>
      </w:r>
      <w:r>
        <w:tab/>
      </w:r>
      <w:r>
        <w:t>21</w:t>
      </w:r>
    </w:p>
    <w:p>
      <w:pPr>
        <w:pStyle w:val="TOC1"/>
      </w:pPr>
      <w:r>
        <w:t>第十一章 固定时间节点</w:t>
      </w:r>
      <w:r>
        <w:tab/>
      </w:r>
      <w:r>
        <w:t>23</w:t>
      </w:r>
    </w:p>
    <w:p>
      <w:pPr>
        <w:pStyle w:val="TOC1"/>
      </w:pPr>
      <w:r>
        <w:t>第十二章 AI算法核心字段汇总</w:t>
      </w:r>
      <w:r>
        <w:tab/>
      </w:r>
      <w:r>
        <w:t>25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第一章 国家顶层政策文件</w:t>
      </w:r>
      <w:bookmarkStart w:name="_Toc001" w:id="2"/>
      <w:bookmarkEnd w:id="2"/>
    </w:p>
    <w:p>
      <w:pPr>
        <w:pStyle w:val="Heading2"/>
      </w:pPr>
      <w:r>
        <w:t>1.1 核心上位法：发改价格〔2025〕136号</w:t>
      </w:r>
    </w:p>
    <w:p>
      <w:r>
        <w:t>国家发展改革委、国家能源局联合印发的《关于深化新能源上网电价市场化改革促进新能源高质量发展的通知》（发改价格〔2025〕136号），是蒙东新能源市场化改革的顶层政策依据。</w:t>
      </w:r>
    </w:p>
    <w:p>
      <w:r>
        <w:t>核心要点如下：</w:t>
      </w:r>
    </w:p>
    <w:p>
      <w:pPr>
        <w:numPr>
          <w:ilvl w:val="0"/>
          <w:numId w:val="1"/>
        </w:numPr>
        <w:ind w:firstLine="0"/>
      </w:pPr>
      <w:r>
        <w:t>新能源项目（风电、太阳能）上网电量原则上全部进入电力市场，上网电价通过市场交易形成</w:t>
      </w:r>
    </w:p>
    <w:p>
      <w:pPr>
        <w:numPr>
          <w:ilvl w:val="0"/>
          <w:numId w:val="1"/>
        </w:numPr>
        <w:ind w:firstLine="0"/>
      </w:pPr>
      <w:r>
        <w:t>建立新能源可持续发展价格结算机制，区分存量与增量项目分类施策</w:t>
      </w:r>
    </w:p>
    <w:p>
      <w:pPr>
        <w:numPr>
          <w:ilvl w:val="0"/>
          <w:numId w:val="1"/>
        </w:numPr>
        <w:ind w:firstLine="0"/>
      </w:pPr>
      <w:r>
        <w:t>存量项目（2025年6月1日前投产）：机制电量与现行政策妥善衔接，机制电价按现行价格执行且不高于当地煤电基准价</w:t>
      </w:r>
    </w:p>
    <w:p>
      <w:pPr>
        <w:numPr>
          <w:ilvl w:val="0"/>
          <w:numId w:val="1"/>
        </w:numPr>
        <w:ind w:firstLine="0"/>
      </w:pPr>
      <w:r>
        <w:t>增量项目（2025年6月1日起投产）：机制电量规模由各地合理确定，机制电价通过市场化竞价方式确定</w:t>
      </w:r>
    </w:p>
    <w:p>
      <w:pPr>
        <w:numPr>
          <w:ilvl w:val="0"/>
          <w:numId w:val="1"/>
        </w:numPr>
        <w:ind w:firstLine="0"/>
      </w:pPr>
      <w:r>
        <w:t>差价结算方式：市场交易均价低于或高于机制电价的部分，由电网企业按规定开展差价结算</w:t>
      </w:r>
    </w:p>
    <w:p>
      <w:pPr>
        <w:numPr>
          <w:ilvl w:val="0"/>
          <w:numId w:val="1"/>
        </w:numPr>
        <w:ind w:firstLine="0"/>
      </w:pPr>
      <w:r>
        <w:t>适当放宽现货市场限价，申报价格上限考虑各地工商业用户尖峰电价水平</w:t>
      </w:r>
    </w:p>
    <w:p>
      <w:r>
        <w:t>官方链接：https://www.gov.cn/zhengce/zhengceku/202502/content_7002959.htm</w:t>
      </w:r>
    </w:p>
    <w:p>
      <w:pPr>
        <w:pStyle w:val="Heading2"/>
      </w:pPr>
      <w:r>
        <w:t>1.2 配套文件：发改办体改〔2025〕394号</w:t>
      </w:r>
    </w:p>
    <w:p>
      <w:r>
        <w:t>《关于全面加快电力现货市场建设工作的通知》，推动新能源公平参与实时市场，加快实现自愿参与日前市场。</w:t>
      </w:r>
    </w:p>
    <w:p>
      <w:pPr>
        <w:pStyle w:val="Heading1"/>
      </w:pPr>
      <w:r>
        <w:t>第二章 蒙东电网规则体系</w:t>
      </w:r>
      <w:bookmarkStart w:name="_Toc002" w:id="3"/>
      <w:bookmarkEnd w:id="3"/>
    </w:p>
    <w:p>
      <w:r>
        <w:t>蒙东电力市场规则体系（试行）于2025年10月发布，采用"1+8"框架：1个基本规则 + 8个实施细则。</w:t>
      </w:r>
    </w:p>
    <w:p>
      <w:pPr>
        <w:pStyle w:val="Heading2"/>
      </w:pPr>
      <w:r>
        <w:t>2.1 规则体系构成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序号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文件名称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1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蒙东电力市场运行基本规则（试行）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市场运行总体框架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2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蒙东电力市场注册实施细则（试行）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市场主体准入要求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3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蒙东电力市场交易衔接实施细则（试行）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中长期与现货衔接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4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蒙东电力现货市场交易实施细则（试行）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现货交易核心规则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5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蒙东电力市场结算实施细则（试行）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结算规则与流程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6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蒙东电力市场计量管理实施细则（试行）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计量数据采集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7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蒙东电力市场信息披露实施细则（试行）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信息公开要求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8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蒙东电力需求侧响应交易实施细则（试行）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需求侧响应规则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9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蒙东电力辅助服务（调频）市场实施细则（试行）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调频市场规则</w:t>
            </w:r>
          </w:p>
        </w:tc>
      </w:tr>
    </w:tbl>
    <w:p>
      <w:r>
        <w:t>PDF合集下载：https://www.nxepta.com/attached/file/20251021/20251021010756789.pdf</w:t>
      </w:r>
    </w:p>
    <w:p>
      <w:pPr>
        <w:pStyle w:val="Heading2"/>
      </w:pPr>
      <w:r>
        <w:t>2.2 蒙东新能源市场化方案：内发改价费字〔2025〕661号</w:t>
      </w:r>
    </w:p>
    <w:p>
      <w:r>
        <w:t>《深化蒙东电网新能源上网电价市场化改革实施方案》是蒙东地区最核心的落地文件，于2025年7月1日起正式实施。</w:t>
      </w:r>
    </w:p>
    <w:p>
      <w:pPr>
        <w:numPr>
          <w:ilvl w:val="0"/>
          <w:numId w:val="1"/>
        </w:numPr>
        <w:ind w:firstLine="0"/>
      </w:pPr>
      <w:r>
        <w:t>机制电价：蒙东煤电基准价0.3035元/kWh</w:t>
      </w:r>
    </w:p>
    <w:p>
      <w:pPr>
        <w:numPr>
          <w:ilvl w:val="0"/>
          <w:numId w:val="1"/>
        </w:numPr>
        <w:ind w:firstLine="0"/>
      </w:pPr>
      <w:r>
        <w:t>存量带补贴风电：现货前790小时、现货后380小时保量保价</w:t>
      </w:r>
    </w:p>
    <w:p>
      <w:pPr>
        <w:numPr>
          <w:ilvl w:val="0"/>
          <w:numId w:val="1"/>
        </w:numPr>
        <w:ind w:firstLine="0"/>
      </w:pPr>
      <w:r>
        <w:t>存量带补贴光伏：现货前635小时、现货后420小时保量保价</w:t>
      </w:r>
    </w:p>
    <w:p>
      <w:pPr>
        <w:numPr>
          <w:ilvl w:val="0"/>
          <w:numId w:val="1"/>
        </w:numPr>
        <w:ind w:firstLine="0"/>
      </w:pPr>
      <w:r>
        <w:t>增量项目：无机制电量，全电量市场化</w:t>
      </w:r>
    </w:p>
    <w:p>
      <w:pPr>
        <w:numPr>
          <w:ilvl w:val="0"/>
          <w:numId w:val="1"/>
        </w:numPr>
        <w:ind w:firstLine="0"/>
      </w:pPr>
      <w:r>
        <w:t>纳入机制的电量不重复获得绿证收益</w:t>
      </w:r>
    </w:p>
    <w:p>
      <w:r>
        <w:t>官方链接：https://nyj.nmg.gov.cn/zwgk/zfxxgkzl/fdzdgknr/xzgfxwj/202506/t20250626_2746415.html</w:t>
      </w:r>
    </w:p>
    <w:p>
      <w:pPr>
        <w:pStyle w:val="Heading1"/>
      </w:pPr>
      <w:r>
        <w:t>第三章 市场准入与主体规则</w:t>
      </w:r>
      <w:bookmarkStart w:name="_Toc003" w:id="4"/>
      <w:bookmarkEnd w:id="4"/>
    </w:p>
    <w:p>
      <w:pPr>
        <w:pStyle w:val="Heading2"/>
      </w:pPr>
      <w:r>
        <w:t>3.1 适用区域</w:t>
      </w:r>
    </w:p>
    <w:p>
      <w:r>
        <w:t>蒙东区域涵盖呼伦贝尔、兴安盟、通辽、赤峰、锡林郭勒。全部新能源项目强制全电量入市交易。</w:t>
      </w:r>
    </w:p>
    <w:p>
      <w:pPr>
        <w:pStyle w:val="Heading2"/>
      </w:pPr>
      <w:r>
        <w:t>3.2 主体分类（AI建模用）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类型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定义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交易要求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存量带补贴风电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2025年6月1日前投产的风电项目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790h保量保价 + 剩余电量全市场化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存量带补贴光伏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2025年6月1日前投产的光伏项目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635h保量保价 + 剩余电量全市场化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增量新建新能源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2025年6月1日后投产的项目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无保量保价，100%全电量市场化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集中式新能源（含配储）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单体容量较大的项目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全电量报量报价参与现货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分布式/户用光伏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分散式小型项目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暂全额保量保价，逐步入市</w:t>
            </w:r>
          </w:p>
        </w:tc>
      </w:tr>
    </w:tbl>
    <w:p>
      <w:pPr>
        <w:pStyle w:val="Heading2"/>
      </w:pPr>
      <w:r>
        <w:t>3.3 准入要求</w:t>
      </w:r>
    </w:p>
    <w:p>
      <w:pPr>
        <w:numPr>
          <w:ilvl w:val="0"/>
          <w:numId w:val="1"/>
        </w:numPr>
        <w:ind w:firstLine="0"/>
      </w:pPr>
      <w:r>
        <w:t>所有市场主体必须在蒙东电力交易中心注册</w:t>
      </w:r>
    </w:p>
    <w:p>
      <w:pPr>
        <w:numPr>
          <w:ilvl w:val="0"/>
          <w:numId w:val="1"/>
        </w:numPr>
        <w:ind w:firstLine="0"/>
      </w:pPr>
      <w:r>
        <w:t>持证交易员备案（AI仅做辅助，人工终审）</w:t>
      </w:r>
    </w:p>
    <w:p>
      <w:pPr>
        <w:numPr>
          <w:ilvl w:val="0"/>
          <w:numId w:val="1"/>
        </w:numPr>
        <w:ind w:firstLine="0"/>
      </w:pPr>
      <w:r>
        <w:t>集中式风光必须全电量参与日前+日内+实时现货</w:t>
      </w:r>
    </w:p>
    <w:p>
      <w:pPr>
        <w:numPr>
          <w:ilvl w:val="0"/>
          <w:numId w:val="1"/>
        </w:numPr>
        <w:ind w:firstLine="0"/>
      </w:pPr>
      <w:r>
        <w:t>分布式现阶段暂不强制现货报量报价</w:t>
      </w:r>
    </w:p>
    <w:p>
      <w:pPr>
        <w:pStyle w:val="Heading1"/>
      </w:pPr>
      <w:r>
        <w:t>第四章 现货价格硬性限价</w:t>
      </w:r>
      <w:bookmarkStart w:name="_Toc004" w:id="5"/>
      <w:bookmarkEnd w:id="5"/>
    </w:p>
    <w:p>
      <w:r>
        <w:t>蒙东现货市场统一申报价格区间，算法报价严禁超出，超出直接判无效申报。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参数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数值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AI代码变量名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最低限价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-0.05 元/kWh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PRICE_MIN = -0.05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最高限价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1.50 元/kWh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PRICE_MAX = 1.50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价格区间跨度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1.55 元/kWh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PRICE_RANGE = 1.55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换算（元/MWh）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-50 ~ 1500 元/MWh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PRICE_MIN_MWH = -50</w:t>
            </w:r>
          </w:p>
        </w:tc>
      </w:tr>
    </w:tbl>
    <w:p>
      <w:pPr>
        <w:pStyle w:val="Heading2"/>
      </w:pPr>
      <w:r>
        <w:t>4.1 算法要点</w:t>
      </w:r>
    </w:p>
    <w:p>
      <w:pPr>
        <w:numPr>
          <w:ilvl w:val="0"/>
          <w:numId w:val="1"/>
        </w:numPr>
        <w:ind w:firstLine="0"/>
      </w:pPr>
      <w:r>
        <w:t>报价边界必须写死在代码中（硬编码），不得通过外部配置修改</w:t>
      </w:r>
    </w:p>
    <w:p>
      <w:pPr>
        <w:numPr>
          <w:ilvl w:val="0"/>
          <w:numId w:val="1"/>
        </w:numPr>
        <w:ind w:firstLine="0"/>
      </w:pPr>
      <w:r>
        <w:t>负电价允许申报（-0.05元/kWh），AI需做负电价避发/减发策略</w:t>
      </w:r>
    </w:p>
    <w:p>
      <w:pPr>
        <w:numPr>
          <w:ilvl w:val="0"/>
          <w:numId w:val="1"/>
        </w:numPr>
        <w:ind w:firstLine="0"/>
      </w:pPr>
      <w:r>
        <w:t>申报价格超出上下限直接判定为无效申报，不参与出清</w:t>
      </w:r>
    </w:p>
    <w:p>
      <w:pPr>
        <w:numPr>
          <w:ilvl w:val="0"/>
          <w:numId w:val="1"/>
        </w:numPr>
        <w:ind w:firstLine="0"/>
      </w:pPr>
      <w:r>
        <w:t>价格区间单位：元/kWh（注意与元/MWh的换算关系：1元/kWh = 1000元/MWh）</w:t>
      </w:r>
    </w:p>
    <w:p>
      <w:pPr>
        <w:pStyle w:val="Heading1"/>
      </w:pPr>
      <w:r>
        <w:t>第五章 96点曲线申报规则</w:t>
      </w:r>
      <w:bookmarkStart w:name="_Toc005" w:id="6"/>
      <w:bookmarkEnd w:id="6"/>
    </w:p>
    <w:p>
      <w:r>
        <w:t>每日划分为96个时段，每时段15分钟，是AI曲线生成的核心规则。</w:t>
      </w:r>
    </w:p>
    <w:p>
      <w:pPr>
        <w:pStyle w:val="Heading2"/>
      </w:pPr>
      <w:r>
        <w:t>5.1 时间粒度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w="5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项目</w:t>
            </w:r>
          </w:p>
        </w:tc>
        <w:tc>
          <w:tcPr>
            <w:tcW w:w="5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规则</w:t>
            </w:r>
          </w:p>
        </w:tc>
      </w:tr>
      <w:tr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时段划分</w:t>
            </w:r>
          </w:p>
        </w:tc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每日96个时段，每时段15分钟</w:t>
            </w:r>
          </w:p>
        </w:tc>
      </w:tr>
      <w:tr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日前申报</w:t>
            </w:r>
          </w:p>
        </w:tc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D-1日申报次日全天96点发电量曲线+电价曲线</w:t>
            </w:r>
          </w:p>
        </w:tc>
      </w:tr>
      <w:tr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日内修正</w:t>
            </w:r>
          </w:p>
        </w:tc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运行日可多次重申报，调整后续96点剩余时段曲线</w:t>
            </w:r>
          </w:p>
        </w:tc>
      </w:tr>
      <w:tr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申报截止时间</w:t>
            </w:r>
          </w:p>
        </w:tc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D-1日固定时点前完成96点量价申报</w:t>
            </w:r>
          </w:p>
        </w:tc>
      </w:tr>
    </w:tbl>
    <w:p>
      <w:pPr>
        <w:pStyle w:val="Heading2"/>
      </w:pPr>
      <w:r>
        <w:t>5.2 曲线约束条件（代码风控必写）</w:t>
      </w:r>
    </w:p>
    <w:p>
      <w:pPr>
        <w:numPr>
          <w:ilvl w:val="0"/>
          <w:numId w:val="1"/>
        </w:numPr>
        <w:ind w:firstLine="0"/>
      </w:pPr>
      <w:r>
        <w:t>单时段申报出力：0 &lt;= 申报出力 &lt;= 机组最大可用容量</w:t>
      </w:r>
    </w:p>
    <w:p>
      <w:pPr>
        <w:numPr>
          <w:ilvl w:val="0"/>
          <w:numId w:val="1"/>
        </w:numPr>
        <w:ind w:firstLine="0"/>
      </w:pPr>
      <w:r>
        <w:t>检修时段：AI自动下压申报曲线至0或检修安排值</w:t>
      </w:r>
    </w:p>
    <w:p>
      <w:pPr>
        <w:numPr>
          <w:ilvl w:val="0"/>
          <w:numId w:val="1"/>
        </w:numPr>
        <w:ind w:firstLine="0"/>
      </w:pPr>
      <w:r>
        <w:t>调度限发时段：AI必须自动下调对应时段申报量</w:t>
      </w:r>
    </w:p>
    <w:p>
      <w:pPr>
        <w:numPr>
          <w:ilvl w:val="0"/>
          <w:numId w:val="1"/>
        </w:numPr>
        <w:ind w:firstLine="0"/>
      </w:pPr>
      <w:r>
        <w:t>设备故障/风机光伏停机：AI必须立即下调对应时段申报量</w:t>
      </w:r>
    </w:p>
    <w:p>
      <w:pPr>
        <w:numPr>
          <w:ilvl w:val="0"/>
          <w:numId w:val="1"/>
        </w:numPr>
        <w:ind w:firstLine="0"/>
      </w:pPr>
      <w:r>
        <w:t>风光必须按超短期功率预测生成曲线，作为AI基准曲线</w:t>
      </w:r>
    </w:p>
    <w:p>
      <w:pPr>
        <w:pStyle w:val="Heading1"/>
      </w:pPr>
      <w:r>
        <w:t>第六章 保量保价机制</w:t>
      </w:r>
      <w:bookmarkStart w:name="_Toc006" w:id="7"/>
      <w:bookmarkEnd w:id="7"/>
    </w:p>
    <w:p>
      <w:r>
        <w:t>保量保价是蒙东新能源交易最核心的收益模型，AI算法必须精确追踪保量小时数。</w:t>
      </w:r>
    </w:p>
    <w:p>
      <w:pPr>
        <w:pStyle w:val="Heading2"/>
      </w:pPr>
      <w:r>
        <w:t>6.1 保量保价标准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项目类型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年度保量小时数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保量内结算方式</w:t>
            </w:r>
          </w:p>
        </w:tc>
        <w:tc>
          <w:tcPr>
            <w:tcW w:w="25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保量外结算方式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存量带补贴风电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790小时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固定保价（标杆电价）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现货市场化定价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存量带补贴光伏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635小时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固定保价（标杆电价）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现货市场化定价</w:t>
            </w:r>
          </w:p>
        </w:tc>
      </w:tr>
      <w:tr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增量无补贴项目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无保量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不适用</w:t>
            </w:r>
          </w:p>
        </w:tc>
        <w:tc>
          <w:tcPr>
            <w:tcW w:w="25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100%全电量现货市场价</w:t>
            </w:r>
          </w:p>
        </w:tc>
      </w:tr>
    </w:tbl>
    <w:p>
      <w:pPr>
        <w:pStyle w:val="Heading2"/>
      </w:pPr>
      <w:r>
        <w:t>6.2 算法逻辑要点</w:t>
      </w:r>
    </w:p>
    <w:p>
      <w:pPr>
        <w:numPr>
          <w:ilvl w:val="0"/>
          <w:numId w:val="1"/>
        </w:numPr>
        <w:ind w:firstLine="0"/>
      </w:pPr>
      <w:r>
        <w:t>AI每日累计已发保量小时数，实时倒计时剩余保量额度</w:t>
      </w:r>
    </w:p>
    <w:p>
      <w:pPr>
        <w:numPr>
          <w:ilvl w:val="0"/>
          <w:numId w:val="1"/>
        </w:numPr>
        <w:ind w:firstLine="0"/>
      </w:pPr>
      <w:r>
        <w:t>保量内电量：执行固定保价，不随现货电价波动</w:t>
      </w:r>
    </w:p>
    <w:p>
      <w:pPr>
        <w:numPr>
          <w:ilvl w:val="0"/>
          <w:numId w:val="1"/>
        </w:numPr>
        <w:ind w:firstLine="0"/>
      </w:pPr>
      <w:r>
        <w:t>保量外电量：完全跟随现货日前/实时出清电价结算</w:t>
      </w:r>
    </w:p>
    <w:p>
      <w:pPr>
        <w:numPr>
          <w:ilvl w:val="0"/>
          <w:numId w:val="1"/>
        </w:numPr>
        <w:ind w:firstLine="0"/>
      </w:pPr>
      <w:r>
        <w:t>月度分解：各月实际上网电量低于当月分解电量的，按实际上网电量结算，年内按月滚动清算</w:t>
      </w:r>
    </w:p>
    <w:p>
      <w:pPr>
        <w:numPr>
          <w:ilvl w:val="0"/>
          <w:numId w:val="1"/>
        </w:numPr>
        <w:ind w:firstLine="0"/>
      </w:pPr>
      <w:r>
        <w:t>达到全生命周期合理利用小时数（风电36000h/光伏22000h）或投产满20年后，不再执行机制电价</w:t>
      </w:r>
    </w:p>
    <w:p>
      <w:pPr>
        <w:pStyle w:val="Heading1"/>
      </w:pPr>
      <w:r>
        <w:t>第七章 中长期与现货耦合规则</w:t>
      </w:r>
      <w:bookmarkStart w:name="_Toc007" w:id="8"/>
      <w:bookmarkEnd w:id="8"/>
    </w:p>
    <w:p>
      <w:r>
        <w:t>新能源必须同时参与中长期合约与现货市场，AI策略需在两个市场间协同优化。</w:t>
      </w:r>
    </w:p>
    <w:p>
      <w:pPr>
        <w:pStyle w:val="Heading2"/>
      </w:pPr>
      <w:r>
        <w:t>7.1 市场参与要求</w:t>
      </w:r>
    </w:p>
    <w:p>
      <w:pPr>
        <w:numPr>
          <w:ilvl w:val="0"/>
          <w:numId w:val="1"/>
        </w:numPr>
        <w:ind w:firstLine="0"/>
      </w:pPr>
      <w:r>
        <w:t>新能源必须同时参与：年度/月度中长期合约 + 日前/日内/实时现货</w:t>
      </w:r>
    </w:p>
    <w:p>
      <w:pPr>
        <w:numPr>
          <w:ilvl w:val="0"/>
          <w:numId w:val="1"/>
        </w:numPr>
        <w:ind w:firstLine="0"/>
      </w:pPr>
      <w:r>
        <w:t>中长期合约电量按月、按日分解到96点时段</w:t>
      </w:r>
    </w:p>
    <w:p>
      <w:pPr>
        <w:numPr>
          <w:ilvl w:val="0"/>
          <w:numId w:val="1"/>
        </w:numPr>
        <w:ind w:firstLine="0"/>
      </w:pPr>
      <w:r>
        <w:t>缩短交易周期，提高交易频次，实现周、多日、逐日开市</w:t>
      </w:r>
    </w:p>
    <w:p>
      <w:pPr>
        <w:pStyle w:val="Heading2"/>
      </w:pPr>
      <w:r>
        <w:t>7.2 AI策略逻辑</w:t>
      </w:r>
    </w:p>
    <w:p>
      <w:pPr>
        <w:numPr>
          <w:ilvl w:val="0"/>
          <w:numId w:val="1"/>
        </w:numPr>
        <w:ind w:firstLine="0"/>
      </w:pPr>
      <w:r>
        <w:t>合约电量优先履约（确保中长期合同偏差最小化）</w:t>
      </w:r>
    </w:p>
    <w:p>
      <w:pPr>
        <w:numPr>
          <w:ilvl w:val="0"/>
          <w:numId w:val="1"/>
        </w:numPr>
        <w:ind w:firstLine="0"/>
      </w:pPr>
      <w:r>
        <w:t>现货高价时段多增发，低价/负电价时段少发或压发</w:t>
      </w:r>
    </w:p>
    <w:p>
      <w:pPr>
        <w:numPr>
          <w:ilvl w:val="0"/>
          <w:numId w:val="1"/>
        </w:numPr>
        <w:ind w:firstLine="0"/>
      </w:pPr>
      <w:r>
        <w:t>用现货盈余对冲中长期合约偏差</w:t>
      </w:r>
    </w:p>
    <w:p>
      <w:pPr>
        <w:numPr>
          <w:ilvl w:val="0"/>
          <w:numId w:val="1"/>
        </w:numPr>
        <w:ind w:firstLine="0"/>
      </w:pPr>
      <w:r>
        <w:t>允许供需双方结合新能源出力特点，合理确定中长期合同的量价、曲线等内容</w:t>
      </w:r>
    </w:p>
    <w:p>
      <w:pPr>
        <w:pStyle w:val="Heading1"/>
      </w:pPr>
      <w:r>
        <w:t>第八章 现货出清机制</w:t>
      </w:r>
      <w:bookmarkStart w:name="_Toc008" w:id="9"/>
      <w:bookmarkEnd w:id="9"/>
    </w:p>
    <w:p>
      <w:r>
        <w:t>理解出清机制是AI电价预测模型的逻辑基础。</w:t>
      </w:r>
    </w:p>
    <w:p>
      <w:pPr>
        <w:pStyle w:val="Heading2"/>
      </w:pPr>
      <w:r>
        <w:t>8.1 出清顺序与方式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5000"/>
        <w:gridCol w:w="5000"/>
      </w:tblGrid>
      <w:tr>
        <w:trPr>
          <w:tblHeader/>
        </w:trPr>
        <w:tc>
          <w:tcPr>
            <w:tcW w:w="5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市场类型</w:t>
            </w:r>
          </w:p>
        </w:tc>
        <w:tc>
          <w:tcPr>
            <w:tcW w:w="5000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说明</w:t>
            </w:r>
          </w:p>
        </w:tc>
      </w:tr>
      <w:tr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日前市场</w:t>
            </w:r>
          </w:p>
        </w:tc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D-1日集中竞价出清，形成96点日前电价</w:t>
            </w:r>
          </w:p>
        </w:tc>
      </w:tr>
      <w:tr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日内滚动市场</w:t>
            </w:r>
          </w:p>
        </w:tc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运行日多次出清，修正后续时段价格</w:t>
            </w:r>
          </w:p>
        </w:tc>
      </w:tr>
      <w:tr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实时平衡市场</w:t>
            </w:r>
          </w:p>
        </w:tc>
        <w:tc>
          <w:tcPr>
            <w:tcW w:w="5000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实际运行中平衡偏差电量</w:t>
            </w:r>
          </w:p>
        </w:tc>
      </w:tr>
    </w:tbl>
    <w:p>
      <w:pPr>
        <w:numPr>
          <w:ilvl w:val="0"/>
          <w:numId w:val="1"/>
        </w:numPr>
        <w:ind w:firstLine="0"/>
      </w:pPr>
      <w:r>
        <w:t>出清方式：集中竞价、边际出清，全网统一节点电价</w:t>
      </w:r>
    </w:p>
    <w:p>
      <w:pPr>
        <w:pStyle w:val="Heading2"/>
      </w:pPr>
      <w:r>
        <w:t>8.2 AI电价预测特征变量</w:t>
      </w:r>
    </w:p>
    <w:p>
      <w:pPr>
        <w:numPr>
          <w:ilvl w:val="0"/>
          <w:numId w:val="1"/>
        </w:numPr>
        <w:ind w:firstLine="0"/>
      </w:pPr>
      <w:r>
        <w:t>当日风电、光伏整体出力水平</w:t>
      </w:r>
    </w:p>
    <w:p>
      <w:pPr>
        <w:numPr>
          <w:ilvl w:val="0"/>
          <w:numId w:val="1"/>
        </w:numPr>
        <w:ind w:firstLine="0"/>
      </w:pPr>
      <w:r>
        <w:t>负荷高低、早晚峰时段</w:t>
      </w:r>
    </w:p>
    <w:p>
      <w:pPr>
        <w:numPr>
          <w:ilvl w:val="0"/>
          <w:numId w:val="1"/>
        </w:numPr>
        <w:ind w:firstLine="0"/>
      </w:pPr>
      <w:r>
        <w:t>跨省外送电量、电网断面阻塞</w:t>
      </w:r>
    </w:p>
    <w:p>
      <w:pPr>
        <w:numPr>
          <w:ilvl w:val="0"/>
          <w:numId w:val="1"/>
        </w:numPr>
        <w:ind w:firstLine="0"/>
      </w:pPr>
      <w:r>
        <w:t>天气因素、极端风光大发/骤降</w:t>
      </w:r>
    </w:p>
    <w:p>
      <w:pPr>
        <w:numPr>
          <w:ilvl w:val="0"/>
          <w:numId w:val="1"/>
        </w:numPr>
        <w:ind w:firstLine="0"/>
      </w:pPr>
      <w:r>
        <w:t>日前申报量价数据</w:t>
      </w:r>
    </w:p>
    <w:p>
      <w:pPr>
        <w:pStyle w:val="Heading1"/>
      </w:pPr>
      <w:r>
        <w:t>第九章 偏差考核规则</w:t>
      </w:r>
      <w:bookmarkStart w:name="_Toc009" w:id="10"/>
      <w:bookmarkEnd w:id="10"/>
    </w:p>
    <w:p>
      <w:r>
        <w:t>偏差考核是AI风控系统的核心约束条件，算法必须内置偏差控制逻辑。</w:t>
      </w:r>
    </w:p>
    <w:p>
      <w:pPr>
        <w:pStyle w:val="Heading2"/>
      </w:pPr>
      <w:r>
        <w:t>9.1 考核规则</w:t>
      </w:r>
    </w:p>
    <w:p>
      <w:pPr>
        <w:numPr>
          <w:ilvl w:val="0"/>
          <w:numId w:val="1"/>
        </w:numPr>
        <w:ind w:firstLine="0"/>
      </w:pPr>
      <w:r>
        <w:t>蒙东对新能源发电实际出力与申报曲线偏差进行考核扣费</w:t>
      </w:r>
    </w:p>
    <w:p>
      <w:pPr>
        <w:numPr>
          <w:ilvl w:val="0"/>
          <w:numId w:val="1"/>
        </w:numPr>
        <w:ind w:firstLine="0"/>
      </w:pPr>
      <w:r>
        <w:t>算法必须设置：单时段偏差阈值、日累计偏差阈值</w:t>
      </w:r>
    </w:p>
    <w:p>
      <w:pPr>
        <w:numPr>
          <w:ilvl w:val="0"/>
          <w:numId w:val="1"/>
        </w:numPr>
        <w:ind w:firstLine="0"/>
      </w:pPr>
      <w:r>
        <w:t>自动微调曲线，将偏差控制在考核红线内</w:t>
      </w:r>
    </w:p>
    <w:p>
      <w:pPr>
        <w:pStyle w:val="Heading2"/>
      </w:pPr>
      <w:r>
        <w:t>9.2 AI风控策略</w:t>
      </w:r>
    </w:p>
    <w:p>
      <w:pPr>
        <w:numPr>
          <w:ilvl w:val="0"/>
          <w:numId w:val="1"/>
        </w:numPr>
        <w:ind w:firstLine="0"/>
      </w:pPr>
      <w:r>
        <w:t>风光预测误差越大，越需要日内滚动修正96点曲线，降低考核损失</w:t>
      </w:r>
    </w:p>
    <w:p>
      <w:pPr>
        <w:numPr>
          <w:ilvl w:val="0"/>
          <w:numId w:val="1"/>
        </w:numPr>
        <w:ind w:firstLine="0"/>
      </w:pPr>
      <w:r>
        <w:t>设备故障、风机光伏停机、调度限发：AI必须立刻下调对应时段申报量</w:t>
      </w:r>
    </w:p>
    <w:p>
      <w:pPr>
        <w:numPr>
          <w:ilvl w:val="0"/>
          <w:numId w:val="1"/>
        </w:numPr>
        <w:ind w:firstLine="0"/>
      </w:pPr>
      <w:r>
        <w:t>建立偏差预警机制：当预测偏差率接近考核阈值时自动告警</w:t>
      </w:r>
    </w:p>
    <w:p>
      <w:pPr>
        <w:numPr>
          <w:ilvl w:val="0"/>
          <w:numId w:val="1"/>
        </w:numPr>
        <w:ind w:firstLine="0"/>
      </w:pPr>
      <w:r>
        <w:t>偏差考核费用 = f(偏差电量, 偏差方向, 考核单价)</w:t>
      </w:r>
    </w:p>
    <w:p>
      <w:pPr>
        <w:pStyle w:val="Heading1"/>
      </w:pPr>
      <w:r>
        <w:t>第十章 结算规则</w:t>
      </w:r>
      <w:bookmarkStart w:name="_Toc010" w:id="11"/>
      <w:bookmarkEnd w:id="11"/>
    </w:p>
    <w:p>
      <w:r>
        <w:t>结算规则是AI收益核算模型的基础，分三段结算逻辑。</w:t>
      </w:r>
    </w:p>
    <w:p>
      <w:pPr>
        <w:pStyle w:val="Heading2"/>
      </w:pPr>
      <w:r>
        <w:t>10.1 三段结算模型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结算段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适用电量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结算价格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保量保价段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保量小时数内的发电量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政府核定标杆电价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中长期合约段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合约分解到该时段的电量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合约约定电价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现货偏差段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超出合约的实际发电量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对应时段现货出清电价</w:t>
            </w:r>
          </w:p>
        </w:tc>
      </w:tr>
    </w:tbl>
    <w:p>
      <w:pPr>
        <w:pStyle w:val="Heading2"/>
      </w:pPr>
      <w:r>
        <w:t>10.2 中长期差价结算公式（核心）</w:t>
      </w:r>
    </w:p>
    <w:p>
      <w:r>
        <w:t>中长期合同电量不单独再算账，只做差价补差：</w:t>
      </w:r>
    </w:p>
    <w:p>
      <w:pPr>
        <w:pBdr>
          <w:left w:val="single" w:color="D4A853" w:sz="18" w:space="12"/>
        </w:pBdr>
        <w:shd w:val="clear" w:fill="F8FAFC"/>
        <w:spacing w:before="200" w:after="200"/>
        <w:ind w:left="480" w:right="480" w:firstLine="0"/>
      </w:pPr>
      <w:r>
        <w:rPr>
          <w:rFonts w:ascii="Calibri" w:hAnsi="Calibri" w:eastAsia="Microsoft YaHei"/>
          <w:b/>
          <w:color w:val="0F1D32"/>
          <w:sz w:val="22"/>
        </w:rPr>
        <w:t>中长期结算补差 = 合同电量 x (合同约定电价 - 中长期结算参考点现货价格)</w:t>
      </w:r>
    </w:p>
    <w:p>
      <w:pPr>
        <w:numPr>
          <w:ilvl w:val="0"/>
          <w:numId w:val="1"/>
        </w:numPr>
        <w:ind w:firstLine="0"/>
      </w:pPr>
      <w:r>
        <w:t>合约电量不能超过实际发电量，超发部分无合约对冲，全按现货走</w:t>
      </w:r>
    </w:p>
    <w:p>
      <w:pPr>
        <w:numPr>
          <w:ilvl w:val="0"/>
          <w:numId w:val="1"/>
        </w:numPr>
        <w:ind w:firstLine="0"/>
      </w:pPr>
      <w:r>
        <w:t>96个时段逐时段分解、逐时段结算</w:t>
      </w:r>
    </w:p>
    <w:p>
      <w:pPr>
        <w:numPr>
          <w:ilvl w:val="0"/>
          <w:numId w:val="1"/>
        </w:numPr>
        <w:ind w:firstLine="0"/>
      </w:pPr>
      <w:r>
        <w:t>保量保价电量、现货电量、中长期电量三套账目分开建模，最后合并总账</w:t>
      </w:r>
    </w:p>
    <w:p>
      <w:pPr>
        <w:numPr>
          <w:ilvl w:val="0"/>
          <w:numId w:val="1"/>
        </w:numPr>
        <w:ind w:firstLine="0"/>
      </w:pPr>
      <w:r>
        <w:t>负电价时段，差价公式依然完全适用</w:t>
      </w:r>
    </w:p>
    <w:p>
      <w:pPr>
        <w:pStyle w:val="Heading2"/>
      </w:pPr>
      <w:r>
        <w:t>10.3 自动化结算</w:t>
      </w:r>
    </w:p>
    <w:p>
      <w:pPr>
        <w:numPr>
          <w:ilvl w:val="0"/>
          <w:numId w:val="1"/>
        </w:numPr>
        <w:ind w:firstLine="0"/>
      </w:pPr>
      <w:r>
        <w:t>每月固定周期对账结算</w:t>
      </w:r>
    </w:p>
    <w:p>
      <w:pPr>
        <w:numPr>
          <w:ilvl w:val="0"/>
          <w:numId w:val="1"/>
        </w:numPr>
        <w:ind w:firstLine="0"/>
      </w:pPr>
      <w:r>
        <w:t>AI自动生成：分时段发电量、分类型收益、偏差考核费用、度电均价、当月净收益</w:t>
      </w:r>
    </w:p>
    <w:p>
      <w:pPr>
        <w:numPr>
          <w:ilvl w:val="0"/>
          <w:numId w:val="1"/>
        </w:numPr>
        <w:ind w:firstLine="0"/>
      </w:pPr>
      <w:r>
        <w:t>所有操作记录、AI建议记录、人工审核记录必须留痕归档</w:t>
      </w:r>
    </w:p>
    <w:p>
      <w:pPr>
        <w:pStyle w:val="Heading1"/>
      </w:pPr>
      <w:r>
        <w:t>第十一章 固定时间节点</w:t>
      </w:r>
      <w:bookmarkStart w:name="_Toc011" w:id="12"/>
      <w:bookmarkEnd w:id="12"/>
    </w:p>
    <w:p>
      <w:r>
        <w:t>AI定时任务编排依据，确保交易操作不遗漏。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时间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任务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每日10:00前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AI生成次日预测曲线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基于超短期功率预测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每日11:00前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生成申报草稿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96点量价曲线初稿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D-1日截止时点前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提交日前申报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完成96点量价正式申报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全天每15分钟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轮询偏差/电价/出力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实时监控与告警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日内多窗口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曲线修正重报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根据实际出力调整后续时段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每日收盘后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自动复盘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当日交易总结与偏差归因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每月固定日期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自动结算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生成月度结算报表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每月固定日期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偏差归因分析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汇总偏差原因与改进建议</w:t>
            </w:r>
          </w:p>
        </w:tc>
      </w:tr>
    </w:tbl>
    <w:p>
      <w:pPr>
        <w:pStyle w:val="Heading1"/>
      </w:pPr>
      <w:r>
        <w:t>第十二章 AI算法核心字段汇总</w:t>
      </w:r>
      <w:bookmarkStart w:name="_Toc012" w:id="13"/>
      <w:bookmarkEnd w:id="13"/>
    </w:p>
    <w:p>
      <w:r>
        <w:t>以下字段可直接用于AI交易系统代码建模：</w:t>
      </w:r>
    </w:p>
    <w:p>
      <w:pPr>
        <w:pStyle w:val="Heading2"/>
      </w:pPr>
      <w:r>
        <w:t>12.1 常量参数（硬编码）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参数名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数值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PRICE_MIN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-0.05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现货申报最低限价（元/kWh）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PRICE_MAX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1.50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现货申报最高限价（元/kWh）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POINTS_PER_DAY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96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每日时段数（15分钟粒度）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WIND_GUARANTEE_HOURS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790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风电年保量保价小时数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SOLAR_GUARANTEE_HOURS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635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光伏年保量保价小时数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MECHANISM_PRICE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0.3035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蒙东机制电价（煤电基准价，元/kWh）</w:t>
            </w:r>
          </w:p>
        </w:tc>
      </w:tr>
    </w:tbl>
    <w:p>
      <w:pPr>
        <w:pStyle w:val="Heading2"/>
      </w:pPr>
      <w:r>
        <w:t>12.2 输入变量（特征工程用）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变量名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类型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spot_price_realtime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实时电价（96点）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forecast_power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超短期功率预测（96点）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actual_power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实际上网出力（96点）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remaining_guarantee_hours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剩余保量小时数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contract_decomposed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中长期合约分解电量（96点）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deviation_rate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时段偏差率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limit_instruction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调度限发指令（96点）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equipment_status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int[96]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设备状态（0停机/1运行）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max_available_capacity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机组最大可用容量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installed_capacity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装机容量</w:t>
            </w:r>
          </w:p>
        </w:tc>
      </w:tr>
    </w:tbl>
    <w:p>
      <w:pPr>
        <w:pStyle w:val="Heading2"/>
      </w:pPr>
      <w:r>
        <w:t>12.3 输出变量（策略决策用）</w:t>
      </w:r>
    </w:p>
    <w:tbl>
      <w:tblPr>
        <w:tblW w:w="5000" w:type="pct"/>
        <w:tblBorders>
          <w:top w:val="single" w:color="1B2A4A" w:sz="12"/>
          <w:bottom w:val="single" w:color="1B2A4A" w:sz="12"/>
          <w:insideH w:val="single" w:color="E2E8F0" w:sz="4"/>
        </w:tblBorders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变量名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类型</w:t>
            </w:r>
          </w:p>
        </w:tc>
        <w:tc>
          <w:tcPr>
            <w:tcW w:w="3333" w:type="dxa"/>
            <w:shd w:val="clear" w:fill="F1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0F1D32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bid_volume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申报电量曲线（96点）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bid_price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float[96]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申报电价曲线（96点）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deviation_penalty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偏差考核费用预估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settlement_guarantee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保量保价段结算金额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settlement_contract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中长期差价结算金额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settlement_spot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现货偏差段结算金额</w:t>
            </w:r>
          </w:p>
        </w:tc>
      </w:tr>
      <w:tr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total_revenue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float</w:t>
            </w:r>
          </w:p>
        </w:tc>
        <w:tc>
          <w:tcPr>
            <w:tcW w:w="3333" w:type="dxa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color w:val="334155"/>
                <w:sz w:val="20"/>
              </w:rPr>
              <w:t>总收益预估</w:t>
            </w:r>
          </w:p>
        </w:tc>
      </w:tr>
    </w:tbl>
    <w:p>
      <w:pPr>
        <w:pStyle w:val="Heading2"/>
      </w:pPr>
      <w:r>
        <w:t>12.4 核心算法流程伪代码</w:t>
      </w:r>
    </w:p>
    <w:p>
      <w:pPr>
        <w:pBdr>
          <w:left w:val="single" w:color="D4A853" w:sz="18" w:space="12"/>
        </w:pBdr>
        <w:shd w:val="clear" w:fill="F8FAFC"/>
        <w:spacing w:before="200" w:after="200"/>
        <w:ind w:left="480" w:right="480" w:firstLine="0"/>
      </w:pPr>
      <w:r>
        <w:rPr>
          <w:rFonts w:ascii="Consolas" w:hAnsi="Consolas" w:eastAsia="Microsoft YaHei"/>
          <w:color w:val="334155"/>
          <w:sz w:val="18"/>
        </w:rPr>
        <w:t>FUNCTION daily_trading_strategy(inputs):
    // 1. 计算剩余保量额度
    remaining_hours = get_remaining_guarantee_hours()
    // 2. 生成96点功率预测曲线
    forecast_curve = generate_forecast_curve(inputs.weather, inputs.history)
    // 3. 中长期合约分解
    contract_curve = decompose_contract_to_96points(inputs.contract_monthly)
    // 4. 计算偏差风险
    deviation_risk = calculate_deviation_risk(forecast_curve, contract_curve)
    // 5. 优化申报策略
    bid_volume, bid_price = optimize_bid(
        forecast=forecast_curve,
        contract=contract_curve,
        price_forecast=inputs.price_prediction,
        deviation_limit=DEVIATION_THRESHOLD,
        price_min=PRICE_MIN,
        price_max=PRICE_MAX,
        remaining_guarantee=remaining_hours
    )
    // 6. 应用约束条件
    bid_volume = apply_constraints(bid_volume, inputs.equipment_status, inputs.limit_instruction)
    // 7. 预估收益
    revenue = estimate_settlement(bid_volume, bid_price, contract_curve, inputs.price_prediction)
    RETURN bid_volume, bid_price, revenue_estimate</w:t>
      </w:r>
    </w:p>
    <w:p>
      <w:pPr>
        <w:sectPr>
          <w:headerReference w:type="default" r:id="Ra3e306376c2e4968"/>
          <w:footerReference w:type="default" r:id="Rd7394cf047894278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0a109da2269846f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00"/>
        <w:jc w:val="center"/>
      </w:pPr>
      <w:r>
        <w:rPr>
          <w:rFonts w:ascii="Calibri" w:hAnsi="Calibri" w:eastAsia="Microsoft YaHei"/>
          <w:b/>
          <w:color w:val="D4A853"/>
          <w:sz w:val="52"/>
        </w:rPr>
        <w:t>感谢阅读</w:t>
      </w:r>
    </w:p>
    <w:p>
      <w:pPr>
        <w:spacing w:before="400"/>
        <w:jc w:val="center"/>
      </w:pPr>
      <w:r>
        <w:rPr>
          <w:rFonts w:ascii="Calibri" w:hAnsi="Calibri" w:eastAsia="Microsoft YaHei"/>
          <w:color w:val="64748B"/>
          <w:sz w:val="22"/>
        </w:rPr>
        <w:t>蒙东电力交易服务公司 | 2025年5月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4A3B8"/>
        <w:sz w:val="18"/>
      </w:rPr>
      <w:t xml:space="preserve">- </w:t>
    </w:r>
    <w:r>
      <w:rPr>
        <w:color w:val="94A3B8"/>
        <w:sz w:val="18"/>
      </w:rPr>
      <w:fldChar w:fldCharType="begin"/>
    </w:r>
    <w:r>
      <w:rPr>
        <w:color w:val="94A3B8"/>
        <w:sz w:val="18"/>
      </w:rPr>
      <w:instrText xml:space="preserve"> PAGE </w:instrText>
    </w:r>
    <w:r>
      <w:rPr>
        <w:color w:val="94A3B8"/>
        <w:sz w:val="18"/>
      </w:rPr>
      <w:fldChar w:fldCharType="separate"/>
    </w:r>
    <w:r>
      <w:rPr>
        <w:color w:val="94A3B8"/>
        <w:sz w:val="18"/>
      </w:rPr>
      <w:t>1</w:t>
    </w:r>
    <w:r>
      <w:rPr>
        <w:color w:val="94A3B8"/>
        <w:sz w:val="18"/>
      </w:rPr>
      <w:fldChar w:fldCharType="end"/>
    </w:r>
    <w:r>
      <w:rPr>
        <w:rFonts w:ascii="Calibri" w:hAnsi="Calibri" w:eastAsia="Microsoft YaHei"/>
        <w:color w:val="94A3B8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4A3B8"/>
        <w:sz w:val="18"/>
      </w:rPr>
      <w:t>蒙东新能源电站交易规则汇编（AI算法开发版）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60" w:lineRule="auto"/>
      <w:ind w:firstLine="480"/>
    </w:pPr>
    <w:rPr>
      <w:rFonts w:ascii="Calibri" w:hAnsi="Calibri" w:eastAsia="Microsoft YaHei"/>
      <w:color w:val="0F1D32"/>
      <w:sz w:val="21"/>
    </w:rPr>
  </w:style>
  <w:style w:type="paragraph" w:styleId="Heading1">
    <w:name w:val="heading 1"/>
    <w:basedOn w:val="Normal"/>
    <w:pPr>
      <w:keepNext/>
      <w:keepLines/>
      <w:spacing w:before="480" w:after="240"/>
      <w:ind w:firstLine="0"/>
      <w:outlineLvl w:val="0"/>
    </w:pPr>
    <w:rPr>
      <w:rFonts w:ascii="Calibri" w:hAnsi="Calibri" w:eastAsia="Microsoft YaHei"/>
      <w:b/>
      <w:color w:val="1B2A4A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ind w:firstLine="0"/>
      <w:outlineLvl w:val="1"/>
    </w:pPr>
    <w:rPr>
      <w:rFonts w:ascii="Calibri" w:hAnsi="Calibri" w:eastAsia="Microsoft YaHei"/>
      <w:b/>
      <w:color w:val="0F1D32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334155"/>
      <w:sz w:val="24"/>
    </w:rPr>
  </w:style>
  <w:style w:type="paragraph" w:styleId="Caption">
    <w:name w:val="Caption"/>
    <w:basedOn w:val="Normal"/>
    <w:pPr>
      <w:spacing w:before="60" w:after="200"/>
      <w:ind w:firstLine="0"/>
      <w:jc w:val="center"/>
    </w:pPr>
    <w:rPr>
      <w:rFonts w:ascii="Calibri" w:hAnsi="Calibri" w:eastAsia="Microsoft YaHei"/>
      <w:color w:val="94A3B8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240" w:after="60"/>
      <w:ind w:left="0" w:firstLine="0"/>
    </w:pPr>
    <w:rPr>
      <w:rFonts w:ascii="Calibri" w:hAnsi="Calibri" w:eastAsia="Microsoft YaHei"/>
      <w:b/>
      <w:color w:val="0F1D32"/>
    </w:rPr>
  </w:style>
  <w:style w:type="paragraph" w:styleId="TOC2">
    <w:name w:val="toc 2"/>
    <w:basedOn w:val="Normal"/>
    <w:pPr>
      <w:tabs>
        <w:tab w:val="right" w:leader="dot" w:pos="9350"/>
      </w:tabs>
      <w:spacing w:before="80" w:after="60"/>
      <w:ind w:left="360" w:firstLine="0"/>
    </w:pPr>
    <w:rPr>
      <w:rFonts w:ascii="Calibri" w:hAnsi="Calibri" w:eastAsia="Microsoft YaHei"/>
      <w:color w:val="334155"/>
    </w:rPr>
  </w:style>
  <w:style w:type="paragraph" w:styleId="TOC3">
    <w:name w:val="toc 3"/>
    <w:basedOn w:val="Normal"/>
    <w:pPr>
      <w:tabs>
        <w:tab w:val="right" w:leader="dot" w:pos="9350"/>
      </w:tabs>
      <w:spacing w:before="60" w:after="60"/>
      <w:ind w:left="720" w:firstLine="0"/>
    </w:pPr>
    <w:rPr>
      <w:rFonts w:ascii="Calibri" w:hAnsi="Calibri" w:eastAsia="Microsoft YaHei"/>
      <w:color w:val="334155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d4073a063037401e" /><Relationship Type="http://schemas.openxmlformats.org/officeDocument/2006/relationships/numbering" Target="numbering.xml" Id="R08fddd8ef53f42da" /><Relationship Type="http://schemas.openxmlformats.org/officeDocument/2006/relationships/image" Target="media/image.png" Id="R86afb64f58f6417f" /><Relationship Type="http://schemas.openxmlformats.org/officeDocument/2006/relationships/image" Target="media/image2.png" Id="R0a109da2269846f7" /><Relationship Type="http://schemas.openxmlformats.org/officeDocument/2006/relationships/header" Target="header1.xml" Id="Ra3e306376c2e4968" /><Relationship Type="http://schemas.openxmlformats.org/officeDocument/2006/relationships/footer" Target="footer1.xml" Id="Rd7394cf047894278" /><Relationship Type="http://schemas.openxmlformats.org/officeDocument/2006/relationships/settings" Target="settings.xml" Id="R8c4b6aac17e74e6f" /></Relationships>
</file>