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2C41D">
      <w:pPr>
        <w:autoSpaceDE w:val="0"/>
        <w:autoSpaceDN w:val="0"/>
        <w:jc w:val="center"/>
        <w:rPr>
          <w:rFonts w:hint="eastAsia" w:ascii="宋体" w:hAnsi="宋体"/>
          <w:sz w:val="32"/>
          <w:lang w:val="zh-CN"/>
        </w:rPr>
      </w:pPr>
      <w:r>
        <w:rPr>
          <w:rFonts w:hint="eastAsia" w:ascii="宋体" w:hAnsi="宋体"/>
          <w:sz w:val="32"/>
          <w:lang w:val="zh-CN"/>
        </w:rPr>
        <w:t>学院毕业论文</w:t>
      </w:r>
    </w:p>
    <w:p w14:paraId="7DBA4BFF">
      <w:pPr>
        <w:autoSpaceDE w:val="0"/>
        <w:autoSpaceDN w:val="0"/>
        <w:jc w:val="center"/>
        <w:rPr>
          <w:rFonts w:hint="eastAsia" w:ascii="宋体" w:hAnsi="宋体"/>
          <w:sz w:val="32"/>
          <w:lang w:val="zh-CN"/>
        </w:rPr>
      </w:pPr>
      <w:r>
        <w:rPr>
          <w:rFonts w:hint="eastAsia" w:ascii="宋体" w:hAnsi="宋体"/>
          <w:sz w:val="32"/>
          <w:lang w:val="zh-CN"/>
        </w:rPr>
        <w:t>开 题 报 告</w:t>
      </w:r>
    </w:p>
    <w:tbl>
      <w:tblPr>
        <w:tblStyle w:val="11"/>
        <w:tblW w:w="9540" w:type="dxa"/>
        <w:jc w:val="center"/>
        <w:tblLayout w:type="fixed"/>
        <w:tblCellMar>
          <w:top w:w="0" w:type="dxa"/>
          <w:left w:w="108" w:type="dxa"/>
          <w:bottom w:w="0" w:type="dxa"/>
          <w:right w:w="108" w:type="dxa"/>
        </w:tblCellMar>
      </w:tblPr>
      <w:tblGrid>
        <w:gridCol w:w="1188"/>
        <w:gridCol w:w="1704"/>
        <w:gridCol w:w="726"/>
        <w:gridCol w:w="2445"/>
        <w:gridCol w:w="765"/>
        <w:gridCol w:w="2712"/>
      </w:tblGrid>
      <w:tr w14:paraId="21B1D9E8">
        <w:trPr>
          <w:trHeight w:val="45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F027011">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学生姓名</w:t>
            </w:r>
          </w:p>
        </w:tc>
        <w:tc>
          <w:tcPr>
            <w:tcW w:w="1704" w:type="dxa"/>
            <w:tcBorders>
              <w:top w:val="single" w:color="auto" w:sz="6" w:space="0"/>
              <w:left w:val="single" w:color="auto" w:sz="6" w:space="0"/>
              <w:bottom w:val="single" w:color="auto" w:sz="6" w:space="0"/>
              <w:right w:val="single" w:color="auto" w:sz="6" w:space="0"/>
            </w:tcBorders>
            <w:vAlign w:val="center"/>
          </w:tcPr>
          <w:p w14:paraId="4B9234E3">
            <w:pPr>
              <w:keepNext w:val="0"/>
              <w:keepLines w:val="0"/>
              <w:suppressLineNumbers w:val="0"/>
              <w:autoSpaceDE w:val="0"/>
              <w:autoSpaceDN w:val="0"/>
              <w:spacing w:before="0" w:beforeAutospacing="0" w:after="0" w:afterAutospacing="0"/>
              <w:ind w:left="0" w:right="0"/>
              <w:jc w:val="center"/>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王赛</w:t>
            </w:r>
          </w:p>
        </w:tc>
        <w:tc>
          <w:tcPr>
            <w:tcW w:w="726" w:type="dxa"/>
            <w:tcBorders>
              <w:top w:val="single" w:color="auto" w:sz="6" w:space="0"/>
              <w:left w:val="single" w:color="auto" w:sz="6" w:space="0"/>
              <w:bottom w:val="single" w:color="auto" w:sz="6" w:space="0"/>
              <w:right w:val="single" w:color="auto" w:sz="6" w:space="0"/>
            </w:tcBorders>
            <w:vAlign w:val="center"/>
          </w:tcPr>
          <w:p w14:paraId="4303B3EB">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年级</w:t>
            </w:r>
          </w:p>
        </w:tc>
        <w:tc>
          <w:tcPr>
            <w:tcW w:w="2445" w:type="dxa"/>
            <w:tcBorders>
              <w:top w:val="single" w:color="auto" w:sz="6" w:space="0"/>
              <w:left w:val="single" w:color="auto" w:sz="6" w:space="0"/>
              <w:bottom w:val="single" w:color="auto" w:sz="6" w:space="0"/>
              <w:right w:val="single" w:color="auto" w:sz="4" w:space="0"/>
            </w:tcBorders>
            <w:vAlign w:val="center"/>
          </w:tcPr>
          <w:p w14:paraId="001A14D8">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2024</w:t>
            </w:r>
          </w:p>
        </w:tc>
        <w:tc>
          <w:tcPr>
            <w:tcW w:w="765" w:type="dxa"/>
            <w:tcBorders>
              <w:top w:val="single" w:color="auto" w:sz="6" w:space="0"/>
              <w:left w:val="single" w:color="auto" w:sz="4" w:space="0"/>
              <w:bottom w:val="single" w:color="auto" w:sz="6" w:space="0"/>
              <w:right w:val="single" w:color="auto" w:sz="4" w:space="0"/>
            </w:tcBorders>
            <w:vAlign w:val="center"/>
          </w:tcPr>
          <w:p w14:paraId="039E471D">
            <w:pPr>
              <w:keepNext w:val="0"/>
              <w:keepLines w:val="0"/>
              <w:suppressLineNumbers w:val="0"/>
              <w:autoSpaceDE w:val="0"/>
              <w:autoSpaceDN w:val="0"/>
              <w:spacing w:before="0" w:beforeAutospacing="0" w:after="0" w:afterAutospacing="0"/>
              <w:ind w:left="0" w:right="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专业</w:t>
            </w:r>
          </w:p>
        </w:tc>
        <w:tc>
          <w:tcPr>
            <w:tcW w:w="2712" w:type="dxa"/>
            <w:tcBorders>
              <w:top w:val="single" w:color="auto" w:sz="6" w:space="0"/>
              <w:left w:val="single" w:color="auto" w:sz="4" w:space="0"/>
              <w:bottom w:val="single" w:color="auto" w:sz="6" w:space="0"/>
              <w:right w:val="single" w:color="auto" w:sz="6" w:space="0"/>
            </w:tcBorders>
            <w:vAlign w:val="center"/>
          </w:tcPr>
          <w:p w14:paraId="6A1AD031">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计算机科学与技术</w:t>
            </w:r>
          </w:p>
        </w:tc>
      </w:tr>
      <w:tr w14:paraId="4C5024CA">
        <w:trPr>
          <w:trHeight w:val="461"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F014E68">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论文题目</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3029BD4E">
            <w:pPr>
              <w:keepNext w:val="0"/>
              <w:keepLines w:val="0"/>
              <w:suppressLineNumbers w:val="0"/>
              <w:autoSpaceDE w:val="0"/>
              <w:autoSpaceDN w:val="0"/>
              <w:spacing w:before="0" w:beforeAutospacing="0" w:after="0" w:afterAutospacing="0"/>
              <w:ind w:left="0" w:right="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基于VUE的移动端游戏陪玩系统的设计与实现</w:t>
            </w:r>
          </w:p>
        </w:tc>
      </w:tr>
      <w:tr w14:paraId="4C943C8C">
        <w:trPr>
          <w:trHeight w:val="608"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9A02FDA">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指导教师</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51588933">
            <w:pPr>
              <w:keepNext w:val="0"/>
              <w:keepLines w:val="0"/>
              <w:suppressLineNumbers w:val="0"/>
              <w:autoSpaceDE w:val="0"/>
              <w:autoSpaceDN w:val="0"/>
              <w:spacing w:before="0" w:beforeAutospacing="0" w:after="0" w:afterAutospacing="0"/>
              <w:ind w:left="0" w:right="0"/>
              <w:jc w:val="center"/>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吴丽娟</w:t>
            </w:r>
          </w:p>
        </w:tc>
      </w:tr>
      <w:tr w14:paraId="4A73DC94">
        <w:trPr>
          <w:trHeight w:val="4676"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6DE3AA96">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文献综述（包括课题现状和发展趋势）</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7842E033">
            <w:pPr>
              <w:keepNext w:val="0"/>
              <w:keepLines w:val="0"/>
              <w:suppressLineNumbers w:val="0"/>
              <w:spacing w:before="0" w:beforeAutospacing="0" w:after="0" w:afterAutospacing="0" w:line="420" w:lineRule="exact"/>
              <w:ind w:left="0" w:right="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一、</w:t>
            </w:r>
            <w:r>
              <w:rPr>
                <w:rFonts w:hint="default" w:ascii="Times New Roman" w:hAnsi="Times New Roman" w:cs="Times New Roman"/>
                <w:color w:val="000000" w:themeColor="text1"/>
                <w:sz w:val="24"/>
                <w:szCs w:val="24"/>
                <w:lang w:val="zh-CN"/>
                <w14:textFill>
                  <w14:solidFill>
                    <w14:schemeClr w14:val="tx1"/>
                  </w14:solidFill>
                </w14:textFill>
              </w:rPr>
              <w:t>文献综述（包括课题现状和发展趋势）</w:t>
            </w:r>
          </w:p>
          <w:p w14:paraId="4954D794">
            <w:pPr>
              <w:keepNext w:val="0"/>
              <w:keepLines w:val="0"/>
              <w:suppressLineNumbers w:val="0"/>
              <w:spacing w:before="0" w:beforeAutospacing="0" w:after="0" w:afterAutospacing="0" w:line="440" w:lineRule="exact"/>
              <w:ind w:left="0" w:right="0"/>
              <w:jc w:val="left"/>
              <w:rPr>
                <w:rFonts w:hint="default" w:ascii="Times New Roman" w:hAnsi="Times New Roman" w:eastAsia="楷体_GB2312" w:cs="Times New Roman"/>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 xml:space="preserve">1、课题的背景 </w:t>
            </w:r>
            <w:r>
              <w:rPr>
                <w:rFonts w:hint="default" w:ascii="Times New Roman" w:hAnsi="Times New Roman" w:eastAsia="楷体_GB2312" w:cs="Times New Roman"/>
                <w:color w:val="000000" w:themeColor="text1"/>
                <w14:textFill>
                  <w14:solidFill>
                    <w14:schemeClr w14:val="tx1"/>
                  </w14:solidFill>
                </w14:textFill>
              </w:rPr>
              <w:t xml:space="preserve">  </w:t>
            </w:r>
          </w:p>
          <w:p w14:paraId="6B5D46DC">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随着数字娱乐产业的快速发展，游戏陪玩行业逐渐</w:t>
            </w:r>
            <w:bookmarkStart w:id="0" w:name="_GoBack"/>
            <w:bookmarkEnd w:id="0"/>
            <w:r>
              <w:rPr>
                <w:rFonts w:hint="default" w:ascii="Times New Roman" w:hAnsi="Times New Roman" w:cs="Times New Roman"/>
                <w:color w:val="000000" w:themeColor="text1"/>
                <w14:textFill>
                  <w14:solidFill>
                    <w14:schemeClr w14:val="tx1"/>
                  </w14:solidFill>
                </w14:textFill>
              </w:rPr>
              <w:t>成为电竞生态的重要组成部分，移动端游戏陪玩需求呈现爆发式增长。传统游戏陪玩模式多依赖社交平台零散对接，存在信息不对称、服务流程不规范、订单管理混乱、资金结算不透明等问题，既无法满足普通用户对陪玩服务的精准筛选和高效预约需求，也难以保障陪玩人员的权益和服务质量，更缺乏专业的管理体系对整个服务流程进行监管。</w:t>
            </w:r>
          </w:p>
          <w:p w14:paraId="16917F34">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在技术层面，Vue 框架凭借轻量级、组件化、易上手的特性，成为移动端和后台管理系统开发的主流选择；Uniapp 则实现了一套代码多端适配，能满足移动端游戏陪玩系统跨平台的需求；Node.js+MySQL 的后端组合具备高并发处理能力和数据存储稳定性，可支撑系统的核心业务逻辑。在此背景下，开发一套基于 VUE 的移动端游戏陪玩系统，整合用户、陪玩、管理员三方需求，实现服务流程数字化、管理智能化，成为解决行业痛点的关键方向。</w:t>
            </w:r>
          </w:p>
          <w:p w14:paraId="65D170D5">
            <w:pPr>
              <w:keepNext w:val="0"/>
              <w:keepLines w:val="0"/>
              <w:suppressLineNumbers w:val="0"/>
              <w:spacing w:before="0" w:beforeAutospacing="0" w:after="0" w:afterAutospacing="0" w:line="400" w:lineRule="exact"/>
              <w:ind w:left="0" w:right="0"/>
              <w:jc w:val="left"/>
              <w:rPr>
                <w:rFonts w:hint="default" w:ascii="Times New Roman" w:hAnsi="Times New Roman" w:cs="Times New Roman"/>
                <w:bCs/>
                <w:color w:val="000000" w:themeColor="text1"/>
                <w14:textFill>
                  <w14:solidFill>
                    <w14:schemeClr w14:val="tx1"/>
                  </w14:solidFill>
                </w14:textFill>
              </w:rPr>
            </w:pPr>
            <w:r>
              <w:rPr>
                <w:rFonts w:hint="default" w:ascii="Times New Roman" w:hAnsi="Times New Roman" w:eastAsia="黑体" w:cs="Times New Roman"/>
                <w:b/>
                <w:color w:val="000000" w:themeColor="text1"/>
                <w14:textFill>
                  <w14:solidFill>
                    <w14:schemeClr w14:val="tx1"/>
                  </w14:solidFill>
                </w14:textFill>
              </w:rPr>
              <w:t>2、</w:t>
            </w:r>
            <w:r>
              <w:rPr>
                <w:rFonts w:hint="default" w:ascii="Times New Roman" w:hAnsi="Times New Roman" w:eastAsia="黑体" w:cs="Times New Roman"/>
                <w:bCs/>
                <w:color w:val="000000" w:themeColor="text1"/>
                <w14:textFill>
                  <w14:solidFill>
                    <w14:schemeClr w14:val="tx1"/>
                  </w14:solidFill>
                </w14:textFill>
              </w:rPr>
              <w:t>选题研究的理论及实践意义</w:t>
            </w:r>
          </w:p>
          <w:p w14:paraId="3C89E2AD">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（1）选题研究的理论意义</w:t>
            </w:r>
          </w:p>
          <w:p w14:paraId="66C06292">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本研究以 Vue 生态技术栈为核心，探索移动端游戏陪玩系统的架构设计与功能实现逻辑，丰富了 Vue 框架在垂直领域（游戏服务类）的应用研究，为同类移动端服务型系统的开发提供了理论参考。同时，通过梳理游戏陪玩行业的业务流程，构建了 “用户 - 陪玩 - 管理员” 三方协同的系统模型，完善了服务类系统的需求分析和模块设计理论体系。</w:t>
            </w:r>
          </w:p>
          <w:p w14:paraId="74298A40">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（2）实践意义</w:t>
            </w:r>
          </w:p>
          <w:p w14:paraId="3B974876">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通过开发基于 VUE 的移动端游戏陪玩系统，解决传统游戏陪玩模式的核心痛点：普通用户可精准筛选陪玩、便捷预约服务并追溯订单；陪玩人员可规范化管理服务内容、清晰查看收益；管理员可高效审核陪玩资质、管控订单和资金结算。系统实现了服务流程的全线上化，提升行业服务效率和规范化程度，同时降低运营管理成本，为游戏陪玩平台的商业化落地提供可落地的技术方案。</w:t>
            </w:r>
          </w:p>
          <w:p w14:paraId="7BC59FFB">
            <w:pPr>
              <w:keepNext w:val="0"/>
              <w:keepLines w:val="0"/>
              <w:suppressLineNumbers w:val="0"/>
              <w:spacing w:before="0" w:beforeAutospacing="0" w:after="0" w:afterAutospacing="0" w:line="400" w:lineRule="exact"/>
              <w:ind w:left="0" w:right="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3、国内外的研究现状</w:t>
            </w:r>
          </w:p>
          <w:p w14:paraId="66690ED7">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（1）国内研究现状</w:t>
            </w:r>
          </w:p>
          <w:p w14:paraId="314932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近年来，随着电子竞技产业的蓬勃发展和游戏社交属性的不断强化，游戏陪玩作为一种新兴的数字服务形态迅速崛起。李豪悦</w:t>
            </w:r>
            <w:r>
              <w:rPr>
                <w:rFonts w:hint="eastAsia"/>
                <w:sz w:val="21"/>
                <w:szCs w:val="21"/>
                <w:vertAlign w:val="superscript"/>
              </w:rPr>
              <w:t>[1]</w:t>
            </w:r>
            <w:r>
              <w:rPr>
                <w:rFonts w:hint="eastAsia"/>
                <w:sz w:val="21"/>
                <w:szCs w:val="21"/>
              </w:rPr>
              <w:t>指出，电竞产业链已从赛事运营向多元化衍生服务拓展，其中陪玩经济成为不可忽视的增长点，尤其在移动端用户激增的背景下，轻量化、即时化的陪玩平台需求日益旺盛。这一趋势为民办高校学生创业或技术实践提供了现实土壤，也为基于Vue的移动端陪玩系统开发奠定了市场基础。</w:t>
            </w:r>
          </w:p>
          <w:p w14:paraId="3BAA64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《2025年1—6月中国游戏产业报告》数据显示，中国游戏用户规模已突破6.8亿，其中移动端占比超75%，且社交类、竞技类游戏持续占据主流</w:t>
            </w:r>
            <w:r>
              <w:rPr>
                <w:rFonts w:hint="eastAsia"/>
                <w:sz w:val="21"/>
                <w:szCs w:val="21"/>
                <w:vertAlign w:val="superscript"/>
              </w:rPr>
              <w:t>[2]</w:t>
            </w:r>
            <w:r>
              <w:rPr>
                <w:rFonts w:hint="eastAsia"/>
                <w:sz w:val="21"/>
                <w:szCs w:val="21"/>
              </w:rPr>
              <w:t>。该报告特别提到，陪玩服务作为“游戏+社交+情感消费”的融合产物，正从边缘走向中心，平台化、规范化成为行业发展方向。这表明，构建一个结构清晰、交互流畅、安全可靠的陪玩系统具有明确的应用价值。</w:t>
            </w:r>
          </w:p>
          <w:p w14:paraId="22398B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在技术实现层面，张敏</w:t>
            </w:r>
            <w:r>
              <w:rPr>
                <w:rFonts w:hint="eastAsia"/>
                <w:sz w:val="21"/>
                <w:szCs w:val="21"/>
                <w:vertAlign w:val="superscript"/>
              </w:rPr>
              <w:t>[3]</w:t>
            </w:r>
            <w:r>
              <w:rPr>
                <w:rFonts w:hint="eastAsia"/>
                <w:sz w:val="21"/>
                <w:szCs w:val="21"/>
              </w:rPr>
              <w:t>研究了基于人工智能的移动端H5网页设计优化策略，提出通过懒加载、组件缓存与骨架屏等手段提升首屏加载速度与用户体验。由于陪玩系统多以H5或混合App形式部署于微信、抖音等超级App内，其研究成果可直接用于优化本系统的前端性能，确保低延迟、高响应的交互体验。</w:t>
            </w:r>
          </w:p>
          <w:p w14:paraId="483D08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项露芬等人</w:t>
            </w:r>
            <w:r>
              <w:rPr>
                <w:rFonts w:hint="eastAsia"/>
                <w:sz w:val="21"/>
                <w:szCs w:val="21"/>
                <w:vertAlign w:val="superscript"/>
              </w:rPr>
              <w:t>[4]</w:t>
            </w:r>
            <w:r>
              <w:rPr>
                <w:rFonts w:hint="eastAsia"/>
                <w:sz w:val="21"/>
                <w:szCs w:val="21"/>
              </w:rPr>
              <w:t>基于Vue和Node.js开发了音乐门票管理系统，采用前后端分离架构，前端使用Vue 3组合式API管理状态，后端通过RESTful接口提供数据服务。该系统实现了用户认证、订单管理、支付回调等核心功能，其技术栈与本课题高度相似，验证了Vue在构建高交互性移动端业务系统中的成熟性与可行性。</w:t>
            </w:r>
          </w:p>
          <w:p w14:paraId="0DC324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丁子木等</w:t>
            </w:r>
            <w:r>
              <w:rPr>
                <w:rFonts w:hint="eastAsia"/>
                <w:sz w:val="21"/>
                <w:szCs w:val="21"/>
                <w:vertAlign w:val="superscript"/>
              </w:rPr>
              <w:t>[5]</w:t>
            </w:r>
            <w:r>
              <w:rPr>
                <w:rFonts w:hint="eastAsia"/>
                <w:sz w:val="21"/>
                <w:szCs w:val="21"/>
              </w:rPr>
              <w:t>深入探讨了Vue框架中MVVM（Model-View-ViewModel）思想的实践路径，强调响应式数据绑定与组件化开发对提升代码可维护性的关键作用。在陪玩系统中，如实时聊天、订单状态更新、陪玩员在线状态同步等功能，均可通过Vue的响应式机制高效实现，减少手动DOM操作，提升开发效率与系统稳定性。</w:t>
            </w:r>
          </w:p>
          <w:p w14:paraId="14A1FA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从社会学视角看，Nicole</w:t>
            </w:r>
            <w:r>
              <w:rPr>
                <w:rFonts w:hint="eastAsia"/>
                <w:sz w:val="21"/>
                <w:szCs w:val="21"/>
                <w:vertAlign w:val="superscript"/>
              </w:rPr>
              <w:t>[6]</w:t>
            </w:r>
            <w:r>
              <w:rPr>
                <w:rFonts w:hint="eastAsia"/>
                <w:sz w:val="21"/>
                <w:szCs w:val="21"/>
              </w:rPr>
              <w:t>探讨了职业电竞选手退役后转向陪玩行业的现象，指出陪玩不仅是收入来源，更是一种技能延续与身份转换。这一观察揭示了陪玩服务的专业性与可持续性，提示系统设计需支持陪玩员资质认证、技能标签、服务评价等机制，以建立信任生态。</w:t>
            </w:r>
          </w:p>
          <w:p w14:paraId="55D7F5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杨明慧</w:t>
            </w:r>
            <w:r>
              <w:rPr>
                <w:rFonts w:hint="eastAsia"/>
                <w:sz w:val="21"/>
                <w:szCs w:val="21"/>
                <w:vertAlign w:val="superscript"/>
              </w:rPr>
              <w:t>[7]</w:t>
            </w:r>
            <w:r>
              <w:rPr>
                <w:rFonts w:hint="eastAsia"/>
                <w:sz w:val="21"/>
                <w:szCs w:val="21"/>
              </w:rPr>
              <w:t>分析了我国网络游戏行业的发展现状，强调平台需加强内容审核与用户行为监管，防止陪玩过程中出现不当言论或灰色交易。这要求本系统在架构设计中嵌入敏感词过滤、举报反馈与实名认证模块，确保合规运营。</w:t>
            </w:r>
          </w:p>
          <w:p w14:paraId="0D072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eastAsia="宋体"/>
                <w:sz w:val="21"/>
                <w:szCs w:val="21"/>
                <w:lang w:eastAsia="zh-CN"/>
              </w:rPr>
            </w:pPr>
            <w:r>
              <w:rPr>
                <w:rFonts w:hint="eastAsia"/>
                <w:sz w:val="21"/>
                <w:szCs w:val="21"/>
              </w:rPr>
              <w:t>翁雨泓</w:t>
            </w:r>
            <w:r>
              <w:rPr>
                <w:rFonts w:hint="eastAsia"/>
                <w:sz w:val="21"/>
                <w:szCs w:val="21"/>
                <w:vertAlign w:val="superscript"/>
              </w:rPr>
              <w:t>[8]</w:t>
            </w:r>
            <w:r>
              <w:rPr>
                <w:rFonts w:hint="eastAsia"/>
                <w:sz w:val="21"/>
                <w:szCs w:val="21"/>
              </w:rPr>
              <w:t>、李敏</w:t>
            </w:r>
            <w:r>
              <w:rPr>
                <w:rFonts w:hint="eastAsia"/>
                <w:sz w:val="21"/>
                <w:szCs w:val="21"/>
                <w:vertAlign w:val="superscript"/>
              </w:rPr>
              <w:t>[9]</w:t>
            </w:r>
            <w:r>
              <w:rPr>
                <w:rFonts w:hint="eastAsia"/>
                <w:sz w:val="21"/>
                <w:szCs w:val="21"/>
              </w:rPr>
              <w:t>、芦璐</w:t>
            </w:r>
            <w:r>
              <w:rPr>
                <w:rFonts w:hint="eastAsia"/>
                <w:sz w:val="21"/>
                <w:szCs w:val="21"/>
                <w:vertAlign w:val="superscript"/>
              </w:rPr>
              <w:t>[10]</w:t>
            </w:r>
            <w:r>
              <w:rPr>
                <w:rFonts w:hint="eastAsia"/>
                <w:sz w:val="21"/>
                <w:szCs w:val="21"/>
              </w:rPr>
              <w:t>及鲍安然</w:t>
            </w:r>
            <w:r>
              <w:rPr>
                <w:rFonts w:hint="eastAsia"/>
                <w:sz w:val="21"/>
                <w:szCs w:val="21"/>
                <w:vertAlign w:val="superscript"/>
              </w:rPr>
              <w:t>[11]</w:t>
            </w:r>
            <w:r>
              <w:rPr>
                <w:rFonts w:hint="eastAsia"/>
                <w:sz w:val="21"/>
                <w:szCs w:val="21"/>
              </w:rPr>
              <w:t>等学者从关系劳动、情感消费与社交建构等角度深入剖析了游戏陪玩的社会意义。他们普遍认为，陪玩不仅是技术辅助，更是情感陪伴与社交互动。对本系统具有借鉴意义</w:t>
            </w:r>
            <w:r>
              <w:rPr>
                <w:rFonts w:hint="eastAsia"/>
                <w:sz w:val="21"/>
                <w:szCs w:val="21"/>
                <w:lang w:eastAsia="zh-CN"/>
              </w:rPr>
              <w:t>。</w:t>
            </w:r>
          </w:p>
          <w:p w14:paraId="04F7C0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在系统架构方面，王伟等</w:t>
            </w:r>
            <w:r>
              <w:rPr>
                <w:rFonts w:hint="eastAsia"/>
                <w:sz w:val="21"/>
                <w:szCs w:val="21"/>
                <w:vertAlign w:val="superscript"/>
              </w:rPr>
              <w:t>[12]</w:t>
            </w:r>
            <w:r>
              <w:rPr>
                <w:rFonts w:hint="eastAsia"/>
                <w:sz w:val="21"/>
                <w:szCs w:val="21"/>
              </w:rPr>
              <w:t>基于前后端分离模式设计企业档案管理系统，采用Vue + Axios + Spring Boot技术栈，实现了权限控制与数据隔离。该模式同样适用于陪玩系统——前端负责展示陪玩员列表、聊天界面与订单流程，后端处理匹配算法、支付逻辑与消息推送，对本系统具有借鉴意义</w:t>
            </w:r>
            <w:r>
              <w:rPr>
                <w:rFonts w:hint="eastAsia"/>
                <w:sz w:val="21"/>
                <w:szCs w:val="21"/>
                <w:lang w:eastAsia="zh-CN"/>
              </w:rPr>
              <w:t>。</w:t>
            </w:r>
          </w:p>
          <w:p w14:paraId="1FDEA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李航等</w:t>
            </w:r>
            <w:r>
              <w:rPr>
                <w:rFonts w:hint="eastAsia"/>
                <w:sz w:val="21"/>
                <w:szCs w:val="21"/>
                <w:vertAlign w:val="superscript"/>
              </w:rPr>
              <w:t>[13]</w:t>
            </w:r>
            <w:r>
              <w:rPr>
                <w:rFonts w:hint="eastAsia"/>
                <w:sz w:val="21"/>
                <w:szCs w:val="21"/>
              </w:rPr>
              <w:t>在智慧农业物联网系统中也采用了类似架构，进一步证明前后端分离在高并发、多终端场景下的优势。尽管领域不同，但其对WebSocket实时通信、JWT身份验证等技术的应用经验，对本系统具有借鉴意义。</w:t>
            </w:r>
          </w:p>
          <w:p w14:paraId="6C17D9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eastAsia"/>
                <w:sz w:val="21"/>
                <w:szCs w:val="21"/>
              </w:rPr>
              <w:t>周西亚</w:t>
            </w:r>
            <w:r>
              <w:rPr>
                <w:rFonts w:hint="eastAsia"/>
                <w:sz w:val="21"/>
                <w:szCs w:val="21"/>
                <w:vertAlign w:val="superscript"/>
              </w:rPr>
              <w:t>[14]</w:t>
            </w:r>
            <w:r>
              <w:rPr>
                <w:rFonts w:hint="eastAsia"/>
                <w:sz w:val="21"/>
                <w:szCs w:val="21"/>
              </w:rPr>
              <w:t>与铁彦辉</w:t>
            </w:r>
            <w:r>
              <w:rPr>
                <w:rFonts w:hint="eastAsia"/>
                <w:sz w:val="21"/>
                <w:szCs w:val="21"/>
                <w:vertAlign w:val="superscript"/>
              </w:rPr>
              <w:t>[15]</w:t>
            </w:r>
            <w:r>
              <w:rPr>
                <w:rFonts w:hint="eastAsia"/>
                <w:sz w:val="21"/>
                <w:szCs w:val="21"/>
              </w:rPr>
              <w:t>较早关注陪玩群体的职业困境与情感劳动异化问题，提醒平台设计应避免过度商品化人际关系。这启示本系统在UI/UX设计中需弱化“买卖感”，强化“伙伴感”，例如用“组队”“开黑”替代“下单”“雇佣”等词汇，营造平等友好的社区文化。</w:t>
            </w:r>
          </w:p>
          <w:p w14:paraId="28F621E9">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（2）国外研究现状</w:t>
            </w:r>
          </w:p>
          <w:p w14:paraId="5F2C7D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国际研究方面，Grizioti</w:t>
            </w:r>
            <w:r>
              <w:rPr>
                <w:rFonts w:hint="eastAsia"/>
                <w:sz w:val="21"/>
                <w:szCs w:val="21"/>
                <w:vertAlign w:val="superscript"/>
              </w:rPr>
              <w:t>[16]</w:t>
            </w:r>
            <w:r>
              <w:rPr>
                <w:rFonts w:hint="eastAsia"/>
                <w:sz w:val="21"/>
                <w:szCs w:val="21"/>
              </w:rPr>
              <w:t>探讨了游戏中的计算思维实践，虽未直接涉及陪玩，但其对游戏内协作机制的分析有助于理解用户在多人游戏中的互动需求。Baker等</w:t>
            </w:r>
            <w:r>
              <w:rPr>
                <w:rFonts w:hint="eastAsia"/>
                <w:sz w:val="21"/>
                <w:szCs w:val="21"/>
                <w:vertAlign w:val="superscript"/>
              </w:rPr>
              <w:t>[17]</w:t>
            </w:r>
            <w:r>
              <w:rPr>
                <w:rFonts w:hint="eastAsia"/>
                <w:sz w:val="21"/>
                <w:szCs w:val="21"/>
              </w:rPr>
              <w:t>发现性别因素会影响玩家在数字游戏中的学习与协作行为，提示系统在匹配算法中可考虑用户偏好设置（如是否接受异性陪玩），提升匹配满意度。</w:t>
            </w:r>
          </w:p>
          <w:p w14:paraId="546681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eastAsia"/>
                <w:sz w:val="21"/>
                <w:szCs w:val="21"/>
              </w:rPr>
            </w:pPr>
            <w:r>
              <w:rPr>
                <w:rFonts w:hint="eastAsia"/>
                <w:sz w:val="21"/>
                <w:szCs w:val="21"/>
              </w:rPr>
              <w:t>Shen等</w:t>
            </w:r>
            <w:r>
              <w:rPr>
                <w:rFonts w:hint="eastAsia"/>
                <w:sz w:val="21"/>
                <w:szCs w:val="21"/>
                <w:vertAlign w:val="superscript"/>
              </w:rPr>
              <w:t>[18]</w:t>
            </w:r>
            <w:r>
              <w:rPr>
                <w:rFonts w:hint="eastAsia"/>
                <w:sz w:val="21"/>
                <w:szCs w:val="21"/>
              </w:rPr>
              <w:t>将大数据应用于游戏系统统计分析，提出通过用户行为日志优化服务推荐。本系统可借鉴此思路，记录用户常玩游戏、陪玩时长、评分倾向等数据，构建个性化推荐模型。Lianghuan等</w:t>
            </w:r>
            <w:r>
              <w:rPr>
                <w:rFonts w:hint="eastAsia"/>
                <w:sz w:val="21"/>
                <w:szCs w:val="21"/>
                <w:vertAlign w:val="superscript"/>
              </w:rPr>
              <w:t>[19]</w:t>
            </w:r>
            <w:r>
              <w:rPr>
                <w:rFonts w:hint="eastAsia"/>
                <w:sz w:val="21"/>
                <w:szCs w:val="21"/>
              </w:rPr>
              <w:t>探索了区块链在游戏系统中的应用，虽技术复杂度较高，但其关于数据不可篡改与交易透明的理念，可为未来引入去中心化评价或积分体系提供参考。Cevin</w:t>
            </w:r>
            <w:r>
              <w:rPr>
                <w:rFonts w:hint="eastAsia"/>
                <w:sz w:val="21"/>
                <w:szCs w:val="21"/>
                <w:vertAlign w:val="superscript"/>
              </w:rPr>
              <w:t>[20]</w:t>
            </w:r>
            <w:r>
              <w:rPr>
                <w:rFonts w:hint="eastAsia"/>
                <w:sz w:val="21"/>
                <w:szCs w:val="21"/>
              </w:rPr>
              <w:t>则验证了移动游戏系统对协作学习的促进作用，间接支持陪玩作为“协作型游戏服务”的教育与社交价值。</w:t>
            </w:r>
          </w:p>
          <w:p w14:paraId="65DA69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eastAsia"/>
                <w:sz w:val="21"/>
                <w:szCs w:val="21"/>
              </w:rPr>
              <w:t>综上所述，近3–5年国内外研究从产业趋势、技术实现、社会影响与系统架构等多个维度为基于Vue的移动端游戏陪玩系统提供了丰富理论支撑与实践参考。现有成果表明，此类系统需兼顾高性能前端交互、安全可靠的后端逻辑与人性化的情感设计。本课题将在继承Vue生态优势基础上，聚焦移动端适配、实时通信与信任机制构建，打造一个轻量、安全、有温度的游戏陪伴平台。</w:t>
            </w:r>
          </w:p>
          <w:p w14:paraId="33629BB6">
            <w:pPr>
              <w:keepNext w:val="0"/>
              <w:keepLines w:val="0"/>
              <w:suppressLineNumbers w:val="0"/>
              <w:spacing w:before="0" w:beforeAutospacing="0" w:after="0" w:afterAutospacing="0" w:line="400" w:lineRule="exact"/>
              <w:ind w:left="0" w:right="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4、选题拟解决的问题</w:t>
            </w:r>
          </w:p>
          <w:p w14:paraId="178B0ADE">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本研究通过设计并实现基于 VUE 的移动端游戏陪玩系统，重点解决以下问题：</w:t>
            </w:r>
          </w:p>
          <w:p w14:paraId="60E7030A">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普通用户端：解决游戏陪玩筛选效率低、预约流程繁琐、订单记录零散的问题，实现精准筛选、一键预约、订单可追溯；</w:t>
            </w:r>
          </w:p>
          <w:p w14:paraId="18B6F7A8">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陪玩端：解决服务内容管理混乱、接单通知不及时、收益明细不清晰的问题，实现角色切换、服务维护、收益可视化；</w:t>
            </w:r>
          </w:p>
          <w:p w14:paraId="293861CC">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管理端：解决游戏品类管理无序、陪玩审核效率低、订单和资金管控难的问题，实现游戏增删改查、资质审核、异常订单处理、资金结算；</w:t>
            </w:r>
          </w:p>
          <w:p w14:paraId="58BE2C9A">
            <w:pPr>
              <w:keepNext w:val="0"/>
              <w:keepLines w:val="0"/>
              <w:suppressLineNumbers w:val="0"/>
              <w:spacing w:before="0" w:beforeAutospacing="0" w:after="0" w:afterAutospacing="0" w:line="400" w:lineRule="exact"/>
              <w:ind w:left="0" w:right="0" w:firstLine="420" w:firstLineChars="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技术层面：基于 Uniapp+Vue3.0+TS 实现移动端跨平台适配，基于 Vue+Element-Plus 实现后台管理端高效开发，基于 Node+MySQL 保障后端数据处理和存储的稳定性，解决多端数据同步、权限管控的核心技术问题。</w:t>
            </w:r>
          </w:p>
          <w:p w14:paraId="4E3B7F5B">
            <w:pPr>
              <w:keepNext w:val="0"/>
              <w:keepLines w:val="0"/>
              <w:numPr>
                <w:ilvl w:val="0"/>
                <w:numId w:val="1"/>
              </w:numPr>
              <w:suppressLineNumbers w:val="0"/>
              <w:spacing w:before="0" w:beforeAutospacing="0" w:after="0" w:afterAutospacing="0" w:line="440" w:lineRule="exact"/>
              <w:ind w:right="0"/>
              <w:jc w:val="left"/>
              <w:rPr>
                <w:rFonts w:hint="default" w:ascii="Times New Roman" w:hAnsi="Times New Roman" w:eastAsia="黑体" w:cs="Times New Roman"/>
                <w:bCs/>
                <w:color w:val="000000" w:themeColor="text1"/>
                <w14:textFill>
                  <w14:solidFill>
                    <w14:schemeClr w14:val="tx1"/>
                  </w14:solidFill>
                </w14:textFill>
              </w:rPr>
            </w:pPr>
            <w:r>
              <w:rPr>
                <w:rFonts w:hint="default" w:ascii="Times New Roman" w:hAnsi="Times New Roman" w:eastAsia="黑体" w:cs="Times New Roman"/>
                <w:bCs/>
                <w:color w:val="000000" w:themeColor="text1"/>
                <w14:textFill>
                  <w14:solidFill>
                    <w14:schemeClr w14:val="tx1"/>
                  </w14:solidFill>
                </w14:textFill>
              </w:rPr>
              <w:t>创新点</w:t>
            </w:r>
          </w:p>
          <w:p w14:paraId="420B1EE1">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（1）多端技术适配：前端采用 Uniapp+Vue3.0+TS 开发移动端客户端，一套代码适配多平台，降低开发成本；后台管理端基于 Vue+Element-Plus 实现轻量化、高交互性的管理界面，适配管理员操作习惯。</w:t>
            </w:r>
          </w:p>
          <w:p w14:paraId="3DDB44F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（2）多角色权限精细化管控：针对普通用户、陪玩、管理员设计差异化权限模块，支持陪玩 / 普通用户角色灵活切换，保障不同角色操作边界清晰。</w:t>
            </w:r>
          </w:p>
          <w:p w14:paraId="55ABA42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（3）全流程订单闭环管理：覆盖 “用户下单 - 陪玩接单 - 服务执行 - 订单确认 - 收益结算” 全流程，实现订单状态实时同步、异常订单可追溯。</w:t>
            </w:r>
          </w:p>
          <w:p w14:paraId="29E3F57D">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（4）游戏品类联动管理：管理员对游戏品类的增删改查操作，可实时同步至陪玩资料提交、用户筛选环节，实现游戏品类全系统联动。</w:t>
            </w:r>
          </w:p>
          <w:p w14:paraId="7FB1A7AE">
            <w:pPr>
              <w:keepNext w:val="0"/>
              <w:keepLines w:val="0"/>
              <w:numPr>
                <w:ilvl w:val="0"/>
                <w:numId w:val="0"/>
              </w:numPr>
              <w:suppressLineNumbers w:val="0"/>
              <w:spacing w:before="0" w:beforeAutospacing="0" w:after="0" w:afterAutospacing="0" w:line="440" w:lineRule="exact"/>
              <w:ind w:left="480" w:leftChars="0" w:right="0" w:rightChars="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（5）资金结算可视化：陪玩端可查看收益明细，管理端可统一管控结算流程，实现资金数据透明化、可追溯。</w:t>
            </w:r>
          </w:p>
          <w:p w14:paraId="57989DC3">
            <w:pPr>
              <w:keepNext w:val="0"/>
              <w:keepLines w:val="0"/>
              <w:numPr>
                <w:ilvl w:val="0"/>
                <w:numId w:val="1"/>
              </w:numPr>
              <w:suppressLineNumbers w:val="0"/>
              <w:spacing w:before="0" w:beforeAutospacing="0" w:after="0" w:afterAutospacing="0" w:line="440" w:lineRule="exact"/>
              <w:ind w:right="0"/>
              <w:jc w:val="left"/>
              <w:rPr>
                <w:rFonts w:hint="default" w:ascii="Times New Roman" w:hAnsi="Times New Roman" w:eastAsia="黑体" w:cs="Times New Roman"/>
                <w:bCs/>
                <w:color w:val="000000" w:themeColor="text1"/>
                <w:lang w:val="en-US" w:eastAsia="zh-CN"/>
                <w14:textFill>
                  <w14:solidFill>
                    <w14:schemeClr w14:val="tx1"/>
                  </w14:solidFill>
                </w14:textFill>
              </w:rPr>
            </w:pPr>
            <w:r>
              <w:rPr>
                <w:rFonts w:hint="default" w:ascii="Times New Roman" w:hAnsi="Times New Roman" w:eastAsia="黑体" w:cs="Times New Roman"/>
                <w:bCs/>
                <w:color w:val="000000" w:themeColor="text1"/>
                <w:lang w:val="en-US" w:eastAsia="zh-CN"/>
                <w14:textFill>
                  <w14:solidFill>
                    <w14:schemeClr w14:val="tx1"/>
                  </w14:solidFill>
                </w14:textFill>
              </w:rPr>
              <w:t>参考文献</w:t>
            </w:r>
          </w:p>
          <w:p w14:paraId="2D0ED96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李豪悦. 电竞“钱”景 不止赛事[N]. 证券日报, 2025-11-10 (B02).</w:t>
            </w:r>
          </w:p>
          <w:p w14:paraId="52D84145">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2025年1—6月中国游戏产业发展概况分析——基于《2025年1—6月中国游戏产业报告》数据 [J]. 中国数字出版, 2025, 3 (05): 93-97.</w:t>
            </w:r>
          </w:p>
          <w:p w14:paraId="4BB46E6F">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张敏. 基于人工智能的移动端H5网页设计优化研究 [J]. 信息记录材料, 2025, 26 (07): 50-52. </w:t>
            </w:r>
          </w:p>
          <w:p w14:paraId="13A66B7E">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项露芬,孙佳怡,李梦婷. 基于Vue和Node.js的音乐门票管理系统的设计与实现 [J]. 现代信息科技, 2025, 9 (11): 96-101. </w:t>
            </w:r>
          </w:p>
          <w:p w14:paraId="40A281EB">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丁子木,刘美彤,韩梦杰,等. Vue框架中的MVVM思想的实践与优化 [J]. 电脑编程技巧与维护, 2025, (04): 76-78. </w:t>
            </w:r>
          </w:p>
          <w:p w14:paraId="67AC430C">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Nicole . 离场之后,陪玩是否为职业选手轻松之选? [J]. 电子竞技, 2024, (10): 75-77.</w:t>
            </w:r>
          </w:p>
          <w:p w14:paraId="5CE2E5D9">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杨明慧. 我国网络游戏行业现状及发展对策探讨 [J]. 今日财富, 2024, (16): 35-37.</w:t>
            </w:r>
          </w:p>
          <w:p w14:paraId="635CC69E">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翁雨泓. 网络游戏陪玩青年的关系劳动研究[D]. 西南大学, 2024. </w:t>
            </w:r>
          </w:p>
          <w:p w14:paraId="73F37DAA">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李敏. 电子游戏陪玩的情感消费实践探究[D]. 赣南师范大学, 2024. </w:t>
            </w:r>
          </w:p>
          <w:p w14:paraId="12C0E16B">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芦璐. 网络游戏陪玩的社交关系研究[D]. 中央民族大学, 2024. </w:t>
            </w:r>
          </w:p>
          <w:p w14:paraId="3F960F55">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鲍安然. 购买陪伴：游戏陪玩与消费者的关系建构研究[D]. 广东外语外贸大学, 2024. </w:t>
            </w:r>
          </w:p>
          <w:p w14:paraId="25EBEEF2">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王伟,丁佳浩,叶红阳,等. 基于前后端分离架构的某企业档案管理系统设计与实现 [J]. 现代信息科技, 2024, 8 (06): 11-14. </w:t>
            </w:r>
          </w:p>
          <w:p w14:paraId="7D33981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李航,董安明,禹继国,等. 基于前后端分离架构的智慧农业物联网系统设计 [J]. 现代电子技术, 2022, 45 (14): 63-68. </w:t>
            </w:r>
          </w:p>
          <w:p w14:paraId="15C9DB52">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周西亚. 游戏陪玩群体的职业和生活[D]. 苏州大学, 2022.</w:t>
            </w:r>
          </w:p>
          <w:p w14:paraId="77516E5D">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铁彦辉. 游戏资本主义下陪玩的情感劳动研究[D]. 深圳大学, 2022. </w:t>
            </w:r>
          </w:p>
          <w:p w14:paraId="3762A473">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Grizioti M . Computational thinking beyond coding: exploring student computational practices while playing and modifying a socio-scientific simulation game with integrated computational tools [J]. Educational technology research and development, 2025, 73 (4): 1-28. </w:t>
            </w:r>
          </w:p>
          <w:p w14:paraId="76F4858A">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Baker S R ,Richey E J ,Zhang J , et al. Gaming the system mediates the relationship between gender and learning outcomes in a digital learning game [J]. Instructional Science, 2024, 53 (2): 1-36. </w:t>
            </w:r>
          </w:p>
          <w:p w14:paraId="194D22A3">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Shen J ,Wu K ,Liu Y . Application of Big Data to Common Statistical Methods Based on Game Systems [J]. Asian Journal of Probability and Statistics, 2023, 22 (4): 49-59. </w:t>
            </w:r>
          </w:p>
          <w:p w14:paraId="04AA44BF">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Lianghuan Z ,Yuhao G ,Chao Q . Blockchain-Enabled Automatic Learning Method for Digital Gaming Systems Based on Big Data [J]. International Journal of Gaming and Computer-Mediated Simulations (IJGCMS), 2022, 14 (2): 1-22. </w:t>
            </w:r>
          </w:p>
          <w:p w14:paraId="17CECEF0">
            <w:pPr>
              <w:keepNext w:val="0"/>
              <w:keepLines w:val="0"/>
              <w:numPr>
                <w:ilvl w:val="0"/>
                <w:numId w:val="2"/>
              </w:numPr>
              <w:suppressLineNumbers w:val="0"/>
              <w:spacing w:before="0" w:beforeAutospacing="0" w:after="0" w:afterAutospacing="0" w:line="440" w:lineRule="exact"/>
              <w:ind w:left="480" w:leftChars="0" w:right="0" w:rightChars="0"/>
              <w:jc w:val="both"/>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 xml:space="preserve">Cevin Z . Evaluating the Impact of a Mobile Gaming System on the Collaborative Learning Process in a Hospitality Business Simulator [J]. Mobile Information Systems, 2022, 2022 </w:t>
            </w:r>
          </w:p>
          <w:p w14:paraId="7DA5AA34">
            <w:pPr>
              <w:keepNext w:val="0"/>
              <w:keepLines w:val="0"/>
              <w:widowControl w:val="0"/>
              <w:numPr>
                <w:ilvl w:val="0"/>
                <w:numId w:val="0"/>
              </w:numPr>
              <w:suppressLineNumbers w:val="0"/>
              <w:tabs>
                <w:tab w:val="left" w:pos="312"/>
              </w:tabs>
              <w:spacing w:before="0" w:beforeAutospacing="0" w:after="0" w:afterAutospacing="0" w:line="440" w:lineRule="exact"/>
              <w:ind w:left="0" w:right="0" w:rightChars="0"/>
              <w:jc w:val="left"/>
              <w:rPr>
                <w:rFonts w:hint="default" w:ascii="Times New Roman" w:hAnsi="Times New Roman" w:cs="Times New Roman"/>
                <w:color w:val="000000" w:themeColor="text1"/>
                <w:lang w:val="en-US" w:eastAsia="zh-CN"/>
                <w14:textFill>
                  <w14:solidFill>
                    <w14:schemeClr w14:val="tx1"/>
                  </w14:solidFill>
                </w14:textFill>
              </w:rPr>
            </w:pPr>
          </w:p>
          <w:p w14:paraId="19E28AF0">
            <w:pPr>
              <w:keepNext w:val="0"/>
              <w:keepLines w:val="0"/>
              <w:widowControl w:val="0"/>
              <w:numPr>
                <w:ilvl w:val="0"/>
                <w:numId w:val="0"/>
              </w:numPr>
              <w:suppressLineNumbers w:val="0"/>
              <w:tabs>
                <w:tab w:val="left" w:pos="312"/>
              </w:tabs>
              <w:spacing w:before="0" w:beforeAutospacing="0" w:after="0" w:afterAutospacing="0" w:line="440" w:lineRule="exact"/>
              <w:ind w:left="0" w:right="0" w:rightChars="0"/>
              <w:jc w:val="left"/>
              <w:rPr>
                <w:rFonts w:hint="default" w:ascii="Times New Roman" w:hAnsi="Times New Roman" w:cs="Times New Roman"/>
                <w:color w:val="000000" w:themeColor="text1"/>
                <w:lang w:val="en-US" w:eastAsia="zh-CN"/>
                <w14:textFill>
                  <w14:solidFill>
                    <w14:schemeClr w14:val="tx1"/>
                  </w14:solidFill>
                </w14:textFill>
              </w:rPr>
            </w:pPr>
          </w:p>
        </w:tc>
      </w:tr>
      <w:tr w14:paraId="64FF75F7">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59E1F69A">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主要研究内容（</w:t>
            </w:r>
            <w:r>
              <w:rPr>
                <w:rFonts w:hint="default" w:ascii="Times New Roman" w:hAnsi="Times New Roman" w:cs="Times New Roman"/>
                <w:color w:val="000000" w:themeColor="text1"/>
                <w14:textFill>
                  <w14:solidFill>
                    <w14:schemeClr w14:val="tx1"/>
                  </w14:solidFill>
                </w14:textFill>
              </w:rPr>
              <w:t>含论文目录）</w:t>
            </w:r>
            <w:r>
              <w:rPr>
                <w:rFonts w:hint="default" w:ascii="Times New Roman" w:hAnsi="Times New Roman" w:cs="Times New Roman"/>
                <w:color w:val="000000" w:themeColor="text1"/>
                <w:lang w:val="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研究</w:t>
            </w:r>
            <w:r>
              <w:rPr>
                <w:rFonts w:hint="default" w:ascii="Times New Roman" w:hAnsi="Times New Roman" w:cs="Times New Roman"/>
                <w:color w:val="000000" w:themeColor="text1"/>
                <w:lang w:val="zh-CN"/>
                <w14:textFill>
                  <w14:solidFill>
                    <w14:schemeClr w14:val="tx1"/>
                  </w14:solidFill>
                </w14:textFill>
              </w:rPr>
              <w:t>方法及预期目的</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4CBE4DCF">
            <w:pPr>
              <w:keepNext w:val="0"/>
              <w:keepLines w:val="0"/>
              <w:suppressLineNumbers w:val="0"/>
              <w:autoSpaceDE w:val="0"/>
              <w:autoSpaceDN w:val="0"/>
              <w:spacing w:before="0" w:beforeAutospacing="0" w:after="0" w:afterAutospacing="0"/>
              <w:ind w:left="0" w:right="0"/>
              <w:jc w:val="left"/>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二</w:t>
            </w:r>
            <w:r>
              <w:rPr>
                <w:rFonts w:hint="default" w:ascii="Times New Roman" w:hAnsi="Times New Roman" w:eastAsia="黑体" w:cs="Times New Roman"/>
                <w:b/>
                <w:bCs/>
                <w:color w:val="000000" w:themeColor="text1"/>
                <w:sz w:val="24"/>
                <w:szCs w:val="24"/>
                <w:lang w:val="en-US" w:eastAsia="zh-CN"/>
                <w14:textFill>
                  <w14:solidFill>
                    <w14:schemeClr w14:val="tx1"/>
                  </w14:solidFill>
                </w14:textFill>
              </w:rPr>
              <w:t>、</w:t>
            </w:r>
            <w:r>
              <w:rPr>
                <w:rFonts w:hint="default" w:ascii="Times New Roman" w:hAnsi="Times New Roman" w:cs="Times New Roman"/>
                <w:b/>
                <w:bCs/>
                <w:color w:val="000000" w:themeColor="text1"/>
                <w:sz w:val="24"/>
                <w:szCs w:val="24"/>
                <w:lang w:val="zh-CN"/>
                <w14:textFill>
                  <w14:solidFill>
                    <w14:schemeClr w14:val="tx1"/>
                  </w14:solidFill>
                </w14:textFill>
              </w:rPr>
              <w:t>主要研究内容（</w:t>
            </w:r>
            <w:r>
              <w:rPr>
                <w:rFonts w:hint="default" w:ascii="Times New Roman" w:hAnsi="Times New Roman" w:cs="Times New Roman"/>
                <w:b/>
                <w:bCs/>
                <w:color w:val="000000" w:themeColor="text1"/>
                <w:sz w:val="24"/>
                <w:szCs w:val="24"/>
                <w14:textFill>
                  <w14:solidFill>
                    <w14:schemeClr w14:val="tx1"/>
                  </w14:solidFill>
                </w14:textFill>
              </w:rPr>
              <w:t>含论文目录）</w:t>
            </w:r>
            <w:r>
              <w:rPr>
                <w:rFonts w:hint="default" w:ascii="Times New Roman" w:hAnsi="Times New Roman" w:cs="Times New Roman"/>
                <w:b/>
                <w:bCs/>
                <w:color w:val="000000" w:themeColor="text1"/>
                <w:sz w:val="24"/>
                <w:szCs w:val="24"/>
                <w:lang w:val="zh-CN"/>
                <w14:textFill>
                  <w14:solidFill>
                    <w14:schemeClr w14:val="tx1"/>
                  </w14:solidFill>
                </w14:textFill>
              </w:rPr>
              <w:t>、</w:t>
            </w:r>
            <w:r>
              <w:rPr>
                <w:rFonts w:hint="default" w:ascii="Times New Roman" w:hAnsi="Times New Roman" w:cs="Times New Roman"/>
                <w:b/>
                <w:bCs/>
                <w:color w:val="000000" w:themeColor="text1"/>
                <w:sz w:val="24"/>
                <w:szCs w:val="24"/>
                <w14:textFill>
                  <w14:solidFill>
                    <w14:schemeClr w14:val="tx1"/>
                  </w14:solidFill>
                </w14:textFill>
              </w:rPr>
              <w:t>研究</w:t>
            </w:r>
            <w:r>
              <w:rPr>
                <w:rFonts w:hint="default" w:ascii="Times New Roman" w:hAnsi="Times New Roman" w:cs="Times New Roman"/>
                <w:b/>
                <w:bCs/>
                <w:color w:val="000000" w:themeColor="text1"/>
                <w:sz w:val="24"/>
                <w:szCs w:val="24"/>
                <w:lang w:val="zh-CN"/>
                <w14:textFill>
                  <w14:solidFill>
                    <w14:schemeClr w14:val="tx1"/>
                  </w14:solidFill>
                </w14:textFill>
              </w:rPr>
              <w:t>方法及预期目的</w:t>
            </w:r>
          </w:p>
          <w:p w14:paraId="6A81802D">
            <w:pPr>
              <w:keepNext w:val="0"/>
              <w:keepLines w:val="0"/>
              <w:numPr>
                <w:ilvl w:val="0"/>
                <w:numId w:val="0"/>
              </w:numPr>
              <w:suppressLineNumbers w:val="0"/>
              <w:spacing w:before="0" w:beforeAutospacing="0" w:after="0" w:afterAutospacing="0" w:line="420" w:lineRule="exact"/>
              <w:ind w:left="0" w:leftChars="0" w:right="0"/>
              <w:rPr>
                <w:rFonts w:hint="default" w:ascii="Times New Roman" w:hAnsi="Times New Roman" w:eastAsia="黑体" w:cs="Times New Roman"/>
                <w:bCs/>
                <w:color w:val="000000" w:themeColor="text1"/>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eastAsia="黑体" w:cs="Times New Roman"/>
                <w:bCs/>
                <w:color w:val="000000" w:themeColor="text1"/>
                <w:lang w:val="en-US" w:eastAsia="zh-CN"/>
                <w14:textFill>
                  <w14:solidFill>
                    <w14:schemeClr w14:val="tx1"/>
                  </w14:solidFill>
                </w14:textFill>
              </w:rPr>
              <w:t>、</w:t>
            </w:r>
            <w:r>
              <w:rPr>
                <w:rFonts w:hint="default" w:ascii="Times New Roman" w:hAnsi="Times New Roman" w:eastAsia="黑体" w:cs="Times New Roman"/>
                <w:bCs/>
                <w:color w:val="000000" w:themeColor="text1"/>
                <w14:textFill>
                  <w14:solidFill>
                    <w14:schemeClr w14:val="tx1"/>
                  </w14:solidFill>
                </w14:textFill>
              </w:rPr>
              <w:t>重点研究内容</w:t>
            </w:r>
          </w:p>
          <w:p w14:paraId="572C210D">
            <w:pPr>
              <w:keepNext w:val="0"/>
              <w:keepLines w:val="0"/>
              <w:suppressLineNumbers w:val="0"/>
              <w:spacing w:before="0" w:beforeAutospacing="0" w:after="0" w:afterAutospacing="0"/>
              <w:ind w:left="0" w:right="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object>
                <v:shape id="_x0000_i1025" o:spt="75" type="#_x0000_t75" style="height:247.8pt;width:406.45pt;" o:ole="t" filled="f" o:preferrelative="t" stroked="f" coordsize="21600,21600">
                  <v:path/>
                  <v:fill on="f" focussize="0,0"/>
                  <v:stroke on="f"/>
                  <v:imagedata r:id="rId7" o:title=""/>
                  <o:lock v:ext="edit" aspectratio="f"/>
                  <w10:wrap type="none"/>
                  <w10:anchorlock/>
                </v:shape>
                <o:OLEObject Type="Embed" ProgID="Visio.Drawing.15" ShapeID="_x0000_i1025" DrawAspect="Content" ObjectID="_1468075725" r:id="rId6">
                  <o:LockedField>false</o:LockedField>
                </o:OLEObject>
              </w:object>
            </w:r>
          </w:p>
          <w:p w14:paraId="12005398">
            <w:pPr>
              <w:keepNext w:val="0"/>
              <w:keepLines w:val="0"/>
              <w:suppressLineNumbers w:val="0"/>
              <w:spacing w:before="0" w:beforeAutospacing="0" w:after="0" w:afterAutospacing="0"/>
              <w:ind w:left="0" w:right="0" w:firstLine="480"/>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图1基于 VUE 的移动端游戏陪玩系统</w:t>
            </w:r>
          </w:p>
          <w:p w14:paraId="1EA1525D">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（1）普通用户模块</w:t>
            </w:r>
          </w:p>
          <w:p w14:paraId="2D3ABD8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账号登录 / 退出：基于 Token 实现用户身份验证，保障登录安全，支持一键退出功能；</w:t>
            </w:r>
          </w:p>
          <w:p w14:paraId="5ABFFE70">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申请成为陪玩：设计资料提交表单，支持用户选择负责游戏品类并上传资质资料；</w:t>
            </w:r>
          </w:p>
          <w:p w14:paraId="62FA1AD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游戏列表与陪玩筛选：对接管理员维护的游戏库，实现按游戏品类、陪玩评分等维度筛选；</w:t>
            </w:r>
          </w:p>
          <w:p w14:paraId="0A6C13B2">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陪玩详情与预约下单：展示陪玩基本信息、负责游戏、服务价格等，支持用户选择服务时长并下单；</w:t>
            </w:r>
          </w:p>
          <w:p w14:paraId="4C8BD31D">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服务通知与确认：实时推送陪玩接单、服务开始 / 结束通知，支持用户发起开始陪玩、确认服务完成操作；</w:t>
            </w:r>
          </w:p>
          <w:p w14:paraId="0FF7FEB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订单记录查看：按时间、服务状态等维度展示订单明细，支持订单详情追溯。</w:t>
            </w:r>
          </w:p>
          <w:p w14:paraId="5C55C4C7">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（2）陪玩模块</w:t>
            </w:r>
          </w:p>
          <w:p w14:paraId="2CE0FA0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角色切换：实现普通用户 / 陪玩角色一键切换，切换后展示对应功能模块；</w:t>
            </w:r>
          </w:p>
          <w:p w14:paraId="7B995CEF">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负责游戏维护：支持陪玩新增、删除、修改负责的游戏品类，同步至管理员审核环节；</w:t>
            </w:r>
          </w:p>
          <w:p w14:paraId="4D854928">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订单通知与接单：实时接收用户预约订单通知，支持确认接单 / 拒绝接单操作；</w:t>
            </w:r>
          </w:p>
          <w:p w14:paraId="2BD9B026">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订单结束与记录：支持陪玩发起结束订单申请，按时间、收益等维度展示接单记录；</w:t>
            </w:r>
          </w:p>
          <w:p w14:paraId="112F5D2A">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收益明细查看：展示每笔订单的收益金额、结算状态，支持按时间段统计收益。</w:t>
            </w:r>
          </w:p>
          <w:p w14:paraId="4F6B2124">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（3）管理员模块</w:t>
            </w:r>
          </w:p>
          <w:p w14:paraId="34EA8F33">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游戏管理：实现游戏品类的新增、删除、修改、查询，数据同步至用户端和陪玩端的游戏列表；</w:t>
            </w:r>
          </w:p>
          <w:p w14:paraId="5D2083AF">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陪玩审核：审核用户提交的陪玩申请资料，校验负责游戏品类的合理性，支持通过 / 驳回操作并备注原因；</w:t>
            </w:r>
          </w:p>
          <w:p w14:paraId="01913168">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用户 / 陪玩管理：查询用户、陪玩的基本信息，维护账号状态（启用 / 禁用）；</w:t>
            </w:r>
          </w:p>
          <w:p w14:paraId="32ECBD15">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订单管理：查看全量订单明细，处理异常订单（如取消、退款），生成订单统计报表；</w:t>
            </w:r>
          </w:p>
          <w:p w14:paraId="17A8BF37">
            <w:pPr>
              <w:keepNext w:val="0"/>
              <w:keepLines w:val="0"/>
              <w:suppressLineNumbers w:val="0"/>
              <w:spacing w:before="0" w:beforeAutospacing="0" w:after="0" w:afterAutospacing="0"/>
              <w:ind w:left="0" w:right="0" w:firstLine="480"/>
              <w:jc w:val="both"/>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资金结算管理：设置结算规则，审核陪玩收益结算申请，记录结算明细。</w:t>
            </w:r>
          </w:p>
          <w:p w14:paraId="330446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cs="Times New Roman"/>
                <w:b/>
                <w:bCs w:val="0"/>
                <w:color w:val="000000" w:themeColor="text1"/>
                <w:kern w:val="2"/>
                <w:sz w:val="21"/>
                <w:szCs w:val="21"/>
                <w:lang w:val="en-US" w:eastAsia="zh-CN" w:bidi="ar"/>
                <w14:textFill>
                  <w14:solidFill>
                    <w14:schemeClr w14:val="tx1"/>
                  </w14:solidFill>
                </w14:textFill>
              </w:rPr>
              <w:t>2.论文</w:t>
            </w:r>
            <w:r>
              <w:rPr>
                <w:rFonts w:hint="default" w:ascii="Times New Roman" w:hAnsi="Times New Roman" w:eastAsia="宋体" w:cs="Times New Roman"/>
                <w:b/>
                <w:bCs w:val="0"/>
                <w:color w:val="000000" w:themeColor="text1"/>
                <w:kern w:val="2"/>
                <w:sz w:val="21"/>
                <w:szCs w:val="21"/>
                <w:lang w:val="en-US" w:eastAsia="zh-CN" w:bidi="ar"/>
                <w14:textFill>
                  <w14:solidFill>
                    <w14:schemeClr w14:val="tx1"/>
                  </w14:solidFill>
                </w14:textFill>
              </w:rPr>
              <w:t>目录</w:t>
            </w:r>
            <w:r>
              <w:rPr>
                <w:rFonts w:hint="default" w:ascii="Times New Roman" w:hAnsi="Times New Roman" w:cs="Times New Roman"/>
                <w:b/>
                <w:bCs w:val="0"/>
                <w:color w:val="000000" w:themeColor="text1"/>
                <w:kern w:val="2"/>
                <w:sz w:val="21"/>
                <w:szCs w:val="21"/>
                <w:lang w:val="en-US" w:eastAsia="zh-CN" w:bidi="ar"/>
                <w14:textFill>
                  <w14:solidFill>
                    <w14:schemeClr w14:val="tx1"/>
                  </w14:solidFill>
                </w14:textFill>
              </w:rPr>
              <w:t>：</w:t>
            </w:r>
          </w:p>
          <w:p w14:paraId="5C9F9C0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摘要:</w:t>
            </w:r>
          </w:p>
          <w:p w14:paraId="055798C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Abstract:</w:t>
            </w:r>
          </w:p>
          <w:p w14:paraId="351494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 绪论</w:t>
            </w:r>
          </w:p>
          <w:p w14:paraId="52F199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1.1 引言</w:t>
            </w:r>
          </w:p>
          <w:p w14:paraId="6D8703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1.2 研究背景</w:t>
            </w:r>
          </w:p>
          <w:p w14:paraId="29EC22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1.3 国内外研究现状</w:t>
            </w:r>
          </w:p>
          <w:p w14:paraId="0071EC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1.4 系统研发目的和意义</w:t>
            </w:r>
          </w:p>
          <w:p w14:paraId="6A2B9C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1.5 系统的任务</w:t>
            </w:r>
          </w:p>
          <w:p w14:paraId="75239B2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 项目关键技术</w:t>
            </w:r>
          </w:p>
          <w:p w14:paraId="1ADB8B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2.1 Uniapp+Vue3.0+TS+Pinia+Vite（客户端）</w:t>
            </w:r>
          </w:p>
          <w:p w14:paraId="10A3E84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2.2 Vue+Element-Plus+Vite（后台管理端）</w:t>
            </w:r>
          </w:p>
          <w:p w14:paraId="7ABB6A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2.3 Node.js（后端）</w:t>
            </w:r>
          </w:p>
          <w:p w14:paraId="7B17D4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2.4 MySQL（数据库）</w:t>
            </w:r>
          </w:p>
          <w:p w14:paraId="00C43A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 系统分析和需求分析</w:t>
            </w:r>
          </w:p>
          <w:p w14:paraId="727D9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3.1 需求分析</w:t>
            </w:r>
          </w:p>
          <w:p w14:paraId="19C125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3.1.1 系统设计结构</w:t>
            </w:r>
          </w:p>
          <w:p w14:paraId="359657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3.1.2 系统设计架构</w:t>
            </w:r>
          </w:p>
          <w:p w14:paraId="152D05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3.2 数据流图</w:t>
            </w:r>
          </w:p>
          <w:p w14:paraId="1D70C8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3.3 系统的数据字典</w:t>
            </w:r>
          </w:p>
          <w:p w14:paraId="716058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3.3.1 系统的数据流</w:t>
            </w:r>
          </w:p>
          <w:p w14:paraId="09C889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3.3.2 加工条目</w:t>
            </w:r>
          </w:p>
          <w:p w14:paraId="3F0908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3.3.3 数据存储</w:t>
            </w:r>
          </w:p>
          <w:p w14:paraId="29EBDE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3.4 功能需求分析</w:t>
            </w:r>
          </w:p>
          <w:p w14:paraId="5C4DB9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3.4.1 功能需求</w:t>
            </w:r>
          </w:p>
          <w:p w14:paraId="0773C2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3.4.2 系统数据业务流程图</w:t>
            </w:r>
          </w:p>
          <w:p w14:paraId="68B825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3.4.3 系统模块详细设计</w:t>
            </w:r>
          </w:p>
          <w:p w14:paraId="38F959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3.5 非功能需求分析</w:t>
            </w:r>
          </w:p>
          <w:p w14:paraId="1DDB54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3.5.1 系统设计原则</w:t>
            </w:r>
          </w:p>
          <w:p w14:paraId="1CC2A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3.5.2 可行性分析</w:t>
            </w:r>
          </w:p>
          <w:p w14:paraId="17D160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 系统总体设计方案</w:t>
            </w:r>
          </w:p>
          <w:p w14:paraId="60F68A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4.1 总体结构功能</w:t>
            </w:r>
          </w:p>
          <w:p w14:paraId="62BE5E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 系统模块设计</w:t>
            </w:r>
          </w:p>
          <w:p w14:paraId="4CE3FD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4.2.1 模块功能</w:t>
            </w:r>
          </w:p>
          <w:p w14:paraId="415C97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4.2.2 流程图</w:t>
            </w:r>
          </w:p>
          <w:p w14:paraId="08E6F4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4.3 运行结构</w:t>
            </w:r>
          </w:p>
          <w:p w14:paraId="67DAC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 界面设计</w:t>
            </w:r>
          </w:p>
          <w:p w14:paraId="4ED077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4.4.1 客户端登录</w:t>
            </w:r>
          </w:p>
          <w:p w14:paraId="41307B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4.4.2 陪玩详情</w:t>
            </w:r>
          </w:p>
          <w:p w14:paraId="257120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4.4.3 后台管理端游戏管理界面</w:t>
            </w:r>
          </w:p>
          <w:p w14:paraId="62E26D8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4.4.4 后台管理端订单管理界面</w:t>
            </w:r>
          </w:p>
          <w:p w14:paraId="3A3342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 数据库设计</w:t>
            </w:r>
          </w:p>
          <w:p w14:paraId="239845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4.5.1 数据库概念结构设计</w:t>
            </w:r>
          </w:p>
          <w:p w14:paraId="6B9D745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4.5.2 数据库逻辑结构设计</w:t>
            </w:r>
          </w:p>
          <w:p w14:paraId="40C27C6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4.5.3 数据库物理结构设计</w:t>
            </w:r>
          </w:p>
          <w:p w14:paraId="67D9B5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 系统实现及测试</w:t>
            </w:r>
          </w:p>
          <w:p w14:paraId="2B6114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 系统开发</w:t>
            </w:r>
          </w:p>
          <w:p w14:paraId="737E6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5.1.1 系统开发环境</w:t>
            </w:r>
          </w:p>
          <w:p w14:paraId="78687A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5.1.2 系统运行环境</w:t>
            </w:r>
          </w:p>
          <w:p w14:paraId="455A0E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 系统模块实现</w:t>
            </w:r>
          </w:p>
          <w:p w14:paraId="62C687C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5.2.1 客户端登录 / 退出模块</w:t>
            </w:r>
          </w:p>
          <w:p w14:paraId="487737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5.2.2 陪玩申请 / 审核模块</w:t>
            </w:r>
          </w:p>
          <w:p w14:paraId="2F98B8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5.2.3 订单预约 / 接单模块</w:t>
            </w:r>
          </w:p>
          <w:p w14:paraId="7DDBC6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5.2.4 后台管理端游戏管理模块</w:t>
            </w:r>
          </w:p>
          <w:p w14:paraId="7BF548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5.2.5 资金结算模块</w:t>
            </w:r>
          </w:p>
          <w:p w14:paraId="38C5A0E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 系统测试</w:t>
            </w:r>
          </w:p>
          <w:p w14:paraId="5088F3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5.3.1 基本测试原理</w:t>
            </w:r>
          </w:p>
          <w:p w14:paraId="17671E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5.3.2 测试计划</w:t>
            </w:r>
          </w:p>
          <w:p w14:paraId="00BDD2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5.3.3 测试用例</w:t>
            </w:r>
          </w:p>
          <w:p w14:paraId="7CE7DC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5.3.4 测试过程</w:t>
            </w:r>
          </w:p>
          <w:p w14:paraId="3AC653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5.3.5 测试结果及分析</w:t>
            </w:r>
          </w:p>
          <w:p w14:paraId="787D26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 总结</w:t>
            </w:r>
          </w:p>
          <w:p w14:paraId="43E61D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6.1 研究背景回顾</w:t>
            </w:r>
          </w:p>
          <w:p w14:paraId="39AB5E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6.2 工作内容及创新点</w:t>
            </w:r>
          </w:p>
          <w:p w14:paraId="5AEA69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6.3 工作的不足及未来的工作</w:t>
            </w:r>
          </w:p>
          <w:p w14:paraId="7E82A6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参考文献</w:t>
            </w:r>
          </w:p>
          <w:p w14:paraId="120996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both"/>
              <w:textAlignment w:val="auto"/>
              <w:rPr>
                <w:rFonts w:hint="default" w:ascii="Times New Roman" w:hAnsi="Times New Roman" w:eastAsia="宋体" w:cs="Times New Roman"/>
                <w:b/>
                <w:bCs/>
                <w:color w:val="000000" w:themeColor="text1"/>
                <w:kern w:val="2"/>
                <w:sz w:val="21"/>
                <w:szCs w:val="21"/>
                <w:lang w:val="en-US" w:eastAsia="zh-CN" w:bidi="ar"/>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
                <w14:textFill>
                  <w14:solidFill>
                    <w14:schemeClr w14:val="tx1"/>
                  </w14:solidFill>
                </w14:textFill>
              </w:rPr>
              <w:t>致谢</w:t>
            </w:r>
          </w:p>
          <w:p w14:paraId="0A2819D8">
            <w:pPr>
              <w:keepNext w:val="0"/>
              <w:keepLines w:val="0"/>
              <w:widowControl w:val="0"/>
              <w:suppressLineNumbers w:val="0"/>
              <w:spacing w:before="0" w:beforeAutospacing="0" w:after="0" w:afterAutospacing="0"/>
              <w:ind w:left="0" w:right="0"/>
              <w:jc w:val="both"/>
              <w:rPr>
                <w:rFonts w:hint="default" w:ascii="Times New Roman" w:hAnsi="Times New Roman"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b/>
                <w:bCs/>
                <w:color w:val="000000" w:themeColor="text1"/>
                <w:kern w:val="2"/>
                <w:sz w:val="28"/>
                <w:szCs w:val="28"/>
                <w:lang w:val="en-US" w:eastAsia="zh-CN" w:bidi="ar"/>
                <w14:textFill>
                  <w14:solidFill>
                    <w14:schemeClr w14:val="tx1"/>
                  </w14:solidFill>
                </w14:textFill>
              </w:rPr>
              <w:t>3.</w:t>
            </w:r>
            <w:r>
              <w:rPr>
                <w:rFonts w:hint="default" w:ascii="Times New Roman" w:hAnsi="Times New Roman" w:cs="Times New Roman"/>
                <w:i w:val="0"/>
                <w:iCs w:val="0"/>
                <w:caps w:val="0"/>
                <w:color w:val="000000" w:themeColor="text1"/>
                <w:spacing w:val="0"/>
                <w:sz w:val="24"/>
                <w:szCs w:val="24"/>
                <w:shd w:val="clear" w:fill="FFFFFF"/>
                <w:lang w:val="en-US" w:eastAsia="zh-CN"/>
                <w14:textFill>
                  <w14:solidFill>
                    <w14:schemeClr w14:val="tx1"/>
                  </w14:solidFill>
                </w14:textFill>
              </w:rPr>
              <w:t>研究方法</w:t>
            </w:r>
          </w:p>
          <w:p w14:paraId="22C826D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系统开发工具与环境：客户端采用 Uniapp+Vue3.0+TS+Pinia+Vite 开发，后台管理端采用 Vue+Element-Plus+Vite 开发，后端基于 Node.js 搭建，数据库使用 MySQL 8.0+，开发工具选用 VS Code、Navicat 等。</w:t>
            </w:r>
          </w:p>
          <w:p w14:paraId="47AF368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（1）文献研究法</w:t>
            </w:r>
          </w:p>
          <w:p w14:paraId="50FE4FA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系统性查阅 Vue 生态开发、移动端跨平台应用、游戏陪玩系统设计相关的学术期刊、学位论文和行业报告，梳理技术选型依据和业务流程设计思路，为系统开发提供理论支撑。</w:t>
            </w:r>
          </w:p>
          <w:p w14:paraId="6E527B8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（2）原型法</w:t>
            </w:r>
          </w:p>
          <w:p w14:paraId="2902487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先快速构建系统核心功能原型（如用户下单、陪玩接单、管理员审核），邀请潜在用户（游戏玩家、陪玩人员）体验测试，根据反馈迭代优化界面设计、业务流程和功能细节，确保系统贴合实际使用需求。</w:t>
            </w:r>
          </w:p>
          <w:p w14:paraId="5D2F1BE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（3）案例分析法</w:t>
            </w:r>
          </w:p>
          <w:p w14:paraId="6529462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80" w:firstLineChars="200"/>
              <w:jc w:val="left"/>
              <w:textAlignment w:val="auto"/>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选取典型的游戏陪玩场景作为测试案例，将系统部署到模拟环境中，设计多维度测试用例（如高并发下单、异常订单处理、批量陪玩审核），验证系统的稳定性、准确性和易用性。</w:t>
            </w:r>
          </w:p>
          <w:p w14:paraId="354EBEE5">
            <w:pPr>
              <w:keepNext w:val="0"/>
              <w:keepLines w:val="0"/>
              <w:suppressLineNumbers w:val="0"/>
              <w:snapToGrid w:val="0"/>
              <w:spacing w:before="0" w:beforeAutospacing="0" w:after="0" w:afterAutospacing="0" w:line="360" w:lineRule="auto"/>
              <w:ind w:left="0" w:right="0"/>
              <w:jc w:val="left"/>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shd w:val="clear" w:fill="FFFFFF"/>
                <w:lang w:val="en-US" w:eastAsia="zh-CN"/>
                <w14:textFill>
                  <w14:solidFill>
                    <w14:schemeClr w14:val="tx1"/>
                  </w14:solidFill>
                </w14:textFill>
              </w:rPr>
              <w:t>4.</w:t>
            </w:r>
            <w:r>
              <w:rPr>
                <w:rFonts w:hint="default" w:ascii="Times New Roman" w:hAnsi="Times New Roman" w:eastAsia="宋体" w:cs="Times New Roman"/>
                <w:i w:val="0"/>
                <w:iCs w:val="0"/>
                <w:caps w:val="0"/>
                <w:color w:val="000000" w:themeColor="text1"/>
                <w:spacing w:val="0"/>
                <w:sz w:val="24"/>
                <w:szCs w:val="24"/>
                <w:shd w:val="clear" w:fill="FFFFFF"/>
                <w:lang w:val="zh-CN" w:eastAsia="zh-CN"/>
                <w14:textFill>
                  <w14:solidFill>
                    <w14:schemeClr w14:val="tx1"/>
                  </w14:solidFill>
                </w14:textFill>
              </w:rPr>
              <w:t>预期目的</w:t>
            </w:r>
          </w:p>
          <w:p w14:paraId="3D11251A">
            <w:pPr>
              <w:keepNext w:val="0"/>
              <w:keepLines w:val="0"/>
              <w:numPr>
                <w:ilvl w:val="0"/>
                <w:numId w:val="0"/>
              </w:numPr>
              <w:suppressLineNumbers w:val="0"/>
              <w:spacing w:before="0" w:beforeAutospacing="0" w:after="0" w:afterAutospacing="0" w:line="400" w:lineRule="exact"/>
              <w:ind w:left="0" w:right="0" w:firstLine="480" w:firstLineChars="200"/>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本研究预期设计并实现一套功能完善、操作便捷的基于 VUE 的移动端游戏陪玩系统，核心目标如下：</w:t>
            </w:r>
          </w:p>
          <w:p w14:paraId="79AEB66A">
            <w:pPr>
              <w:keepNext w:val="0"/>
              <w:keepLines w:val="0"/>
              <w:numPr>
                <w:ilvl w:val="0"/>
                <w:numId w:val="0"/>
              </w:numPr>
              <w:suppressLineNumbers w:val="0"/>
              <w:spacing w:before="0" w:beforeAutospacing="0" w:after="0" w:afterAutospacing="0" w:line="400" w:lineRule="exact"/>
              <w:ind w:left="0" w:right="0" w:firstLine="480" w:firstLineChars="200"/>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解决普通用户游戏陪玩筛选难、预约流程繁琐的问题，实现精准筛选、一键预约、订单可追溯；</w:t>
            </w:r>
          </w:p>
          <w:p w14:paraId="68AD97FC">
            <w:pPr>
              <w:keepNext w:val="0"/>
              <w:keepLines w:val="0"/>
              <w:numPr>
                <w:ilvl w:val="0"/>
                <w:numId w:val="0"/>
              </w:numPr>
              <w:suppressLineNumbers w:val="0"/>
              <w:spacing w:before="0" w:beforeAutospacing="0" w:after="0" w:afterAutospacing="0" w:line="400" w:lineRule="exact"/>
              <w:ind w:left="0" w:right="0" w:firstLine="480" w:firstLineChars="200"/>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解决陪玩人员服务管理混乱、收益不透明的问题，实现角色灵活切换、服务维护便捷、收益明细可视化；</w:t>
            </w:r>
          </w:p>
          <w:p w14:paraId="14783181">
            <w:pPr>
              <w:keepNext w:val="0"/>
              <w:keepLines w:val="0"/>
              <w:numPr>
                <w:ilvl w:val="0"/>
                <w:numId w:val="0"/>
              </w:numPr>
              <w:suppressLineNumbers w:val="0"/>
              <w:spacing w:before="0" w:beforeAutospacing="0" w:after="0" w:afterAutospacing="0" w:line="400" w:lineRule="exact"/>
              <w:ind w:left="0" w:right="0" w:firstLine="480" w:firstLineChars="200"/>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解决管理员游戏品类管理无序、陪玩审核效率低、资金结算管控难的问题，实现全流程数字化管理；</w:t>
            </w:r>
          </w:p>
          <w:p w14:paraId="6B43C052">
            <w:pPr>
              <w:keepNext w:val="0"/>
              <w:keepLines w:val="0"/>
              <w:numPr>
                <w:ilvl w:val="0"/>
                <w:numId w:val="0"/>
              </w:numPr>
              <w:suppressLineNumbers w:val="0"/>
              <w:spacing w:before="0" w:beforeAutospacing="0" w:after="0" w:afterAutospacing="0" w:line="400" w:lineRule="exact"/>
              <w:ind w:left="0" w:right="0" w:firstLine="480" w:firstLineChars="200"/>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验证 Vue 生态（Uniapp、Element-Plus）在移动端游戏陪玩系统中的适配性和稳定性，为同类系统开发提供可复用的技术方案和实践经验</w:t>
            </w:r>
          </w:p>
          <w:p w14:paraId="49628E72">
            <w:pPr>
              <w:keepNext w:val="0"/>
              <w:keepLines w:val="0"/>
              <w:suppressLineNumbers w:val="0"/>
              <w:autoSpaceDE w:val="0"/>
              <w:autoSpaceDN w:val="0"/>
              <w:spacing w:before="0" w:beforeAutospacing="0" w:after="0" w:afterAutospacing="0"/>
              <w:ind w:left="0" w:right="0"/>
              <w:rPr>
                <w:rFonts w:hint="default" w:ascii="Times New Roman" w:hAnsi="Times New Roman" w:cs="Times New Roman"/>
                <w:color w:val="000000" w:themeColor="text1"/>
                <w14:textFill>
                  <w14:solidFill>
                    <w14:schemeClr w14:val="tx1"/>
                  </w14:solidFill>
                </w14:textFill>
              </w:rPr>
            </w:pPr>
          </w:p>
        </w:tc>
      </w:tr>
      <w:tr w14:paraId="2F08B482">
        <w:trPr>
          <w:trHeight w:val="90" w:hRule="atLeast"/>
          <w:jc w:val="center"/>
        </w:trPr>
        <w:tc>
          <w:tcPr>
            <w:tcW w:w="1188" w:type="dxa"/>
            <w:tcBorders>
              <w:top w:val="single" w:color="auto" w:sz="6" w:space="0"/>
              <w:left w:val="single" w:color="auto" w:sz="6" w:space="0"/>
              <w:bottom w:val="single" w:color="auto" w:sz="6" w:space="0"/>
              <w:right w:val="single" w:color="auto" w:sz="6" w:space="0"/>
            </w:tcBorders>
            <w:vAlign w:val="center"/>
          </w:tcPr>
          <w:p w14:paraId="375D7AAB">
            <w:pPr>
              <w:keepNext w:val="0"/>
              <w:keepLines w:val="0"/>
              <w:suppressLineNumbers w:val="0"/>
              <w:autoSpaceDE w:val="0"/>
              <w:autoSpaceDN w:val="0"/>
              <w:spacing w:before="0" w:beforeAutospacing="0" w:after="0" w:afterAutospacing="0"/>
              <w:ind w:left="0" w:right="0"/>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t>课题进度计划</w:t>
            </w:r>
          </w:p>
        </w:tc>
        <w:tc>
          <w:tcPr>
            <w:tcW w:w="8352" w:type="dxa"/>
            <w:gridSpan w:val="5"/>
            <w:tcBorders>
              <w:top w:val="single" w:color="auto" w:sz="6" w:space="0"/>
              <w:left w:val="single" w:color="auto" w:sz="6" w:space="0"/>
              <w:bottom w:val="single" w:color="auto" w:sz="6" w:space="0"/>
              <w:right w:val="single" w:color="auto" w:sz="6" w:space="0"/>
            </w:tcBorders>
            <w:vAlign w:val="center"/>
          </w:tcPr>
          <w:p w14:paraId="2C9A171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40" w:lineRule="exact"/>
              <w:ind w:left="0" w:right="0"/>
              <w:jc w:val="left"/>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eastAsia="zh-CN"/>
                <w14:textFill>
                  <w14:solidFill>
                    <w14:schemeClr w14:val="tx1"/>
                  </w14:solidFill>
                </w14:textFill>
              </w:rPr>
              <w:t>三</w:t>
            </w:r>
            <w:r>
              <w:rPr>
                <w:rFonts w:hint="default" w:ascii="Times New Roman" w:hAnsi="Times New Roman" w:eastAsia="宋体" w:cs="Times New Roman"/>
                <w:b/>
                <w:bCs/>
                <w:i w:val="0"/>
                <w:iCs w:val="0"/>
                <w:caps w:val="0"/>
                <w:color w:val="000000" w:themeColor="text1"/>
                <w:spacing w:val="0"/>
                <w:sz w:val="24"/>
                <w:szCs w:val="24"/>
                <w:shd w:val="clear" w:fill="FFFFFF"/>
                <w:lang w:val="en-US" w:eastAsia="zh-CN"/>
                <w14:textFill>
                  <w14:solidFill>
                    <w14:schemeClr w14:val="tx1"/>
                  </w14:solidFill>
                </w14:textFill>
              </w:rPr>
              <w:t>、</w:t>
            </w:r>
            <w:r>
              <w:rPr>
                <w:rFonts w:hint="default" w:ascii="Times New Roman" w:hAnsi="Times New Roman" w:cs="Times New Roman"/>
                <w:b/>
                <w:bCs/>
                <w:color w:val="000000" w:themeColor="text1"/>
                <w:sz w:val="24"/>
                <w:szCs w:val="24"/>
                <w:lang w:val="zh-CN"/>
                <w14:textFill>
                  <w14:solidFill>
                    <w14:schemeClr w14:val="tx1"/>
                  </w14:solidFill>
                </w14:textFill>
              </w:rPr>
              <w:t>课题进度计划</w:t>
            </w:r>
          </w:p>
          <w:p w14:paraId="59DC0DEC">
            <w:pPr>
              <w:keepNext w:val="0"/>
              <w:keepLines w:val="0"/>
              <w:pageBreakBefore w:val="0"/>
              <w:widowControl w:val="0"/>
              <w:suppressLineNumbers w:val="0"/>
              <w:kinsoku/>
              <w:wordWrap/>
              <w:overflowPunct/>
              <w:topLinePunct w:val="0"/>
              <w:autoSpaceDE/>
              <w:autoSpaceDN/>
              <w:bidi w:val="0"/>
              <w:adjustRightInd/>
              <w:spacing w:before="156" w:beforeLines="50" w:beforeAutospacing="0" w:after="156" w:afterLines="50" w:afterAutospacing="0" w:line="440" w:lineRule="exact"/>
              <w:ind w:left="0" w:right="0" w:firstLine="315" w:firstLineChars="15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2025年1</w:t>
            </w: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月</w:t>
            </w:r>
            <w:r>
              <w:rPr>
                <w:rFonts w:hint="default" w:ascii="Times New Roman" w:hAnsi="Times New Roman" w:cs="Times New Roman"/>
                <w:color w:val="000000" w:themeColor="text1"/>
                <w:lang w:val="en-US" w:eastAsia="zh-CN"/>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日前：完成论文选题；</w:t>
            </w:r>
          </w:p>
          <w:p w14:paraId="4804ED5E">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2025年1</w:t>
            </w:r>
            <w:r>
              <w:rPr>
                <w:rFonts w:hint="default" w:ascii="Times New Roman" w:hAnsi="Times New Roman" w:cs="Times New Roman"/>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t>月</w:t>
            </w:r>
            <w:r>
              <w:rPr>
                <w:rFonts w:hint="default" w:ascii="Times New Roman" w:hAnsi="Times New Roman" w:cs="Times New Roman"/>
                <w:color w:val="000000" w:themeColor="text1"/>
                <w:lang w:val="en-US" w:eastAsia="zh-CN"/>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日至2025年12月15日：完成论文开题报告；</w:t>
            </w:r>
          </w:p>
          <w:p w14:paraId="49FBCA64">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2025年12月15日至2026年2月15日：完成论文初稿；</w:t>
            </w:r>
          </w:p>
          <w:p w14:paraId="1A58A765">
            <w:pPr>
              <w:keepNext w:val="0"/>
              <w:keepLines w:val="0"/>
              <w:suppressLineNumbers w:val="0"/>
              <w:spacing w:before="156" w:beforeLines="50" w:beforeAutospacing="0" w:after="156" w:afterLines="50" w:afterAutospacing="0"/>
              <w:ind w:left="0" w:right="0" w:firstLine="315" w:firstLineChars="150"/>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2026年2月15日至2026年3月31日：提交论文修改稿；</w:t>
            </w:r>
          </w:p>
          <w:p w14:paraId="1F7DA53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360" w:lineRule="auto"/>
              <w:ind w:left="0" w:leftChars="0" w:right="0" w:firstLine="420" w:firstLineChars="200"/>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2026年3月31日至2026年4月5日：提交定稿论文。</w:t>
            </w:r>
          </w:p>
        </w:tc>
      </w:tr>
    </w:tbl>
    <w:p w14:paraId="30E9193D">
      <w:pPr>
        <w:adjustRightInd w:val="0"/>
        <w:snapToGrid w:val="0"/>
        <w:spacing w:line="300" w:lineRule="auto"/>
        <w:jc w:val="both"/>
        <w:rPr>
          <w:rFonts w:hint="eastAsia" w:ascii="黑体" w:hAnsi="黑体" w:eastAsia="黑体"/>
          <w:b/>
          <w:bCs/>
          <w:sz w:val="32"/>
          <w:szCs w:val="32"/>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egoe UI">
    <w:altName w:val="苹方-简"/>
    <w:panose1 w:val="020B0502040204020203"/>
    <w:charset w:val="00"/>
    <w:family w:val="auto"/>
    <w:pitch w:val="default"/>
    <w:sig w:usb0="00000000" w:usb1="00000000" w:usb2="00000009" w:usb3="00000000" w:csb0="200001FF"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626B2">
    <w:pPr>
      <w:pStyle w:val="7"/>
      <w:tabs>
        <w:tab w:val="left" w:pos="5008"/>
        <w:tab w:val="clear" w:pos="4153"/>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C86F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EC86FE">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CFCDC">
    <w:pPr>
      <w:pStyle w:val="8"/>
      <w:pBdr>
        <w:bottom w:val="none" w:color="auto" w:sz="0" w:space="1"/>
      </w:pBdr>
      <w:jc w:val="both"/>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32B9C"/>
    <w:multiLevelType w:val="multilevel"/>
    <w:tmpl w:val="2DD32B9C"/>
    <w:lvl w:ilvl="0" w:tentative="0">
      <w:start w:val="5"/>
      <w:numFmt w:val="decimal"/>
      <w:lvlText w:val="%1、"/>
      <w:lvlJc w:val="left"/>
      <w:pPr>
        <w:ind w:left="360" w:hanging="360"/>
      </w:pPr>
      <w:rPr>
        <w:rFonts w:hint="default"/>
      </w:rPr>
    </w:lvl>
    <w:lvl w:ilvl="1" w:tentative="0">
      <w:start w:val="2"/>
      <w:numFmt w:val="japaneseCounting"/>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A49F3D1"/>
    <w:multiLevelType w:val="singleLevel"/>
    <w:tmpl w:val="5A49F3D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MxYTQ4YTc1OThlZjdjYmM3Y2QyMDgyZjVjODhjZjkifQ=="/>
  </w:docVars>
  <w:rsids>
    <w:rsidRoot w:val="00EA6E9E"/>
    <w:rsid w:val="000025FB"/>
    <w:rsid w:val="00002AFD"/>
    <w:rsid w:val="000046B6"/>
    <w:rsid w:val="000057E8"/>
    <w:rsid w:val="000072E2"/>
    <w:rsid w:val="000076D3"/>
    <w:rsid w:val="0001708C"/>
    <w:rsid w:val="0002112A"/>
    <w:rsid w:val="00022BA9"/>
    <w:rsid w:val="00030F7A"/>
    <w:rsid w:val="0003350D"/>
    <w:rsid w:val="00034395"/>
    <w:rsid w:val="000351FA"/>
    <w:rsid w:val="00035DBF"/>
    <w:rsid w:val="00036E32"/>
    <w:rsid w:val="000467A8"/>
    <w:rsid w:val="00046824"/>
    <w:rsid w:val="00051068"/>
    <w:rsid w:val="00054CFF"/>
    <w:rsid w:val="000551EF"/>
    <w:rsid w:val="00057064"/>
    <w:rsid w:val="000639D3"/>
    <w:rsid w:val="00067896"/>
    <w:rsid w:val="000678C0"/>
    <w:rsid w:val="00070179"/>
    <w:rsid w:val="00080A73"/>
    <w:rsid w:val="00083A6E"/>
    <w:rsid w:val="00084904"/>
    <w:rsid w:val="0009370C"/>
    <w:rsid w:val="00093FEC"/>
    <w:rsid w:val="000A00F0"/>
    <w:rsid w:val="000B2062"/>
    <w:rsid w:val="000B40A3"/>
    <w:rsid w:val="000B4FD4"/>
    <w:rsid w:val="000C1650"/>
    <w:rsid w:val="000C54A5"/>
    <w:rsid w:val="000D1E54"/>
    <w:rsid w:val="000D76C7"/>
    <w:rsid w:val="000E3F22"/>
    <w:rsid w:val="000E71AD"/>
    <w:rsid w:val="000F0245"/>
    <w:rsid w:val="000F096E"/>
    <w:rsid w:val="000F31ED"/>
    <w:rsid w:val="00100367"/>
    <w:rsid w:val="001012CD"/>
    <w:rsid w:val="001055D5"/>
    <w:rsid w:val="00105D9A"/>
    <w:rsid w:val="00106D57"/>
    <w:rsid w:val="00110497"/>
    <w:rsid w:val="00111BDC"/>
    <w:rsid w:val="00113CAB"/>
    <w:rsid w:val="00131651"/>
    <w:rsid w:val="00131E1F"/>
    <w:rsid w:val="0013421A"/>
    <w:rsid w:val="00134738"/>
    <w:rsid w:val="001448B4"/>
    <w:rsid w:val="0016033B"/>
    <w:rsid w:val="00161B38"/>
    <w:rsid w:val="00166EF6"/>
    <w:rsid w:val="00171EA9"/>
    <w:rsid w:val="00172B48"/>
    <w:rsid w:val="00182A12"/>
    <w:rsid w:val="00185DB2"/>
    <w:rsid w:val="001877BB"/>
    <w:rsid w:val="001A04D6"/>
    <w:rsid w:val="001A0D65"/>
    <w:rsid w:val="001A604C"/>
    <w:rsid w:val="001B7486"/>
    <w:rsid w:val="001C00CB"/>
    <w:rsid w:val="001C0832"/>
    <w:rsid w:val="001C21F4"/>
    <w:rsid w:val="001C228B"/>
    <w:rsid w:val="001C2CC3"/>
    <w:rsid w:val="001C3459"/>
    <w:rsid w:val="001E0207"/>
    <w:rsid w:val="001E716D"/>
    <w:rsid w:val="001F20DD"/>
    <w:rsid w:val="001F279D"/>
    <w:rsid w:val="001F4D9D"/>
    <w:rsid w:val="001F53EE"/>
    <w:rsid w:val="002017EF"/>
    <w:rsid w:val="002018C5"/>
    <w:rsid w:val="002025A0"/>
    <w:rsid w:val="002068D4"/>
    <w:rsid w:val="00220466"/>
    <w:rsid w:val="00221587"/>
    <w:rsid w:val="00222EF2"/>
    <w:rsid w:val="002265D3"/>
    <w:rsid w:val="00231205"/>
    <w:rsid w:val="002326DE"/>
    <w:rsid w:val="00232BCF"/>
    <w:rsid w:val="0023697A"/>
    <w:rsid w:val="00237419"/>
    <w:rsid w:val="002532FE"/>
    <w:rsid w:val="00257B72"/>
    <w:rsid w:val="00263011"/>
    <w:rsid w:val="00263B2A"/>
    <w:rsid w:val="00270893"/>
    <w:rsid w:val="00274F9B"/>
    <w:rsid w:val="00277C74"/>
    <w:rsid w:val="00284F96"/>
    <w:rsid w:val="00286CDA"/>
    <w:rsid w:val="00287050"/>
    <w:rsid w:val="00290DF3"/>
    <w:rsid w:val="002925B7"/>
    <w:rsid w:val="002A2C32"/>
    <w:rsid w:val="002C06EE"/>
    <w:rsid w:val="002C1990"/>
    <w:rsid w:val="002C1D6A"/>
    <w:rsid w:val="002D107C"/>
    <w:rsid w:val="002D3D3C"/>
    <w:rsid w:val="002D643D"/>
    <w:rsid w:val="002E1C60"/>
    <w:rsid w:val="002E5EB5"/>
    <w:rsid w:val="002E79D1"/>
    <w:rsid w:val="002F21DF"/>
    <w:rsid w:val="002F60C3"/>
    <w:rsid w:val="00310F71"/>
    <w:rsid w:val="003231AA"/>
    <w:rsid w:val="003267BC"/>
    <w:rsid w:val="00334B01"/>
    <w:rsid w:val="00335936"/>
    <w:rsid w:val="003400EE"/>
    <w:rsid w:val="00357F74"/>
    <w:rsid w:val="003603A0"/>
    <w:rsid w:val="00360AB8"/>
    <w:rsid w:val="00361458"/>
    <w:rsid w:val="00362FE8"/>
    <w:rsid w:val="00365364"/>
    <w:rsid w:val="003872AC"/>
    <w:rsid w:val="003952DC"/>
    <w:rsid w:val="003A0013"/>
    <w:rsid w:val="003B05BB"/>
    <w:rsid w:val="003B1395"/>
    <w:rsid w:val="003B262A"/>
    <w:rsid w:val="003B3AA6"/>
    <w:rsid w:val="003B5F85"/>
    <w:rsid w:val="003B7B43"/>
    <w:rsid w:val="003C23E0"/>
    <w:rsid w:val="003C3C99"/>
    <w:rsid w:val="003D236C"/>
    <w:rsid w:val="003D56A4"/>
    <w:rsid w:val="003D5715"/>
    <w:rsid w:val="003D7342"/>
    <w:rsid w:val="003E43D0"/>
    <w:rsid w:val="003F4828"/>
    <w:rsid w:val="003F69F1"/>
    <w:rsid w:val="004053A1"/>
    <w:rsid w:val="00406D3F"/>
    <w:rsid w:val="004105B6"/>
    <w:rsid w:val="0041086E"/>
    <w:rsid w:val="00413292"/>
    <w:rsid w:val="00415879"/>
    <w:rsid w:val="0041654A"/>
    <w:rsid w:val="00417F49"/>
    <w:rsid w:val="004200C9"/>
    <w:rsid w:val="00420EF7"/>
    <w:rsid w:val="00436D19"/>
    <w:rsid w:val="00442329"/>
    <w:rsid w:val="00444B9E"/>
    <w:rsid w:val="00451BCE"/>
    <w:rsid w:val="004526AE"/>
    <w:rsid w:val="00454CCA"/>
    <w:rsid w:val="004607A6"/>
    <w:rsid w:val="00473C69"/>
    <w:rsid w:val="00476ABA"/>
    <w:rsid w:val="00484305"/>
    <w:rsid w:val="004872E8"/>
    <w:rsid w:val="00487E20"/>
    <w:rsid w:val="0049005F"/>
    <w:rsid w:val="00490BB7"/>
    <w:rsid w:val="004928FB"/>
    <w:rsid w:val="00494AFD"/>
    <w:rsid w:val="00497A8D"/>
    <w:rsid w:val="004B0760"/>
    <w:rsid w:val="004B7B86"/>
    <w:rsid w:val="004C0BBB"/>
    <w:rsid w:val="004C7E27"/>
    <w:rsid w:val="004D321F"/>
    <w:rsid w:val="004E2CFC"/>
    <w:rsid w:val="004E3748"/>
    <w:rsid w:val="004F7C39"/>
    <w:rsid w:val="00505F97"/>
    <w:rsid w:val="00511CBD"/>
    <w:rsid w:val="00512375"/>
    <w:rsid w:val="005151CF"/>
    <w:rsid w:val="00517982"/>
    <w:rsid w:val="00517FDD"/>
    <w:rsid w:val="005212FC"/>
    <w:rsid w:val="00524847"/>
    <w:rsid w:val="00526967"/>
    <w:rsid w:val="00530344"/>
    <w:rsid w:val="005343A3"/>
    <w:rsid w:val="00534F5C"/>
    <w:rsid w:val="0053580B"/>
    <w:rsid w:val="00536D2D"/>
    <w:rsid w:val="005406AF"/>
    <w:rsid w:val="0054208A"/>
    <w:rsid w:val="00571932"/>
    <w:rsid w:val="00571DC9"/>
    <w:rsid w:val="00574D40"/>
    <w:rsid w:val="005802D2"/>
    <w:rsid w:val="00581C84"/>
    <w:rsid w:val="005829C0"/>
    <w:rsid w:val="00583353"/>
    <w:rsid w:val="00593934"/>
    <w:rsid w:val="005A08DC"/>
    <w:rsid w:val="005A1860"/>
    <w:rsid w:val="005B0488"/>
    <w:rsid w:val="005C4563"/>
    <w:rsid w:val="005C4F23"/>
    <w:rsid w:val="005C64A4"/>
    <w:rsid w:val="005D7F59"/>
    <w:rsid w:val="005E0E3F"/>
    <w:rsid w:val="005E5121"/>
    <w:rsid w:val="005E539A"/>
    <w:rsid w:val="005F64C0"/>
    <w:rsid w:val="00604396"/>
    <w:rsid w:val="00606D45"/>
    <w:rsid w:val="0060704C"/>
    <w:rsid w:val="0061191D"/>
    <w:rsid w:val="00612EF1"/>
    <w:rsid w:val="006265B0"/>
    <w:rsid w:val="00633636"/>
    <w:rsid w:val="006375D4"/>
    <w:rsid w:val="00640D0A"/>
    <w:rsid w:val="00640D4B"/>
    <w:rsid w:val="0064127F"/>
    <w:rsid w:val="0064558D"/>
    <w:rsid w:val="00646834"/>
    <w:rsid w:val="00647B74"/>
    <w:rsid w:val="006507E8"/>
    <w:rsid w:val="00653E43"/>
    <w:rsid w:val="0066339B"/>
    <w:rsid w:val="00665F5F"/>
    <w:rsid w:val="00670DA1"/>
    <w:rsid w:val="00671760"/>
    <w:rsid w:val="006741B2"/>
    <w:rsid w:val="00683D22"/>
    <w:rsid w:val="00693D9C"/>
    <w:rsid w:val="00693DF4"/>
    <w:rsid w:val="00696807"/>
    <w:rsid w:val="006A73AC"/>
    <w:rsid w:val="006A73B6"/>
    <w:rsid w:val="006A7EF9"/>
    <w:rsid w:val="006B3F42"/>
    <w:rsid w:val="006B6675"/>
    <w:rsid w:val="006C05A9"/>
    <w:rsid w:val="006C6232"/>
    <w:rsid w:val="006C7A16"/>
    <w:rsid w:val="006D141F"/>
    <w:rsid w:val="006D2071"/>
    <w:rsid w:val="006E2B6D"/>
    <w:rsid w:val="007053E3"/>
    <w:rsid w:val="00706754"/>
    <w:rsid w:val="007118C4"/>
    <w:rsid w:val="00725106"/>
    <w:rsid w:val="0074604E"/>
    <w:rsid w:val="00746E3D"/>
    <w:rsid w:val="00754EAC"/>
    <w:rsid w:val="00765CBC"/>
    <w:rsid w:val="0077132E"/>
    <w:rsid w:val="00771F19"/>
    <w:rsid w:val="00775074"/>
    <w:rsid w:val="00777068"/>
    <w:rsid w:val="0078058D"/>
    <w:rsid w:val="00784071"/>
    <w:rsid w:val="0078418E"/>
    <w:rsid w:val="0079161A"/>
    <w:rsid w:val="00792E22"/>
    <w:rsid w:val="00794F19"/>
    <w:rsid w:val="00795B07"/>
    <w:rsid w:val="007973F0"/>
    <w:rsid w:val="007A08DB"/>
    <w:rsid w:val="007B30C1"/>
    <w:rsid w:val="007C038D"/>
    <w:rsid w:val="007C0635"/>
    <w:rsid w:val="007C0728"/>
    <w:rsid w:val="007C076E"/>
    <w:rsid w:val="007C1C87"/>
    <w:rsid w:val="007D0A20"/>
    <w:rsid w:val="007D6471"/>
    <w:rsid w:val="007D6593"/>
    <w:rsid w:val="007E49DC"/>
    <w:rsid w:val="007E49E7"/>
    <w:rsid w:val="007E5032"/>
    <w:rsid w:val="007E63EF"/>
    <w:rsid w:val="007F1AE0"/>
    <w:rsid w:val="007F472A"/>
    <w:rsid w:val="007F4DDD"/>
    <w:rsid w:val="007F6862"/>
    <w:rsid w:val="008048F5"/>
    <w:rsid w:val="00805F18"/>
    <w:rsid w:val="00821E22"/>
    <w:rsid w:val="00822FD0"/>
    <w:rsid w:val="00825370"/>
    <w:rsid w:val="00832823"/>
    <w:rsid w:val="00835800"/>
    <w:rsid w:val="00835D25"/>
    <w:rsid w:val="008419CB"/>
    <w:rsid w:val="00842BFF"/>
    <w:rsid w:val="00843F4D"/>
    <w:rsid w:val="0086196C"/>
    <w:rsid w:val="00874DEE"/>
    <w:rsid w:val="008778D0"/>
    <w:rsid w:val="00881161"/>
    <w:rsid w:val="00881419"/>
    <w:rsid w:val="00881EAA"/>
    <w:rsid w:val="008876F7"/>
    <w:rsid w:val="008905FB"/>
    <w:rsid w:val="00890ED7"/>
    <w:rsid w:val="00892BB4"/>
    <w:rsid w:val="008938D7"/>
    <w:rsid w:val="0089705E"/>
    <w:rsid w:val="008A23E1"/>
    <w:rsid w:val="008B148E"/>
    <w:rsid w:val="008B51FD"/>
    <w:rsid w:val="008B784B"/>
    <w:rsid w:val="008C2E35"/>
    <w:rsid w:val="008C38D1"/>
    <w:rsid w:val="008D15FC"/>
    <w:rsid w:val="008D413B"/>
    <w:rsid w:val="008E3FF9"/>
    <w:rsid w:val="008F33FF"/>
    <w:rsid w:val="008F5DFE"/>
    <w:rsid w:val="008F77D6"/>
    <w:rsid w:val="00901E32"/>
    <w:rsid w:val="00903F60"/>
    <w:rsid w:val="00905F2C"/>
    <w:rsid w:val="00912200"/>
    <w:rsid w:val="00922824"/>
    <w:rsid w:val="00925A75"/>
    <w:rsid w:val="00926101"/>
    <w:rsid w:val="0093616C"/>
    <w:rsid w:val="00940590"/>
    <w:rsid w:val="00964694"/>
    <w:rsid w:val="009674EB"/>
    <w:rsid w:val="009733EA"/>
    <w:rsid w:val="00981A46"/>
    <w:rsid w:val="00982245"/>
    <w:rsid w:val="00984CE0"/>
    <w:rsid w:val="00992D5B"/>
    <w:rsid w:val="00992EC6"/>
    <w:rsid w:val="009940D5"/>
    <w:rsid w:val="00996860"/>
    <w:rsid w:val="009A50C6"/>
    <w:rsid w:val="009A7FE7"/>
    <w:rsid w:val="009B0D0E"/>
    <w:rsid w:val="009B3A89"/>
    <w:rsid w:val="009B6309"/>
    <w:rsid w:val="009B72A9"/>
    <w:rsid w:val="009D0880"/>
    <w:rsid w:val="009D475B"/>
    <w:rsid w:val="009D7B5A"/>
    <w:rsid w:val="009E09BB"/>
    <w:rsid w:val="009E0E0F"/>
    <w:rsid w:val="009E612C"/>
    <w:rsid w:val="009E7705"/>
    <w:rsid w:val="009F5F50"/>
    <w:rsid w:val="009F737D"/>
    <w:rsid w:val="00A108E1"/>
    <w:rsid w:val="00A1290F"/>
    <w:rsid w:val="00A12EE0"/>
    <w:rsid w:val="00A164B5"/>
    <w:rsid w:val="00A170EA"/>
    <w:rsid w:val="00A23050"/>
    <w:rsid w:val="00A23DC2"/>
    <w:rsid w:val="00A24689"/>
    <w:rsid w:val="00A27832"/>
    <w:rsid w:val="00A43CE6"/>
    <w:rsid w:val="00A54298"/>
    <w:rsid w:val="00A55665"/>
    <w:rsid w:val="00A64A05"/>
    <w:rsid w:val="00A66DB7"/>
    <w:rsid w:val="00A711BF"/>
    <w:rsid w:val="00A80B17"/>
    <w:rsid w:val="00A80DA7"/>
    <w:rsid w:val="00A87F37"/>
    <w:rsid w:val="00A91200"/>
    <w:rsid w:val="00A93199"/>
    <w:rsid w:val="00AA58AC"/>
    <w:rsid w:val="00AB0CB5"/>
    <w:rsid w:val="00AB4E74"/>
    <w:rsid w:val="00AC50DE"/>
    <w:rsid w:val="00AC611E"/>
    <w:rsid w:val="00AD3F7C"/>
    <w:rsid w:val="00AE5D10"/>
    <w:rsid w:val="00AE6643"/>
    <w:rsid w:val="00AE7D85"/>
    <w:rsid w:val="00AF052C"/>
    <w:rsid w:val="00AF0D04"/>
    <w:rsid w:val="00AF1725"/>
    <w:rsid w:val="00AF2159"/>
    <w:rsid w:val="00AF56EB"/>
    <w:rsid w:val="00B00257"/>
    <w:rsid w:val="00B04E13"/>
    <w:rsid w:val="00B10F16"/>
    <w:rsid w:val="00B13F8E"/>
    <w:rsid w:val="00B24E91"/>
    <w:rsid w:val="00B35260"/>
    <w:rsid w:val="00B42D34"/>
    <w:rsid w:val="00B54675"/>
    <w:rsid w:val="00B56B22"/>
    <w:rsid w:val="00B613F7"/>
    <w:rsid w:val="00B679E8"/>
    <w:rsid w:val="00B752FA"/>
    <w:rsid w:val="00B75CB1"/>
    <w:rsid w:val="00B76D01"/>
    <w:rsid w:val="00B82B9B"/>
    <w:rsid w:val="00B85AF5"/>
    <w:rsid w:val="00B95BBA"/>
    <w:rsid w:val="00BA40E7"/>
    <w:rsid w:val="00BB0B46"/>
    <w:rsid w:val="00BB4294"/>
    <w:rsid w:val="00BC74D1"/>
    <w:rsid w:val="00BD2A67"/>
    <w:rsid w:val="00BE22B5"/>
    <w:rsid w:val="00BE39D4"/>
    <w:rsid w:val="00BF1DCD"/>
    <w:rsid w:val="00BF44DE"/>
    <w:rsid w:val="00BF48EC"/>
    <w:rsid w:val="00BF68C4"/>
    <w:rsid w:val="00C06E79"/>
    <w:rsid w:val="00C100B7"/>
    <w:rsid w:val="00C15FCF"/>
    <w:rsid w:val="00C20758"/>
    <w:rsid w:val="00C23FCF"/>
    <w:rsid w:val="00C252D9"/>
    <w:rsid w:val="00C256D2"/>
    <w:rsid w:val="00C25C66"/>
    <w:rsid w:val="00C4009A"/>
    <w:rsid w:val="00C402A5"/>
    <w:rsid w:val="00C533D9"/>
    <w:rsid w:val="00C562D8"/>
    <w:rsid w:val="00C72455"/>
    <w:rsid w:val="00C74AB2"/>
    <w:rsid w:val="00C929C4"/>
    <w:rsid w:val="00CA13C9"/>
    <w:rsid w:val="00CB037E"/>
    <w:rsid w:val="00CC1CA6"/>
    <w:rsid w:val="00CC3EAF"/>
    <w:rsid w:val="00CD2BE3"/>
    <w:rsid w:val="00CD315B"/>
    <w:rsid w:val="00CD735A"/>
    <w:rsid w:val="00CE23E5"/>
    <w:rsid w:val="00CE2F6C"/>
    <w:rsid w:val="00CE3085"/>
    <w:rsid w:val="00CE5C2B"/>
    <w:rsid w:val="00D00AC9"/>
    <w:rsid w:val="00D00D17"/>
    <w:rsid w:val="00D03C98"/>
    <w:rsid w:val="00D0463F"/>
    <w:rsid w:val="00D04F01"/>
    <w:rsid w:val="00D05F06"/>
    <w:rsid w:val="00D07785"/>
    <w:rsid w:val="00D07C6F"/>
    <w:rsid w:val="00D101EC"/>
    <w:rsid w:val="00D15333"/>
    <w:rsid w:val="00D2542E"/>
    <w:rsid w:val="00D354B1"/>
    <w:rsid w:val="00D364E7"/>
    <w:rsid w:val="00D3781A"/>
    <w:rsid w:val="00D42FFD"/>
    <w:rsid w:val="00D67AC5"/>
    <w:rsid w:val="00D70490"/>
    <w:rsid w:val="00D767AF"/>
    <w:rsid w:val="00D83A77"/>
    <w:rsid w:val="00DA2FE8"/>
    <w:rsid w:val="00DA3EA5"/>
    <w:rsid w:val="00DB1DB0"/>
    <w:rsid w:val="00DB479D"/>
    <w:rsid w:val="00DB54B8"/>
    <w:rsid w:val="00DC126E"/>
    <w:rsid w:val="00DC2D6E"/>
    <w:rsid w:val="00DC4114"/>
    <w:rsid w:val="00DE2097"/>
    <w:rsid w:val="00DE383B"/>
    <w:rsid w:val="00DE4026"/>
    <w:rsid w:val="00DE5846"/>
    <w:rsid w:val="00DE5CDA"/>
    <w:rsid w:val="00DF2519"/>
    <w:rsid w:val="00DF4EFC"/>
    <w:rsid w:val="00E01184"/>
    <w:rsid w:val="00E01BD2"/>
    <w:rsid w:val="00E27E1D"/>
    <w:rsid w:val="00E31291"/>
    <w:rsid w:val="00E33828"/>
    <w:rsid w:val="00E44919"/>
    <w:rsid w:val="00E46DD8"/>
    <w:rsid w:val="00E50725"/>
    <w:rsid w:val="00E52028"/>
    <w:rsid w:val="00E566D2"/>
    <w:rsid w:val="00E57975"/>
    <w:rsid w:val="00E60DDD"/>
    <w:rsid w:val="00E61A55"/>
    <w:rsid w:val="00E63F45"/>
    <w:rsid w:val="00E67EF2"/>
    <w:rsid w:val="00E76FE1"/>
    <w:rsid w:val="00E77878"/>
    <w:rsid w:val="00E81F3C"/>
    <w:rsid w:val="00E85A02"/>
    <w:rsid w:val="00E91D95"/>
    <w:rsid w:val="00E927E1"/>
    <w:rsid w:val="00EA4447"/>
    <w:rsid w:val="00EA6E9E"/>
    <w:rsid w:val="00EA7CC5"/>
    <w:rsid w:val="00EC1B7B"/>
    <w:rsid w:val="00EC1CD3"/>
    <w:rsid w:val="00EC7E2E"/>
    <w:rsid w:val="00ED49F2"/>
    <w:rsid w:val="00ED57C9"/>
    <w:rsid w:val="00EE1EDD"/>
    <w:rsid w:val="00EE3FF5"/>
    <w:rsid w:val="00EE5DD4"/>
    <w:rsid w:val="00EF0651"/>
    <w:rsid w:val="00EF1EB4"/>
    <w:rsid w:val="00EF3847"/>
    <w:rsid w:val="00EF6ACE"/>
    <w:rsid w:val="00F008B6"/>
    <w:rsid w:val="00F00E39"/>
    <w:rsid w:val="00F05572"/>
    <w:rsid w:val="00F05949"/>
    <w:rsid w:val="00F11AC5"/>
    <w:rsid w:val="00F131A4"/>
    <w:rsid w:val="00F13A30"/>
    <w:rsid w:val="00F16D1E"/>
    <w:rsid w:val="00F20956"/>
    <w:rsid w:val="00F21C98"/>
    <w:rsid w:val="00F22186"/>
    <w:rsid w:val="00F2323F"/>
    <w:rsid w:val="00F2472F"/>
    <w:rsid w:val="00F30D76"/>
    <w:rsid w:val="00F4465F"/>
    <w:rsid w:val="00F4497C"/>
    <w:rsid w:val="00F50FEC"/>
    <w:rsid w:val="00F64BA2"/>
    <w:rsid w:val="00F713CE"/>
    <w:rsid w:val="00F72205"/>
    <w:rsid w:val="00F7347C"/>
    <w:rsid w:val="00F73CF0"/>
    <w:rsid w:val="00F74D02"/>
    <w:rsid w:val="00F760ED"/>
    <w:rsid w:val="00F76671"/>
    <w:rsid w:val="00F822F1"/>
    <w:rsid w:val="00F849C6"/>
    <w:rsid w:val="00F84CC5"/>
    <w:rsid w:val="00F8503F"/>
    <w:rsid w:val="00F85D36"/>
    <w:rsid w:val="00F87F2E"/>
    <w:rsid w:val="00F87FD6"/>
    <w:rsid w:val="00F934A6"/>
    <w:rsid w:val="00FA0247"/>
    <w:rsid w:val="00FA0975"/>
    <w:rsid w:val="00FA0F9B"/>
    <w:rsid w:val="00FB69FD"/>
    <w:rsid w:val="00FC0B41"/>
    <w:rsid w:val="00FC1898"/>
    <w:rsid w:val="00FC4B96"/>
    <w:rsid w:val="00FD6D7A"/>
    <w:rsid w:val="00FE5D94"/>
    <w:rsid w:val="00FE6168"/>
    <w:rsid w:val="00FF7BFA"/>
    <w:rsid w:val="016536E6"/>
    <w:rsid w:val="018C38F5"/>
    <w:rsid w:val="01A54635"/>
    <w:rsid w:val="01B20BBC"/>
    <w:rsid w:val="01C54B55"/>
    <w:rsid w:val="01CC1A40"/>
    <w:rsid w:val="01DF5C17"/>
    <w:rsid w:val="01E44FDB"/>
    <w:rsid w:val="021C29C7"/>
    <w:rsid w:val="0283170F"/>
    <w:rsid w:val="02BE6609"/>
    <w:rsid w:val="031C69F7"/>
    <w:rsid w:val="03206784"/>
    <w:rsid w:val="03394EB3"/>
    <w:rsid w:val="03457CFC"/>
    <w:rsid w:val="03A10CAA"/>
    <w:rsid w:val="03D35307"/>
    <w:rsid w:val="04194CE4"/>
    <w:rsid w:val="04206073"/>
    <w:rsid w:val="043B2EAD"/>
    <w:rsid w:val="045301F6"/>
    <w:rsid w:val="04A85FE5"/>
    <w:rsid w:val="04B14F1D"/>
    <w:rsid w:val="052D4EEB"/>
    <w:rsid w:val="053F077B"/>
    <w:rsid w:val="05445D91"/>
    <w:rsid w:val="05542478"/>
    <w:rsid w:val="05E03D0C"/>
    <w:rsid w:val="06585F98"/>
    <w:rsid w:val="06626C98"/>
    <w:rsid w:val="06755013"/>
    <w:rsid w:val="06B50CF4"/>
    <w:rsid w:val="06CC4290"/>
    <w:rsid w:val="06D55DF1"/>
    <w:rsid w:val="07043A2A"/>
    <w:rsid w:val="070B125C"/>
    <w:rsid w:val="07AD5E6F"/>
    <w:rsid w:val="07E35D35"/>
    <w:rsid w:val="07E5385B"/>
    <w:rsid w:val="0827135A"/>
    <w:rsid w:val="08282010"/>
    <w:rsid w:val="0835444D"/>
    <w:rsid w:val="08601D11"/>
    <w:rsid w:val="0932487E"/>
    <w:rsid w:val="098B4C3B"/>
    <w:rsid w:val="09BA2AC6"/>
    <w:rsid w:val="09D516AE"/>
    <w:rsid w:val="0A0855DF"/>
    <w:rsid w:val="0A123669"/>
    <w:rsid w:val="0A1B3564"/>
    <w:rsid w:val="0A6B3875"/>
    <w:rsid w:val="0A7C7376"/>
    <w:rsid w:val="0A8F5D00"/>
    <w:rsid w:val="0B492B80"/>
    <w:rsid w:val="0BA50010"/>
    <w:rsid w:val="0BF027CF"/>
    <w:rsid w:val="0BF57DE5"/>
    <w:rsid w:val="0C040F6B"/>
    <w:rsid w:val="0C120997"/>
    <w:rsid w:val="0C28640C"/>
    <w:rsid w:val="0C4D19CF"/>
    <w:rsid w:val="0C523489"/>
    <w:rsid w:val="0C6B7CC7"/>
    <w:rsid w:val="0C760F26"/>
    <w:rsid w:val="0CA57101"/>
    <w:rsid w:val="0CD8398F"/>
    <w:rsid w:val="0CEE6D0E"/>
    <w:rsid w:val="0D40737D"/>
    <w:rsid w:val="0D6608AD"/>
    <w:rsid w:val="0D8B0A01"/>
    <w:rsid w:val="0E0A401C"/>
    <w:rsid w:val="0E236E8B"/>
    <w:rsid w:val="0E671DFE"/>
    <w:rsid w:val="0E927B6D"/>
    <w:rsid w:val="0EB126E9"/>
    <w:rsid w:val="0EDB1514"/>
    <w:rsid w:val="0EFD592E"/>
    <w:rsid w:val="0EFE3455"/>
    <w:rsid w:val="0F566ED4"/>
    <w:rsid w:val="0FAB53D3"/>
    <w:rsid w:val="0FB75ADD"/>
    <w:rsid w:val="0FBA381F"/>
    <w:rsid w:val="104435B2"/>
    <w:rsid w:val="10973B61"/>
    <w:rsid w:val="109C2F25"/>
    <w:rsid w:val="1112446A"/>
    <w:rsid w:val="112A22DF"/>
    <w:rsid w:val="113C57F9"/>
    <w:rsid w:val="11401B02"/>
    <w:rsid w:val="115313BB"/>
    <w:rsid w:val="117A3266"/>
    <w:rsid w:val="11830BFD"/>
    <w:rsid w:val="119836EC"/>
    <w:rsid w:val="11AC0F46"/>
    <w:rsid w:val="11AE2F10"/>
    <w:rsid w:val="11CB5870"/>
    <w:rsid w:val="11E70547"/>
    <w:rsid w:val="12015736"/>
    <w:rsid w:val="122338FE"/>
    <w:rsid w:val="123553DF"/>
    <w:rsid w:val="12635AA8"/>
    <w:rsid w:val="1299596E"/>
    <w:rsid w:val="12CF75E2"/>
    <w:rsid w:val="12EC1F42"/>
    <w:rsid w:val="135407C2"/>
    <w:rsid w:val="142749D3"/>
    <w:rsid w:val="142B0848"/>
    <w:rsid w:val="146F6F38"/>
    <w:rsid w:val="14771CDF"/>
    <w:rsid w:val="149503B7"/>
    <w:rsid w:val="150A4901"/>
    <w:rsid w:val="15436065"/>
    <w:rsid w:val="15C2342E"/>
    <w:rsid w:val="15F64E85"/>
    <w:rsid w:val="163D2AB4"/>
    <w:rsid w:val="169930A8"/>
    <w:rsid w:val="169C5A2D"/>
    <w:rsid w:val="16B34B25"/>
    <w:rsid w:val="16BF796D"/>
    <w:rsid w:val="172313D6"/>
    <w:rsid w:val="1757523B"/>
    <w:rsid w:val="17A834B1"/>
    <w:rsid w:val="17C84600"/>
    <w:rsid w:val="190665C9"/>
    <w:rsid w:val="192835A8"/>
    <w:rsid w:val="192F55C0"/>
    <w:rsid w:val="193C4E57"/>
    <w:rsid w:val="19FE255B"/>
    <w:rsid w:val="1A4B700E"/>
    <w:rsid w:val="1AA255DC"/>
    <w:rsid w:val="1ABA0B77"/>
    <w:rsid w:val="1ADD1E78"/>
    <w:rsid w:val="1B32070E"/>
    <w:rsid w:val="1B833F1E"/>
    <w:rsid w:val="1B972C67"/>
    <w:rsid w:val="1C024584"/>
    <w:rsid w:val="1C7B60E4"/>
    <w:rsid w:val="1CF9633C"/>
    <w:rsid w:val="1D5E143B"/>
    <w:rsid w:val="1DDE4B7D"/>
    <w:rsid w:val="1DE877AA"/>
    <w:rsid w:val="1E1E4F79"/>
    <w:rsid w:val="1E797379"/>
    <w:rsid w:val="1E8079E2"/>
    <w:rsid w:val="1E85324A"/>
    <w:rsid w:val="1EA070F2"/>
    <w:rsid w:val="1EED581A"/>
    <w:rsid w:val="1EFBB852"/>
    <w:rsid w:val="1F1620F4"/>
    <w:rsid w:val="1F4D1FBA"/>
    <w:rsid w:val="1F614D81"/>
    <w:rsid w:val="1F7871DE"/>
    <w:rsid w:val="1F793D64"/>
    <w:rsid w:val="1FAD2A59"/>
    <w:rsid w:val="1FCF0C21"/>
    <w:rsid w:val="1FE04BDC"/>
    <w:rsid w:val="20173184"/>
    <w:rsid w:val="20236F98"/>
    <w:rsid w:val="204333BD"/>
    <w:rsid w:val="205D622D"/>
    <w:rsid w:val="209634ED"/>
    <w:rsid w:val="20A420AE"/>
    <w:rsid w:val="20BC4559"/>
    <w:rsid w:val="20C3634C"/>
    <w:rsid w:val="20CA1A5A"/>
    <w:rsid w:val="20D83472"/>
    <w:rsid w:val="217D7A19"/>
    <w:rsid w:val="217E14A6"/>
    <w:rsid w:val="219B3439"/>
    <w:rsid w:val="219F0AC7"/>
    <w:rsid w:val="21B46321"/>
    <w:rsid w:val="21BF0821"/>
    <w:rsid w:val="21E464DA"/>
    <w:rsid w:val="21ED0826"/>
    <w:rsid w:val="22715FC0"/>
    <w:rsid w:val="227368B6"/>
    <w:rsid w:val="22CF2CE6"/>
    <w:rsid w:val="230706D2"/>
    <w:rsid w:val="230A01C2"/>
    <w:rsid w:val="23241284"/>
    <w:rsid w:val="23363564"/>
    <w:rsid w:val="236A005D"/>
    <w:rsid w:val="23731150"/>
    <w:rsid w:val="239A7FFF"/>
    <w:rsid w:val="2446522A"/>
    <w:rsid w:val="24896E79"/>
    <w:rsid w:val="24D93A69"/>
    <w:rsid w:val="24F4134C"/>
    <w:rsid w:val="252B4B4C"/>
    <w:rsid w:val="252D6A5F"/>
    <w:rsid w:val="25315EDA"/>
    <w:rsid w:val="25441769"/>
    <w:rsid w:val="261D1FBA"/>
    <w:rsid w:val="263755AB"/>
    <w:rsid w:val="269E134D"/>
    <w:rsid w:val="26A12BEB"/>
    <w:rsid w:val="26BB1EFF"/>
    <w:rsid w:val="26E15F04"/>
    <w:rsid w:val="270218DC"/>
    <w:rsid w:val="27174C5C"/>
    <w:rsid w:val="273F48DE"/>
    <w:rsid w:val="27402404"/>
    <w:rsid w:val="27C06969"/>
    <w:rsid w:val="27CD4CCF"/>
    <w:rsid w:val="28125025"/>
    <w:rsid w:val="28497097"/>
    <w:rsid w:val="285919D0"/>
    <w:rsid w:val="285D358F"/>
    <w:rsid w:val="288B0B54"/>
    <w:rsid w:val="288D1679"/>
    <w:rsid w:val="28956780"/>
    <w:rsid w:val="289C18BC"/>
    <w:rsid w:val="28F6721F"/>
    <w:rsid w:val="290851A4"/>
    <w:rsid w:val="295757E3"/>
    <w:rsid w:val="296C5733"/>
    <w:rsid w:val="29A11C8E"/>
    <w:rsid w:val="29B844D4"/>
    <w:rsid w:val="29DE51BC"/>
    <w:rsid w:val="2A6E1AA7"/>
    <w:rsid w:val="2AC450FA"/>
    <w:rsid w:val="2AE5754B"/>
    <w:rsid w:val="2B312BEA"/>
    <w:rsid w:val="2B6F150A"/>
    <w:rsid w:val="2B8378A4"/>
    <w:rsid w:val="2BC25ADE"/>
    <w:rsid w:val="2BF35C97"/>
    <w:rsid w:val="2C077995"/>
    <w:rsid w:val="2C1C3440"/>
    <w:rsid w:val="2C4E7372"/>
    <w:rsid w:val="2C907D44"/>
    <w:rsid w:val="2CC31B0E"/>
    <w:rsid w:val="2CD258AD"/>
    <w:rsid w:val="2D616C31"/>
    <w:rsid w:val="2DA03BFD"/>
    <w:rsid w:val="2DB33BE0"/>
    <w:rsid w:val="2DFA155F"/>
    <w:rsid w:val="2E2A77AC"/>
    <w:rsid w:val="2E3D769E"/>
    <w:rsid w:val="2E717214"/>
    <w:rsid w:val="2EB86D24"/>
    <w:rsid w:val="2F2919D0"/>
    <w:rsid w:val="2F5B602D"/>
    <w:rsid w:val="2F6B3D97"/>
    <w:rsid w:val="2F873370"/>
    <w:rsid w:val="2FC82297"/>
    <w:rsid w:val="2FE74437"/>
    <w:rsid w:val="3005243D"/>
    <w:rsid w:val="305B02AF"/>
    <w:rsid w:val="305F1B4D"/>
    <w:rsid w:val="30904B9B"/>
    <w:rsid w:val="30F304E8"/>
    <w:rsid w:val="31880C30"/>
    <w:rsid w:val="31B732C3"/>
    <w:rsid w:val="31DE40E8"/>
    <w:rsid w:val="31FB3EB6"/>
    <w:rsid w:val="320F4EAD"/>
    <w:rsid w:val="324A2389"/>
    <w:rsid w:val="3253491B"/>
    <w:rsid w:val="32662C14"/>
    <w:rsid w:val="326A2A2B"/>
    <w:rsid w:val="32E60304"/>
    <w:rsid w:val="32E77BD8"/>
    <w:rsid w:val="331A1E05"/>
    <w:rsid w:val="33211998"/>
    <w:rsid w:val="33243E3B"/>
    <w:rsid w:val="336244E6"/>
    <w:rsid w:val="339E298D"/>
    <w:rsid w:val="33C442A5"/>
    <w:rsid w:val="34580D8D"/>
    <w:rsid w:val="3458206D"/>
    <w:rsid w:val="34873421"/>
    <w:rsid w:val="34A25348"/>
    <w:rsid w:val="3529097C"/>
    <w:rsid w:val="35635C3C"/>
    <w:rsid w:val="35643762"/>
    <w:rsid w:val="356674DA"/>
    <w:rsid w:val="3576557D"/>
    <w:rsid w:val="35E23F3E"/>
    <w:rsid w:val="36EB4E93"/>
    <w:rsid w:val="372238D5"/>
    <w:rsid w:val="37313B18"/>
    <w:rsid w:val="37896817"/>
    <w:rsid w:val="37DC3A83"/>
    <w:rsid w:val="37F214F9"/>
    <w:rsid w:val="3825367C"/>
    <w:rsid w:val="385201EA"/>
    <w:rsid w:val="38907504"/>
    <w:rsid w:val="38B05A93"/>
    <w:rsid w:val="38B250D2"/>
    <w:rsid w:val="38B36EDA"/>
    <w:rsid w:val="38C132BF"/>
    <w:rsid w:val="38F832E8"/>
    <w:rsid w:val="395222D2"/>
    <w:rsid w:val="3A0D43C8"/>
    <w:rsid w:val="3A173499"/>
    <w:rsid w:val="3A557B1D"/>
    <w:rsid w:val="3A667B03"/>
    <w:rsid w:val="3A7E0E22"/>
    <w:rsid w:val="3B2E2848"/>
    <w:rsid w:val="3B5B52BE"/>
    <w:rsid w:val="3B7A3CDF"/>
    <w:rsid w:val="3B862684"/>
    <w:rsid w:val="3BE15B0C"/>
    <w:rsid w:val="3C1C08F2"/>
    <w:rsid w:val="3C477412"/>
    <w:rsid w:val="3C676344"/>
    <w:rsid w:val="3C7C3A87"/>
    <w:rsid w:val="3CB90837"/>
    <w:rsid w:val="3CB94393"/>
    <w:rsid w:val="3D393726"/>
    <w:rsid w:val="3D791D75"/>
    <w:rsid w:val="3D9F7FE4"/>
    <w:rsid w:val="3DA768E2"/>
    <w:rsid w:val="3DC54FBA"/>
    <w:rsid w:val="3DF71617"/>
    <w:rsid w:val="3E077380"/>
    <w:rsid w:val="3EC6723B"/>
    <w:rsid w:val="3ECC2CDB"/>
    <w:rsid w:val="3EE656A8"/>
    <w:rsid w:val="3EE9217D"/>
    <w:rsid w:val="3F214472"/>
    <w:rsid w:val="3F485EA2"/>
    <w:rsid w:val="40BE466E"/>
    <w:rsid w:val="40EC510F"/>
    <w:rsid w:val="410A340F"/>
    <w:rsid w:val="41113992"/>
    <w:rsid w:val="413735BC"/>
    <w:rsid w:val="41393CF5"/>
    <w:rsid w:val="41AA2E44"/>
    <w:rsid w:val="41AC685F"/>
    <w:rsid w:val="41AF3FB7"/>
    <w:rsid w:val="41B617E9"/>
    <w:rsid w:val="41EB2AB3"/>
    <w:rsid w:val="41F30347"/>
    <w:rsid w:val="428D254A"/>
    <w:rsid w:val="42A0071B"/>
    <w:rsid w:val="42A45AE6"/>
    <w:rsid w:val="42C85C93"/>
    <w:rsid w:val="42E859D2"/>
    <w:rsid w:val="43024B55"/>
    <w:rsid w:val="430F1E49"/>
    <w:rsid w:val="432D7889"/>
    <w:rsid w:val="43322FD5"/>
    <w:rsid w:val="43655E71"/>
    <w:rsid w:val="438F22F2"/>
    <w:rsid w:val="43A55D11"/>
    <w:rsid w:val="43CF2F74"/>
    <w:rsid w:val="43F073F4"/>
    <w:rsid w:val="44024872"/>
    <w:rsid w:val="44184095"/>
    <w:rsid w:val="446C56FB"/>
    <w:rsid w:val="44F468B0"/>
    <w:rsid w:val="4548374C"/>
    <w:rsid w:val="45A51959"/>
    <w:rsid w:val="45B1654F"/>
    <w:rsid w:val="45BB5620"/>
    <w:rsid w:val="45D95AA6"/>
    <w:rsid w:val="45E42985"/>
    <w:rsid w:val="46050383"/>
    <w:rsid w:val="467F03FC"/>
    <w:rsid w:val="46955E71"/>
    <w:rsid w:val="46D92ABC"/>
    <w:rsid w:val="46DB7996"/>
    <w:rsid w:val="471A1ED2"/>
    <w:rsid w:val="47511598"/>
    <w:rsid w:val="478A34FC"/>
    <w:rsid w:val="478D4D9A"/>
    <w:rsid w:val="47DC7CB0"/>
    <w:rsid w:val="48091D1E"/>
    <w:rsid w:val="485A1120"/>
    <w:rsid w:val="48812041"/>
    <w:rsid w:val="488F069E"/>
    <w:rsid w:val="48BF71D5"/>
    <w:rsid w:val="490F50CC"/>
    <w:rsid w:val="49273B38"/>
    <w:rsid w:val="49575214"/>
    <w:rsid w:val="495B132C"/>
    <w:rsid w:val="49D10E80"/>
    <w:rsid w:val="4A407EA2"/>
    <w:rsid w:val="4A513E5D"/>
    <w:rsid w:val="4A545FE5"/>
    <w:rsid w:val="4B1D01E3"/>
    <w:rsid w:val="4B5300A9"/>
    <w:rsid w:val="4B9F32EE"/>
    <w:rsid w:val="4BB260DE"/>
    <w:rsid w:val="4BBA1ED6"/>
    <w:rsid w:val="4BF70A34"/>
    <w:rsid w:val="4C110693"/>
    <w:rsid w:val="4C665E9D"/>
    <w:rsid w:val="4CFB6302"/>
    <w:rsid w:val="4D4E0B28"/>
    <w:rsid w:val="4D704F42"/>
    <w:rsid w:val="4D862070"/>
    <w:rsid w:val="4DAB41CC"/>
    <w:rsid w:val="4E824F2D"/>
    <w:rsid w:val="4EA22613"/>
    <w:rsid w:val="4EB726FD"/>
    <w:rsid w:val="4EBC46CA"/>
    <w:rsid w:val="4EDE5D75"/>
    <w:rsid w:val="4F870AB9"/>
    <w:rsid w:val="4F937CD3"/>
    <w:rsid w:val="4FA36964"/>
    <w:rsid w:val="4FCC3F86"/>
    <w:rsid w:val="4FEE40B1"/>
    <w:rsid w:val="506B379F"/>
    <w:rsid w:val="507C775A"/>
    <w:rsid w:val="50963268"/>
    <w:rsid w:val="50BE5C4F"/>
    <w:rsid w:val="50C609FA"/>
    <w:rsid w:val="510B0A72"/>
    <w:rsid w:val="513030FE"/>
    <w:rsid w:val="51595CED"/>
    <w:rsid w:val="51887748"/>
    <w:rsid w:val="52754DA9"/>
    <w:rsid w:val="5284304C"/>
    <w:rsid w:val="52930D5A"/>
    <w:rsid w:val="52ED493F"/>
    <w:rsid w:val="53377DFB"/>
    <w:rsid w:val="538C1421"/>
    <w:rsid w:val="53C85AC7"/>
    <w:rsid w:val="53CA6A6E"/>
    <w:rsid w:val="53E73A84"/>
    <w:rsid w:val="5411465D"/>
    <w:rsid w:val="541D1254"/>
    <w:rsid w:val="54210D44"/>
    <w:rsid w:val="54245C5C"/>
    <w:rsid w:val="542720D3"/>
    <w:rsid w:val="542D593B"/>
    <w:rsid w:val="545C3B2A"/>
    <w:rsid w:val="54662BFB"/>
    <w:rsid w:val="54A51975"/>
    <w:rsid w:val="54B90739"/>
    <w:rsid w:val="555B64D8"/>
    <w:rsid w:val="556E620B"/>
    <w:rsid w:val="55CD3553"/>
    <w:rsid w:val="565371AF"/>
    <w:rsid w:val="56755377"/>
    <w:rsid w:val="56933A4F"/>
    <w:rsid w:val="56EB6025"/>
    <w:rsid w:val="57234DD3"/>
    <w:rsid w:val="573B211D"/>
    <w:rsid w:val="57AC6B77"/>
    <w:rsid w:val="57D32355"/>
    <w:rsid w:val="58004109"/>
    <w:rsid w:val="581035A9"/>
    <w:rsid w:val="58A12453"/>
    <w:rsid w:val="58F702C5"/>
    <w:rsid w:val="59103135"/>
    <w:rsid w:val="59C26C47"/>
    <w:rsid w:val="5A3D72FB"/>
    <w:rsid w:val="5A9F0C15"/>
    <w:rsid w:val="5AA61FA3"/>
    <w:rsid w:val="5AA8741B"/>
    <w:rsid w:val="5AC90C67"/>
    <w:rsid w:val="5B2130BD"/>
    <w:rsid w:val="5B436719"/>
    <w:rsid w:val="5BC07095"/>
    <w:rsid w:val="5BC70423"/>
    <w:rsid w:val="5BEA5EBF"/>
    <w:rsid w:val="5BF705DC"/>
    <w:rsid w:val="5C193AD6"/>
    <w:rsid w:val="5C204263"/>
    <w:rsid w:val="5CBC5AAE"/>
    <w:rsid w:val="5CF54B1C"/>
    <w:rsid w:val="5CFD1C22"/>
    <w:rsid w:val="5D041203"/>
    <w:rsid w:val="5D186A5C"/>
    <w:rsid w:val="5D1F428F"/>
    <w:rsid w:val="5D213B63"/>
    <w:rsid w:val="5D416AC6"/>
    <w:rsid w:val="5D4D4958"/>
    <w:rsid w:val="5D896A3F"/>
    <w:rsid w:val="5DEF1EB3"/>
    <w:rsid w:val="5DFD3E98"/>
    <w:rsid w:val="5E1436C8"/>
    <w:rsid w:val="5E1D6DD4"/>
    <w:rsid w:val="5ED42179"/>
    <w:rsid w:val="5F0B0627"/>
    <w:rsid w:val="5F225C8B"/>
    <w:rsid w:val="5F284F6A"/>
    <w:rsid w:val="5F492FFA"/>
    <w:rsid w:val="5F69359F"/>
    <w:rsid w:val="5F7946D9"/>
    <w:rsid w:val="5F84662B"/>
    <w:rsid w:val="5FE33352"/>
    <w:rsid w:val="5FFE63DD"/>
    <w:rsid w:val="602D6CC3"/>
    <w:rsid w:val="605C7278"/>
    <w:rsid w:val="609D0ED4"/>
    <w:rsid w:val="60AE3960"/>
    <w:rsid w:val="60B437E3"/>
    <w:rsid w:val="60CE7D3F"/>
    <w:rsid w:val="61112140"/>
    <w:rsid w:val="612E684E"/>
    <w:rsid w:val="61712EE6"/>
    <w:rsid w:val="61A62889"/>
    <w:rsid w:val="61F60FB7"/>
    <w:rsid w:val="61FE0917"/>
    <w:rsid w:val="620B4DE2"/>
    <w:rsid w:val="62372319"/>
    <w:rsid w:val="626F437F"/>
    <w:rsid w:val="627604AD"/>
    <w:rsid w:val="62B17737"/>
    <w:rsid w:val="62D60F4C"/>
    <w:rsid w:val="63E64478"/>
    <w:rsid w:val="640815D9"/>
    <w:rsid w:val="648B7995"/>
    <w:rsid w:val="64B928D3"/>
    <w:rsid w:val="64BB7276"/>
    <w:rsid w:val="64C179D9"/>
    <w:rsid w:val="64E75692"/>
    <w:rsid w:val="65460C86"/>
    <w:rsid w:val="65A55B01"/>
    <w:rsid w:val="65D025CA"/>
    <w:rsid w:val="65EB16E3"/>
    <w:rsid w:val="65F91B21"/>
    <w:rsid w:val="66A31A8D"/>
    <w:rsid w:val="66B9305E"/>
    <w:rsid w:val="67CE48E7"/>
    <w:rsid w:val="67D0065F"/>
    <w:rsid w:val="68030A35"/>
    <w:rsid w:val="6809233A"/>
    <w:rsid w:val="6821710D"/>
    <w:rsid w:val="68B7537B"/>
    <w:rsid w:val="68C1444C"/>
    <w:rsid w:val="69366BE8"/>
    <w:rsid w:val="693F6A4B"/>
    <w:rsid w:val="696F582C"/>
    <w:rsid w:val="697274F4"/>
    <w:rsid w:val="6985191D"/>
    <w:rsid w:val="69B70141"/>
    <w:rsid w:val="69CC12FA"/>
    <w:rsid w:val="69CE5072"/>
    <w:rsid w:val="69D849A6"/>
    <w:rsid w:val="69FE7BAC"/>
    <w:rsid w:val="6A022F6E"/>
    <w:rsid w:val="6A18009C"/>
    <w:rsid w:val="6A4B09E3"/>
    <w:rsid w:val="6A794FDE"/>
    <w:rsid w:val="6ABC311D"/>
    <w:rsid w:val="6ACB15B2"/>
    <w:rsid w:val="6ADB7A47"/>
    <w:rsid w:val="6B0A7261"/>
    <w:rsid w:val="6BB26392"/>
    <w:rsid w:val="6BB65DBE"/>
    <w:rsid w:val="6BD91AAD"/>
    <w:rsid w:val="6BE741CA"/>
    <w:rsid w:val="6BF3491C"/>
    <w:rsid w:val="6C184383"/>
    <w:rsid w:val="6C47110C"/>
    <w:rsid w:val="6C501D6F"/>
    <w:rsid w:val="6C537AB1"/>
    <w:rsid w:val="6C7041BF"/>
    <w:rsid w:val="6C8639E2"/>
    <w:rsid w:val="6D107051"/>
    <w:rsid w:val="6D301BA0"/>
    <w:rsid w:val="6D797BF9"/>
    <w:rsid w:val="6E0C7F17"/>
    <w:rsid w:val="6E36758A"/>
    <w:rsid w:val="6E893A8D"/>
    <w:rsid w:val="6F1352D6"/>
    <w:rsid w:val="6F2158D5"/>
    <w:rsid w:val="6F3B4F58"/>
    <w:rsid w:val="6F463266"/>
    <w:rsid w:val="6FA7614A"/>
    <w:rsid w:val="70DD1E39"/>
    <w:rsid w:val="70EE7DA8"/>
    <w:rsid w:val="72824C4C"/>
    <w:rsid w:val="728C5ACB"/>
    <w:rsid w:val="72E0000C"/>
    <w:rsid w:val="731A30D6"/>
    <w:rsid w:val="7373363B"/>
    <w:rsid w:val="73753EB2"/>
    <w:rsid w:val="73CC024C"/>
    <w:rsid w:val="73CC2623"/>
    <w:rsid w:val="73E53131"/>
    <w:rsid w:val="74324450"/>
    <w:rsid w:val="74884070"/>
    <w:rsid w:val="74AE507D"/>
    <w:rsid w:val="74C23A26"/>
    <w:rsid w:val="74D80B53"/>
    <w:rsid w:val="74D90D77"/>
    <w:rsid w:val="74E05C5A"/>
    <w:rsid w:val="74E4574A"/>
    <w:rsid w:val="74F91565"/>
    <w:rsid w:val="75076C79"/>
    <w:rsid w:val="7516167C"/>
    <w:rsid w:val="75285195"/>
    <w:rsid w:val="75695C4F"/>
    <w:rsid w:val="759251A6"/>
    <w:rsid w:val="75A5137D"/>
    <w:rsid w:val="75D91027"/>
    <w:rsid w:val="767174B1"/>
    <w:rsid w:val="76A01B45"/>
    <w:rsid w:val="76AA4771"/>
    <w:rsid w:val="76CF41D8"/>
    <w:rsid w:val="76D346B9"/>
    <w:rsid w:val="76FD6F97"/>
    <w:rsid w:val="775546DD"/>
    <w:rsid w:val="77903967"/>
    <w:rsid w:val="77A94A29"/>
    <w:rsid w:val="77BC4229"/>
    <w:rsid w:val="77C500A0"/>
    <w:rsid w:val="77D64CA9"/>
    <w:rsid w:val="77E3618D"/>
    <w:rsid w:val="786A065C"/>
    <w:rsid w:val="789B25C4"/>
    <w:rsid w:val="79267AF5"/>
    <w:rsid w:val="794B223C"/>
    <w:rsid w:val="79C95889"/>
    <w:rsid w:val="79DE4E5E"/>
    <w:rsid w:val="79F77CCE"/>
    <w:rsid w:val="7A41363F"/>
    <w:rsid w:val="7A552C46"/>
    <w:rsid w:val="7A5E7D4D"/>
    <w:rsid w:val="7A925C48"/>
    <w:rsid w:val="7AC06311"/>
    <w:rsid w:val="7AF73720"/>
    <w:rsid w:val="7B62386D"/>
    <w:rsid w:val="7B6273C9"/>
    <w:rsid w:val="7B705F89"/>
    <w:rsid w:val="7B8B09B7"/>
    <w:rsid w:val="7B9854E0"/>
    <w:rsid w:val="7BC92F3D"/>
    <w:rsid w:val="7C4635A4"/>
    <w:rsid w:val="7C9A1F69"/>
    <w:rsid w:val="7CDA7B4F"/>
    <w:rsid w:val="7CEA3B1A"/>
    <w:rsid w:val="7D20578D"/>
    <w:rsid w:val="7D7C0CFB"/>
    <w:rsid w:val="7E0E3838"/>
    <w:rsid w:val="7E582D05"/>
    <w:rsid w:val="7E6D0D6A"/>
    <w:rsid w:val="7F137688"/>
    <w:rsid w:val="7F3A5747"/>
    <w:rsid w:val="FBBF05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4">
    <w:name w:val="toa heading"/>
    <w:basedOn w:val="1"/>
    <w:next w:val="1"/>
    <w:qFormat/>
    <w:uiPriority w:val="0"/>
    <w:pPr>
      <w:spacing w:before="120"/>
    </w:pPr>
    <w:rPr>
      <w:rFonts w:ascii="Arial" w:hAnsi="Arial"/>
      <w:sz w:val="24"/>
    </w:rPr>
  </w:style>
  <w:style w:type="paragraph" w:styleId="5">
    <w:name w:val="annotation text"/>
    <w:basedOn w:val="1"/>
    <w:link w:val="21"/>
    <w:qFormat/>
    <w:uiPriority w:val="0"/>
    <w:pPr>
      <w:jc w:val="left"/>
    </w:pPr>
  </w:style>
  <w:style w:type="paragraph" w:styleId="6">
    <w:name w:val="Balloon Text"/>
    <w:basedOn w:val="1"/>
    <w:link w:val="23"/>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link w:val="18"/>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100" w:beforeAutospacing="1" w:after="100" w:afterAutospacing="1"/>
      <w:jc w:val="left"/>
    </w:pPr>
    <w:rPr>
      <w:rFonts w:ascii="Calibri" w:hAnsi="Calibri"/>
      <w:kern w:val="0"/>
      <w:sz w:val="24"/>
    </w:rPr>
  </w:style>
  <w:style w:type="paragraph" w:styleId="10">
    <w:name w:val="annotation subject"/>
    <w:basedOn w:val="5"/>
    <w:next w:val="5"/>
    <w:link w:val="22"/>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FollowedHyperlink"/>
    <w:basedOn w:val="13"/>
    <w:qFormat/>
    <w:uiPriority w:val="0"/>
    <w:rPr>
      <w:color w:val="800080"/>
      <w:u w:val="single"/>
    </w:rPr>
  </w:style>
  <w:style w:type="character" w:styleId="16">
    <w:name w:val="Hyperlink"/>
    <w:basedOn w:val="13"/>
    <w:qFormat/>
    <w:uiPriority w:val="0"/>
    <w:rPr>
      <w:color w:val="0000FF"/>
      <w:u w:val="single"/>
    </w:rPr>
  </w:style>
  <w:style w:type="character" w:styleId="17">
    <w:name w:val="annotation reference"/>
    <w:basedOn w:val="13"/>
    <w:qFormat/>
    <w:uiPriority w:val="0"/>
    <w:rPr>
      <w:sz w:val="21"/>
      <w:szCs w:val="21"/>
    </w:rPr>
  </w:style>
  <w:style w:type="character" w:customStyle="1" w:styleId="18">
    <w:name w:val="页眉 字符"/>
    <w:basedOn w:val="13"/>
    <w:link w:val="8"/>
    <w:qFormat/>
    <w:uiPriority w:val="99"/>
    <w:rPr>
      <w:kern w:val="2"/>
      <w:sz w:val="18"/>
      <w:szCs w:val="18"/>
    </w:rPr>
  </w:style>
  <w:style w:type="character" w:customStyle="1" w:styleId="19">
    <w:name w:val="页脚 字符"/>
    <w:basedOn w:val="13"/>
    <w:link w:val="7"/>
    <w:qFormat/>
    <w:uiPriority w:val="99"/>
    <w:rPr>
      <w:kern w:val="2"/>
      <w:sz w:val="18"/>
      <w:szCs w:val="18"/>
    </w:rPr>
  </w:style>
  <w:style w:type="paragraph" w:styleId="20">
    <w:name w:val="List Paragraph"/>
    <w:basedOn w:val="1"/>
    <w:qFormat/>
    <w:uiPriority w:val="99"/>
    <w:pPr>
      <w:ind w:firstLine="420" w:firstLineChars="200"/>
    </w:pPr>
  </w:style>
  <w:style w:type="character" w:customStyle="1" w:styleId="21">
    <w:name w:val="批注文字 字符1"/>
    <w:basedOn w:val="13"/>
    <w:link w:val="5"/>
    <w:qFormat/>
    <w:uiPriority w:val="0"/>
    <w:rPr>
      <w:kern w:val="2"/>
      <w:sz w:val="21"/>
      <w:szCs w:val="24"/>
    </w:rPr>
  </w:style>
  <w:style w:type="character" w:customStyle="1" w:styleId="22">
    <w:name w:val="批注主题 字符"/>
    <w:basedOn w:val="21"/>
    <w:link w:val="10"/>
    <w:qFormat/>
    <w:uiPriority w:val="0"/>
    <w:rPr>
      <w:b/>
      <w:bCs/>
      <w:kern w:val="2"/>
      <w:sz w:val="21"/>
      <w:szCs w:val="24"/>
    </w:rPr>
  </w:style>
  <w:style w:type="character" w:customStyle="1" w:styleId="23">
    <w:name w:val="批注框文本 字符"/>
    <w:basedOn w:val="13"/>
    <w:link w:val="6"/>
    <w:qFormat/>
    <w:uiPriority w:val="0"/>
    <w:rPr>
      <w:kern w:val="2"/>
      <w:sz w:val="18"/>
      <w:szCs w:val="18"/>
    </w:rPr>
  </w:style>
  <w:style w:type="character" w:customStyle="1" w:styleId="24">
    <w:name w:val="批注文字 字符"/>
    <w:qFormat/>
    <w:uiPriority w:val="0"/>
    <w:rPr>
      <w:rFonts w:ascii="Times New Roman" w:eastAsia="宋体"/>
      <w:sz w:val="21"/>
    </w:rPr>
  </w:style>
  <w:style w:type="character" w:customStyle="1" w:styleId="25">
    <w:name w:val="p141"/>
    <w:qFormat/>
    <w:uiPriority w:val="0"/>
    <w:rPr>
      <w:sz w:val="21"/>
      <w:u w:val="none"/>
      <w:vertAlign w:val="baseline"/>
    </w:rPr>
  </w:style>
  <w:style w:type="paragraph" w:customStyle="1" w:styleId="26">
    <w:name w:val="z-窗体顶端1"/>
    <w:basedOn w:val="1"/>
    <w:next w:val="1"/>
    <w:link w:val="27"/>
    <w:qFormat/>
    <w:uiPriority w:val="0"/>
    <w:pPr>
      <w:pBdr>
        <w:bottom w:val="single" w:color="auto" w:sz="6" w:space="1"/>
      </w:pBdr>
      <w:jc w:val="center"/>
    </w:pPr>
    <w:rPr>
      <w:rFonts w:ascii="Arial"/>
      <w:vanish/>
      <w:sz w:val="16"/>
    </w:rPr>
  </w:style>
  <w:style w:type="character" w:customStyle="1" w:styleId="27">
    <w:name w:val="z-窗体顶端 字符"/>
    <w:basedOn w:val="13"/>
    <w:link w:val="26"/>
    <w:qFormat/>
    <w:uiPriority w:val="0"/>
    <w:rPr>
      <w:rFonts w:ascii="Arial"/>
      <w:vanish/>
      <w:kern w:val="2"/>
      <w:sz w:val="16"/>
      <w:szCs w:val="24"/>
    </w:rPr>
  </w:style>
  <w:style w:type="character" w:customStyle="1" w:styleId="28">
    <w:name w:val="未处理的提及1"/>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5864</Words>
  <Characters>7467</Characters>
  <Lines>46</Lines>
  <Paragraphs>12</Paragraphs>
  <TotalTime>4</TotalTime>
  <ScaleCrop>false</ScaleCrop>
  <LinksUpToDate>false</LinksUpToDate>
  <CharactersWithSpaces>7872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2022-09-29T08:01:00Z</dcterms:created>
  <dc:creator>lenovo</dc:creator>
  <cp:lastModifiedBy>喜喜</cp:lastModifiedBy>
  <cp:lastPrinted>2025-09-29T07:06:00Z</cp:lastPrinted>
  <dcterms:modified xsi:type="dcterms:W3CDTF">2025-12-01T14:29:44Z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E1D7A1E6127B4B5D856D327330FE33F5_13</vt:lpwstr>
  </property>
  <property fmtid="{D5CDD505-2E9C-101B-9397-08002B2CF9AE}" pid="4" name="KSOTemplateDocerSaveRecord">
    <vt:lpwstr>eyJoZGlkIjoiOWJmYTQxYWE2ZmJkNWJlYjExMjQ5ZmRjMTlhZjhjNjgiLCJ1c2VySWQiOiIyMTc1NTE5MCJ9</vt:lpwstr>
  </property>
</Properties>
</file>