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bCs/>
          <w:color w:val="888888"/>
          <w:sz w:val="20"/>
          <w:szCs w:val="20"/>
        </w:rPr>
        <w:t xml:space="preserve">RESEARCH PROPOSAL  —  V2</w:t>
      </w:r>
    </w:p>
    <w:p>
      <w:pPr>
        <w:spacing w:after="160" w:before="0"/>
        <w:jc w:val="center"/>
      </w:pPr>
      <w:r>
        <w:rPr>
          <w:rFonts w:ascii="Arial" w:cs="Arial" w:eastAsia="Arial" w:hAnsi="Arial"/>
          <w:b/>
          <w:bCs/>
          <w:color w:val="2E4A7A"/>
          <w:sz w:val="44"/>
          <w:szCs w:val="44"/>
        </w:rPr>
        <w:t xml:space="preserve">Spatial Familiarity as an Emergent State</w:t>
      </w:r>
    </w:p>
    <w:p>
      <w:pPr>
        <w:spacing w:after="80" w:before="0"/>
        <w:jc w:val="center"/>
      </w:pPr>
      <w:r>
        <w:rPr>
          <w:rFonts w:ascii="Arial" w:cs="Arial" w:eastAsia="Arial" w:hAnsi="Arial"/>
          <w:i/>
          <w:iCs/>
          <w:color w:val="1A6B4A"/>
          <w:sz w:val="28"/>
          <w:szCs w:val="28"/>
        </w:rPr>
        <w:t xml:space="preserve">Toward a Benchmark for Measuring How Space Acts on Embodied AI Agents</w:t>
      </w:r>
    </w:p>
    <w:p>
      <w:pPr>
        <w:spacing w:after="80" w:before="480"/>
        <w:jc w:val="center"/>
      </w:pPr>
      <w:r>
        <w:rPr>
          <w:rFonts w:ascii="Arial" w:cs="Arial" w:eastAsia="Arial" w:hAnsi="Arial"/>
          <w:b/>
          <w:bCs/>
          <w:color w:val="444444"/>
          <w:sz w:val="24"/>
          <w:szCs w:val="24"/>
        </w:rPr>
        <w:t xml:space="preserve">DAI SHIQI  |  EVA</w:t>
      </w:r>
    </w:p>
    <w:p>
      <w:pPr>
        <w:spacing w:after="60" w:before="0"/>
        <w:jc w:val="center"/>
      </w:pPr>
      <w:r>
        <w:rPr>
          <w:rFonts w:ascii="Arial" w:cs="Arial" w:eastAsia="Arial" w:hAnsi="Arial"/>
          <w:color w:val="666666"/>
          <w:sz w:val="22"/>
          <w:szCs w:val="22"/>
        </w:rPr>
        <w:t xml:space="preserve">M.Arch &amp; Urban Studies  |  Tsinghua University</w:t>
      </w:r>
    </w:p>
    <w:p>
      <w:pPr>
        <w:spacing w:after="60" w:before="0"/>
        <w:jc w:val="center"/>
      </w:pPr>
      <w:r>
        <w:rPr>
          <w:rFonts w:ascii="Arial" w:cs="Arial" w:eastAsia="Arial" w:hAnsi="Arial"/>
          <w:color w:val="666666"/>
          <w:sz w:val="22"/>
          <w:szCs w:val="22"/>
        </w:rPr>
        <w:t xml:space="preserve">daisq24@mails.tsinghua.edu.cn</w:t>
      </w:r>
    </w:p>
    <w:p>
      <w:pPr>
        <w:spacing w:after="60" w:before="0"/>
        <w:jc w:val="center"/>
      </w:pPr>
      <w:r>
        <w:rPr>
          <w:rFonts w:ascii="Arial" w:cs="Arial" w:eastAsia="Arial" w:hAnsi="Arial"/>
          <w:color w:val="888888"/>
          <w:sz w:val="22"/>
          <w:szCs w:val="22"/>
        </w:rPr>
        <w:t xml:space="preserve">April 2026</w:t>
      </w:r>
    </w:p>
    <w:p>
      <w:pPr>
        <w:pBdr>
          <w:bottom w:val="single" w:color="2E4A7A" w:sz="8" w:space="1"/>
        </w:pBdr>
        <w:spacing w:after="0" w:before="1200"/>
      </w:pPr>
      <w:r>
        <w:t xml:space="preserve"/>
      </w:r>
    </w:p>
    <w:p>
      <w:pPr>
        <w:spacing w:after="60" w:before="60"/>
      </w:pPr>
      <w:r>
        <w:t xml:space="preserve"/>
      </w:r>
    </w:p>
    <w:p>
      <w:pPr>
        <w:spacing w:after="60" w:before="60"/>
      </w:pPr>
      <w:r>
        <w:t xml:space="preserve"/>
      </w:r>
    </w:p>
    <w:p>
      <w:pPr>
        <w:pStyle w:val="Heading1"/>
        <w:spacing w:after="120" w:before="360"/>
      </w:pPr>
      <w:r>
        <w:rPr>
          <w:rFonts w:ascii="Arial" w:cs="Arial" w:eastAsia="Arial" w:hAnsi="Arial"/>
          <w:b/>
          <w:bCs/>
          <w:color w:val="2E4A7A"/>
          <w:sz w:val="32"/>
          <w:szCs w:val="32"/>
        </w:rPr>
        <w:t xml:space="preserve">Abstract</w:t>
      </w:r>
    </w:p>
    <w:p>
      <w:pPr>
        <w:spacing w:after="120" w:before="80" w:line="360"/>
        <w:jc w:val="both"/>
      </w:pPr>
      <w:r>
        <w:rPr>
          <w:rFonts w:ascii="Arial" w:cs="Arial" w:eastAsia="Arial" w:hAnsi="Arial"/>
          <w:sz w:val="22"/>
          <w:szCs w:val="22"/>
        </w:rPr>
        <w:t xml:space="preserve">Current embodied AI research measures how agents act on space: navigating it, mapping it, manipulating it. This proposal identifies a fundamental gap: no existing benchmark measures how space acts on agents. In human spatial cognition, familiarity is not merely accumulated knowledge—it is a dynamic shift in internal state that changes attention patterns, behavioral efficiency, anomaly sensitivity, and affective response. This research proposes Spatial Familiarity as an Emergent State (SFES), a benchmark designed to measure whether and how AI agents develop familiarity with space through repeated exposure. Drawing on environmental psychology (Kaplan's Attention Restoration Theory), neuroscience (hippocampal place and grid cells), cognitive neuroscience (Peripersonal Space and affordance theory), architectural analysis (Isovist / Space Syntax / 3D visibility metrics), urban perception research (PlacePulse), and the Theory of Space framework (Zhang et al., ICLR 2026), we design a five-dimensional evaluation protocol spanning: (1) single-agent familiarity emergence, (2) body-scale spatial sensitivity (Peripersonal Space dynamics), (3) active spatial modification capacity, (4) isovist-grounded subjective perception scoring, and (5) multi-agent collective spatial memory. The result is a novel research direction at the intersection of embodied AI, architecture, and cognitive science—one that is uniquely enabled by an architectural background that understands space as experienced, not merely measured.</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2E4A7A"/>
          <w:sz w:val="32"/>
          <w:szCs w:val="32"/>
        </w:rPr>
        <w:t xml:space="preserve">1  Motivation: The Missing Direction of Spatial Intelligence</w:t>
      </w:r>
    </w:p>
    <w:p>
      <w:pPr>
        <w:pStyle w:val="Heading2"/>
        <w:spacing w:after="80" w:before="280"/>
      </w:pPr>
      <w:r>
        <w:rPr>
          <w:rFonts w:ascii="Arial" w:cs="Arial" w:eastAsia="Arial" w:hAnsi="Arial"/>
          <w:b/>
          <w:bCs/>
          <w:color w:val="1A6B4A"/>
          <w:sz w:val="26"/>
          <w:szCs w:val="26"/>
        </w:rPr>
        <w:t xml:space="preserve">1.1  The Asymmetry Problem</w:t>
      </w:r>
    </w:p>
    <w:p>
      <w:pPr>
        <w:spacing w:after="120" w:before="80" w:line="360"/>
        <w:jc w:val="both"/>
      </w:pPr>
      <w:r>
        <w:rPr>
          <w:rFonts w:ascii="Arial" w:cs="Arial" w:eastAsia="Arial" w:hAnsi="Arial"/>
          <w:sz w:val="22"/>
          <w:szCs w:val="22"/>
        </w:rPr>
        <w:t xml:space="preserve">Every major benchmark in embodied spatial AI tests a single direction of interaction: agent → space. The agent perceives geometry, navigates corridors, locates objects, or builds cognitive maps. The assumption is that space is a static container and the agent is the only active party.</w:t>
      </w:r>
    </w:p>
    <w:p>
      <w:pPr>
        <w:spacing w:after="120" w:before="80" w:line="360"/>
        <w:jc w:val="both"/>
      </w:pPr>
      <w:r>
        <w:rPr>
          <w:rFonts w:ascii="Arial" w:cs="Arial" w:eastAsia="Arial" w:hAnsi="Arial"/>
          <w:sz w:val="22"/>
          <w:szCs w:val="22"/>
        </w:rPr>
        <w:t xml:space="preserve">This assumption is wrong for humans—and the gap it creates in AI is enormous.</w:t>
      </w:r>
    </w:p>
    <w:p>
      <w:pPr>
        <w:spacing w:after="120" w:before="80" w:line="360"/>
        <w:jc w:val="both"/>
      </w:pPr>
      <w:r>
        <w:rPr>
          <w:rFonts w:ascii="Arial" w:cs="Arial" w:eastAsia="Arial" w:hAnsi="Arial"/>
          <w:sz w:val="22"/>
          <w:szCs w:val="22"/>
        </w:rPr>
        <w:t xml:space="preserve">When a person enters a space for the first time, the space acts on them: it demands attention, produces uncertainty, triggers the alerting system. When they return repeatedly, something changes. The space stops demanding and starts affording. Attention shifts inward. Navigation becomes automatic. Anomalies become immediately salient. The person also develops a bodily sense of the space's scale relative to their own reach and movement—what neuroscience calls peripersonal space. And crucially, they develop the capacity and desire to modify the space: to move furniture, open windows, arrange objects—to make the space their own.</w:t>
      </w:r>
    </w:p>
    <w:p>
      <w:pPr>
        <w:spacing w:after="120" w:before="80" w:line="360"/>
        <w:jc w:val="both"/>
      </w:pPr>
      <w:r>
        <w:rPr>
          <w:rFonts w:ascii="Arial" w:cs="Arial" w:eastAsia="Arial" w:hAnsi="Arial"/>
          <w:sz w:val="22"/>
          <w:szCs w:val="22"/>
        </w:rPr>
        <w:t xml:space="preserve">None of these capacities are measured by any current AI benchmark.</w:t>
      </w:r>
    </w:p>
    <w:p>
      <w:pPr>
        <w:pStyle w:val="Heading2"/>
        <w:spacing w:after="80" w:before="280"/>
      </w:pPr>
      <w:r>
        <w:rPr>
          <w:rFonts w:ascii="Arial" w:cs="Arial" w:eastAsia="Arial" w:hAnsi="Arial"/>
          <w:b/>
          <w:bCs/>
          <w:color w:val="1A6B4A"/>
          <w:sz w:val="26"/>
          <w:szCs w:val="26"/>
        </w:rPr>
        <w:t xml:space="preserve">1.2  Three Unmeasured Dimensions</w:t>
      </w:r>
    </w:p>
    <w:p>
      <w:pPr>
        <w:spacing w:after="120" w:before="80" w:line="360"/>
        <w:jc w:val="both"/>
      </w:pPr>
      <w:r>
        <w:rPr>
          <w:rFonts w:ascii="Arial" w:cs="Arial" w:eastAsia="Arial" w:hAnsi="Arial"/>
          <w:sz w:val="22"/>
          <w:szCs w:val="22"/>
        </w:rPr>
        <w:t xml:space="preserve">This proposal targets three dimensions of spatial intelligence that are systematically absent from existing AI evaluation frameworks:</w:t>
      </w:r>
    </w:p>
    <w:p>
      <w:pPr>
        <w:pStyle w:val="ListParagraph"/>
        <w:numPr>
          <w:ilvl w:val="0"/>
          <w:numId w:val="2"/>
        </w:numPr>
        <w:spacing w:after="40" w:before="40" w:line="320"/>
      </w:pPr>
      <w:r>
        <w:rPr>
          <w:rFonts w:ascii="Arial" w:cs="Arial" w:eastAsia="Arial" w:hAnsi="Arial"/>
          <w:sz w:val="22"/>
          <w:szCs w:val="22"/>
        </w:rPr>
        <w:t xml:space="preserve">Space → Agent: How repeated exposure to the same environment changes the agent's internal state (familiarity, atmospheric sensitivity, prediction accuracy).</w:t>
      </w:r>
    </w:p>
    <w:p>
      <w:pPr>
        <w:pStyle w:val="ListParagraph"/>
        <w:numPr>
          <w:ilvl w:val="0"/>
          <w:numId w:val="2"/>
        </w:numPr>
        <w:spacing w:after="40" w:before="40" w:line="320"/>
      </w:pPr>
      <w:r>
        <w:rPr>
          <w:rFonts w:ascii="Arial" w:cs="Arial" w:eastAsia="Arial" w:hAnsi="Arial"/>
          <w:sz w:val="22"/>
          <w:szCs w:val="22"/>
        </w:rPr>
        <w:t xml:space="preserve">Body-Scale Awareness: Whether the agent develops a dynamic sense of how its action capacity relates to the surrounding space—the peripersonal dimension of spatial intelligence.</w:t>
      </w:r>
    </w:p>
    <w:p>
      <w:pPr>
        <w:pStyle w:val="ListParagraph"/>
        <w:numPr>
          <w:ilvl w:val="0"/>
          <w:numId w:val="2"/>
        </w:numPr>
        <w:spacing w:after="40" w:before="40" w:line="320"/>
      </w:pPr>
      <w:r>
        <w:rPr>
          <w:rFonts w:ascii="Arial" w:cs="Arial" w:eastAsia="Arial" w:hAnsi="Arial"/>
          <w:sz w:val="22"/>
          <w:szCs w:val="22"/>
        </w:rPr>
        <w:t xml:space="preserve">Active Spatial Modification: Whether the agent can not only perceive and map space, but evaluate it, judge what needs to change, and intervene purposefully—architecture's most fundamental competence.</w:t>
      </w:r>
    </w:p>
    <w:p>
      <w:pPr>
        <w:spacing w:after="60" w:before="60"/>
      </w:pPr>
      <w:r>
        <w:t xml:space="preserve"/>
      </w:r>
    </w:p>
    <w:p>
      <w:pPr>
        <w:spacing w:after="120" w:before="80" w:line="360"/>
        <w:jc w:val="both"/>
      </w:pPr>
      <w:r>
        <w:rPr>
          <w:rFonts w:ascii="Arial" w:cs="Arial" w:eastAsia="Arial" w:hAnsi="Arial"/>
          <w:sz w:val="22"/>
          <w:szCs w:val="22"/>
        </w:rPr>
        <w:t xml:space="preserve">Together these three dimensions constitute what this proposal calls full spatial intelligence: the capacity to be shaped by space, to feel oneself in space, and to reshape space with intention.</w:t>
      </w:r>
    </w:p>
    <w:p>
      <w:pPr>
        <w:pStyle w:val="Heading2"/>
        <w:spacing w:after="80" w:before="280"/>
      </w:pPr>
      <w:r>
        <w:rPr>
          <w:rFonts w:ascii="Arial" w:cs="Arial" w:eastAsia="Arial" w:hAnsi="Arial"/>
          <w:b/>
          <w:bCs/>
          <w:color w:val="1A6B4A"/>
          <w:sz w:val="26"/>
          <w:szCs w:val="26"/>
        </w:rPr>
        <w:t xml:space="preserve">1.3  What Theory of Space Revealed—and Left Open</w:t>
      </w:r>
    </w:p>
    <w:p>
      <w:pPr>
        <w:spacing w:after="120" w:before="80" w:line="360"/>
        <w:jc w:val="both"/>
      </w:pPr>
      <w:r>
        <w:rPr>
          <w:rFonts w:ascii="Arial" w:cs="Arial" w:eastAsia="Arial" w:hAnsi="Arial"/>
          <w:sz w:val="22"/>
          <w:szCs w:val="22"/>
        </w:rPr>
        <w:t xml:space="preserve">Zhang et al. (ICLR 2026) introduced Theory of Space (ToS), testing whether foundation models can actively construct, revise, and exploit spatial beliefs through self-directed exploration. Its key findings: models suffer an Active-Passive Gap (GPT-5.2: 57.1% → 46.0%), explore inefficiently (foundation models need ≥14 steps vs. rule-based agents' ~9), and exhibit Belief Inertia (failure to update spatial priors when environments change).</w:t>
      </w:r>
    </w:p>
    <w:p>
      <w:pPr>
        <w:spacing w:after="120" w:before="80" w:line="360"/>
        <w:jc w:val="both"/>
      </w:pPr>
      <w:r>
        <w:rPr>
          <w:rFonts w:ascii="Arial" w:cs="Arial" w:eastAsia="Arial" w:hAnsi="Arial"/>
          <w:sz w:val="22"/>
          <w:szCs w:val="22"/>
        </w:rPr>
        <w:t xml:space="preserve">Belief Inertia is the negative signature of familiarity. This proposal asks: what is the positive developmental trajectory? How does a healthy spatial prior form, stabilize, and then enable rapid anomaly detection? And beyond belief construction, can agents develop the body-scale awareness and intentional modification capacity that constitute mature spatial intelligence?</w:t>
      </w:r>
    </w:p>
    <w:p>
      <w:pPr>
        <w:pStyle w:val="Heading2"/>
        <w:spacing w:after="80" w:before="280"/>
      </w:pPr>
      <w:r>
        <w:rPr>
          <w:rFonts w:ascii="Arial" w:cs="Arial" w:eastAsia="Arial" w:hAnsi="Arial"/>
          <w:b/>
          <w:bCs/>
          <w:color w:val="1A6B4A"/>
          <w:sz w:val="26"/>
          <w:szCs w:val="26"/>
        </w:rPr>
        <w:t xml:space="preserve">1.4  The Architectural Insight</w:t>
      </w:r>
    </w:p>
    <w:p>
      <w:pPr>
        <w:spacing w:after="120" w:before="80" w:line="360"/>
        <w:jc w:val="both"/>
      </w:pPr>
      <w:r>
        <w:rPr>
          <w:rFonts w:ascii="Arial" w:cs="Arial" w:eastAsia="Arial" w:hAnsi="Arial"/>
          <w:sz w:val="22"/>
          <w:szCs w:val="22"/>
        </w:rPr>
        <w:t xml:space="preserve">Architecture is the oldest systematic discipline for understanding how space shapes human experience. Architects design not for geometric correctness but for specific human states: intimacy, grandeur, calm, belonging. This requires understanding space from the inside—as a body moving through it, not as a point cloud to be measured.</w:t>
      </w:r>
    </w:p>
    <w:p>
      <w:pPr>
        <w:spacing w:after="120" w:before="80" w:line="360"/>
        <w:jc w:val="both"/>
      </w:pPr>
      <w:r>
        <w:rPr>
          <w:rFonts w:ascii="Arial" w:cs="Arial" w:eastAsia="Arial" w:hAnsi="Arial"/>
          <w:sz w:val="22"/>
          <w:szCs w:val="22"/>
        </w:rPr>
        <w:t xml:space="preserve">The proposer's dual training in architecture and AI creates a unique position: the architectural intuition that space is experienced combined with the technical capacity to formalize this into a computational benchmark.</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2E4A7A"/>
          <w:sz w:val="32"/>
          <w:szCs w:val="32"/>
        </w:rPr>
        <w:t xml:space="preserve">2  Interdisciplinary Literature Review</w:t>
      </w:r>
    </w:p>
    <w:p>
      <w:pPr>
        <w:pStyle w:val="Heading2"/>
        <w:spacing w:after="80" w:before="280"/>
      </w:pPr>
      <w:r>
        <w:rPr>
          <w:rFonts w:ascii="Arial" w:cs="Arial" w:eastAsia="Arial" w:hAnsi="Arial"/>
          <w:b/>
          <w:bCs/>
          <w:color w:val="1A6B4A"/>
          <w:sz w:val="26"/>
          <w:szCs w:val="26"/>
        </w:rPr>
        <w:t xml:space="preserve">2.1  Environmental Psychology: Measuring Space-on-Person Effects</w:t>
      </w:r>
    </w:p>
    <w:p>
      <w:pPr>
        <w:pStyle w:val="Heading3"/>
        <w:spacing w:after="60" w:before="200"/>
      </w:pPr>
      <w:r>
        <w:rPr>
          <w:rFonts w:ascii="Arial" w:cs="Arial" w:eastAsia="Arial" w:hAnsi="Arial"/>
          <w:b/>
          <w:bCs/>
          <w:color w:val="444444"/>
          <w:sz w:val="24"/>
          <w:szCs w:val="24"/>
        </w:rPr>
        <w:t xml:space="preserve">2.1.1  Attention Restoration Theory</w:t>
      </w:r>
    </w:p>
    <w:p>
      <w:pPr>
        <w:spacing w:after="120" w:before="80" w:line="360"/>
        <w:jc w:val="both"/>
      </w:pPr>
      <w:r>
        <w:rPr>
          <w:rFonts w:ascii="Arial" w:cs="Arial" w:eastAsia="Arial" w:hAnsi="Arial"/>
          <w:sz w:val="22"/>
          <w:szCs w:val="22"/>
        </w:rPr>
        <w:t xml:space="preserve">Kaplan &amp; Kaplan (1989, 1995) proposed that certain environments restore directed attention capacity through four properties: fascination (effortless capture of attention), being away (psychological distance from routine demands), extent (sufficient scope to feel immersed), and compatibility (match between environment and individual goals). Crucially, familiarity is a prerequisite for restoration: an environment must be at least somewhat familiar and coherent for restorative effects to emerge. Unfamiliar environments activate alerting systems; familiar ones enable recovery.</w:t>
      </w:r>
    </w:p>
    <w:p>
      <w:pPr>
        <w:spacing w:after="120" w:before="80" w:line="360"/>
        <w:jc w:val="both"/>
      </w:pPr>
      <w:r>
        <w:rPr>
          <w:rFonts w:ascii="Arial" w:cs="Arial" w:eastAsia="Arial" w:hAnsi="Arial"/>
          <w:sz w:val="22"/>
          <w:szCs w:val="22"/>
        </w:rPr>
        <w:t xml:space="preserve">A 2026 VR study (Frontiers in Psychology) directly measured the interaction between spatial familiarity and affective response, finding that lower familiarity is associated with increased negative affect, while Heart Rate Variability (HRV) measurements show consistent arousal reduction with repeated exposure regardless of familiarity level. This partial decoupling of physiological and subjective measures is methodologically important: it means familiarity has both measurable behavioral and internal-state signatures.</w:t>
      </w:r>
    </w:p>
    <w:p>
      <w:pPr>
        <w:pStyle w:val="Heading3"/>
        <w:spacing w:after="60" w:before="200"/>
      </w:pPr>
      <w:r>
        <w:rPr>
          <w:rFonts w:ascii="Arial" w:cs="Arial" w:eastAsia="Arial" w:hAnsi="Arial"/>
          <w:b/>
          <w:bCs/>
          <w:color w:val="444444"/>
          <w:sz w:val="24"/>
          <w:szCs w:val="24"/>
        </w:rPr>
        <w:t xml:space="preserve">2.1.2  Measurable Indicators from Environmental Psychology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Indicator</w:t>
            </w:r>
          </w:p>
        </w:tc>
        <w:tc>
          <w:tcPr>
            <w:tcW w:type="dxa" w:w="6560"/>
            <w:tcBorders>
              <w:top w:val="single" w:color="CCCCCC" w:sz="1"/>
              <w:left w:val="single" w:color="CCCCCC" w:sz="1"/>
              <w:bottom w:val="single" w:color="CCCCCC" w:sz="1"/>
              <w:right w:val="single" w:color="CCCCCC" w:sz="1"/>
            </w:tcBorders>
            <w:shd w:fill="2E4A7A" w:val="clear"/>
            <w:tcMar>
              <w:top w:type="dxa" w:w="100"/>
              <w:left w:type="dxa" w:w="140"/>
              <w:bottom w:type="dxa" w:w="100"/>
              <w:right w:type="dxa" w:w="140"/>
            </w:tcMar>
          </w:tcPr>
          <w:p>
            <w:r>
              <w:rPr>
                <w:rFonts w:ascii="Arial" w:cs="Arial" w:eastAsia="Arial" w:hAnsi="Arial"/>
                <w:color w:val="FFFFFF"/>
                <w:sz w:val="20"/>
                <w:szCs w:val="20"/>
              </w:rPr>
              <w:t xml:space="preserve">Operationalization</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Directed attention fatigue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Performance on Digit Span Backwards, Trail Making B, Stroop interference</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Restorative quality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Perceived Restorativeness Scale (PRS); 4 sub-scales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Spatial familiarity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Self-report 5-point scale; response time to spatial queries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Anomaly detection latency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Time to identify environmental changes; eye-tracking saccades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Affective response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Heart Rate Variability (HRV); salivary cortisol; POMS mood scale</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Behavioral automaticity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Path efficiency ratio; decision latency at choice points</w:t>
            </w:r>
          </w:p>
        </w:tc>
      </w:tr>
    </w:tbl>
    <w:p>
      <w:pPr>
        <w:spacing w:after="60" w:before="60"/>
      </w:pPr>
      <w:r>
        <w:t xml:space="preserve"/>
      </w:r>
    </w:p>
    <w:p>
      <w:pPr>
        <w:pStyle w:val="Heading3"/>
        <w:spacing w:after="60" w:before="200"/>
      </w:pPr>
      <w:r>
        <w:rPr>
          <w:rFonts w:ascii="Arial" w:cs="Arial" w:eastAsia="Arial" w:hAnsi="Arial"/>
          <w:b/>
          <w:bCs/>
          <w:color w:val="444444"/>
          <w:sz w:val="24"/>
          <w:szCs w:val="24"/>
        </w:rPr>
        <w:t xml:space="preserve">2.1.3  Urban Perception Datasets (PlacePulse and Beyond)</w:t>
      </w:r>
    </w:p>
    <w:p>
      <w:pPr>
        <w:spacing w:after="120" w:before="80" w:line="360"/>
        <w:jc w:val="both"/>
      </w:pPr>
      <w:r>
        <w:rPr>
          <w:rFonts w:ascii="Arial" w:cs="Arial" w:eastAsia="Arial" w:hAnsi="Arial"/>
          <w:sz w:val="22"/>
          <w:szCs w:val="22"/>
        </w:rPr>
        <w:t xml:space="preserve">MIT Media Lab's PlacePulse project collected over 1 million pairwise preferences across 50+ cities, training models to predict six perceptual dimensions: safety, beauty, liveliness, wealth, depression, and boredom. Deep learning models achieved 74% prediction accuracy on PlacePulse 2.0 (Dubey et al., 2016). PlacePulse establishes a proof of concept: subjective spatial experience is learnable and transferable. However, it measures static, instantaneous perception. This proposal extends this paradigm temporally: not how does a space feel at first glance, but how does the felt quality of a space evolve with repeated exposure?</w:t>
      </w:r>
    </w:p>
    <w:p>
      <w:pPr>
        <w:pStyle w:val="Heading2"/>
        <w:spacing w:after="80" w:before="280"/>
      </w:pPr>
      <w:r>
        <w:rPr>
          <w:rFonts w:ascii="Arial" w:cs="Arial" w:eastAsia="Arial" w:hAnsi="Arial"/>
          <w:b/>
          <w:bCs/>
          <w:color w:val="1A6B4A"/>
          <w:sz w:val="26"/>
          <w:szCs w:val="26"/>
        </w:rPr>
        <w:t xml:space="preserve">2.2  Neuroscience: The Neural Architecture of Spatial Familiarity</w:t>
      </w:r>
    </w:p>
    <w:p>
      <w:pPr>
        <w:pStyle w:val="Heading3"/>
        <w:spacing w:after="60" w:before="200"/>
      </w:pPr>
      <w:r>
        <w:rPr>
          <w:rFonts w:ascii="Arial" w:cs="Arial" w:eastAsia="Arial" w:hAnsi="Arial"/>
          <w:b/>
          <w:bCs/>
          <w:color w:val="444444"/>
          <w:sz w:val="24"/>
          <w:szCs w:val="24"/>
        </w:rPr>
        <w:t xml:space="preserve">2.2.1  Place Cells, Grid Cells, and Familiarity Encoding</w:t>
      </w:r>
    </w:p>
    <w:p>
      <w:pPr>
        <w:spacing w:after="120" w:before="80" w:line="360"/>
        <w:jc w:val="both"/>
      </w:pPr>
      <w:r>
        <w:rPr>
          <w:rFonts w:ascii="Arial" w:cs="Arial" w:eastAsia="Arial" w:hAnsi="Arial"/>
          <w:sz w:val="22"/>
          <w:szCs w:val="22"/>
        </w:rPr>
        <w:t xml:space="preserve">O'Keefe &amp; Dostrovsky (1971) discovered place cells in the rat hippocampus—neurons that fire selectively at specific locations. With repeated exposure, place cell representations stabilize: the same cells fire at the same locations with increasing reliability. In novel environments, global remapping occurs (the spatial representation reorganizes); in familiar ones, only rate remapping occurs (firing rates change but spatial locations are preserved). This distinction is the neural signature of familiarity—a qualitatively different mode of spatial representation, not merely more knowledge.</w:t>
      </w:r>
    </w:p>
    <w:p>
      <w:pPr>
        <w:spacing w:after="120" w:before="80" w:line="360"/>
        <w:jc w:val="both"/>
      </w:pPr>
      <w:r>
        <w:rPr>
          <w:rFonts w:ascii="Arial" w:cs="Arial" w:eastAsia="Arial" w:hAnsi="Arial"/>
          <w:sz w:val="22"/>
          <w:szCs w:val="22"/>
        </w:rPr>
        <w:t xml:space="preserve">A critical finding: memory encoding is preferentially triggered by novelty, while retrieval is triggered by familiarity (Tulving et al., 1996; Howard et al., 2005). This means a familiar space shifts the agent from encoding-dominant to retrieval-dominant mode—a fundamental computational shift that is directly measurable in agent behavior.</w:t>
      </w:r>
    </w:p>
    <w:p>
      <w:pPr>
        <w:pStyle w:val="Heading3"/>
        <w:spacing w:after="60" w:before="200"/>
      </w:pPr>
      <w:r>
        <w:rPr>
          <w:rFonts w:ascii="Arial" w:cs="Arial" w:eastAsia="Arial" w:hAnsi="Arial"/>
          <w:b/>
          <w:bCs/>
          <w:color w:val="444444"/>
          <w:sz w:val="24"/>
          <w:szCs w:val="24"/>
        </w:rPr>
        <w:t xml:space="preserve">2.2.2  Grid Cells and Spatial Metric</w:t>
      </w:r>
    </w:p>
    <w:p>
      <w:pPr>
        <w:spacing w:after="120" w:before="80" w:line="360"/>
        <w:jc w:val="both"/>
      </w:pPr>
      <w:r>
        <w:rPr>
          <w:rFonts w:ascii="Arial" w:cs="Arial" w:eastAsia="Arial" w:hAnsi="Arial"/>
          <w:sz w:val="22"/>
          <w:szCs w:val="22"/>
        </w:rPr>
        <w:t xml:space="preserve">Moser et al. (2005, 2008) discovered grid cells in the medial entorhinal cortex that fire at multiple locations in a hexagonal pattern, providing a universal spatial metric. Grid cells interact bidirectionally with place cells: they provide a coordinate scaffold, while place cell feedback stabilizes grid representations. For AI systems: grid cells implement a spatial inductive bias that can be applied rapidly to new environments—the computational analog of spatial intuition.</w:t>
      </w:r>
    </w:p>
    <w:p>
      <w:pPr>
        <w:pStyle w:val="Heading2"/>
        <w:spacing w:after="80" w:before="280"/>
      </w:pPr>
      <w:r>
        <w:rPr>
          <w:rFonts w:ascii="Arial" w:cs="Arial" w:eastAsia="Arial" w:hAnsi="Arial"/>
          <w:b/>
          <w:bCs/>
          <w:color w:val="1A6B4A"/>
          <w:sz w:val="26"/>
          <w:szCs w:val="26"/>
        </w:rPr>
        <w:t xml:space="preserve">2.3  Peripersonal Space: The Body-Scale Dimension of Spatial Intelligence</w:t>
      </w:r>
    </w:p>
    <w:p>
      <w:pPr>
        <w:pStyle w:val="Heading3"/>
        <w:spacing w:after="60" w:before="200"/>
      </w:pPr>
      <w:r>
        <w:rPr>
          <w:rFonts w:ascii="Arial" w:cs="Arial" w:eastAsia="Arial" w:hAnsi="Arial"/>
          <w:b/>
          <w:bCs/>
          <w:color w:val="444444"/>
          <w:sz w:val="24"/>
          <w:szCs w:val="24"/>
        </w:rPr>
        <w:t xml:space="preserve">2.3.1  What Peripersonal Space Is</w:t>
      </w:r>
    </w:p>
    <w:p>
      <w:pPr>
        <w:spacing w:after="120" w:before="80" w:line="360"/>
        <w:jc w:val="both"/>
      </w:pPr>
      <w:r>
        <w:rPr>
          <w:rFonts w:ascii="Arial" w:cs="Arial" w:eastAsia="Arial" w:hAnsi="Arial"/>
          <w:sz w:val="22"/>
          <w:szCs w:val="22"/>
        </w:rPr>
        <w:t xml:space="preserve">Peripersonal space (PPS) is the neural representation of the area immediately surrounding the body—typically defined as the zone within reach of the limbs. Critically, PPS is not fixed: it is a plastic, pragmatic, goal-directed multisensory buffer that expands and contracts dynamically based on the agent's action capacity and environmental context.</w:t>
      </w:r>
    </w:p>
    <w:p>
      <w:pPr>
        <w:spacing w:after="120" w:before="80" w:line="360"/>
        <w:jc w:val="both"/>
      </w:pPr>
      <w:r>
        <w:rPr>
          <w:rFonts w:ascii="Arial" w:cs="Arial" w:eastAsia="Arial" w:hAnsi="Arial"/>
          <w:sz w:val="22"/>
          <w:szCs w:val="22"/>
        </w:rPr>
        <w:t xml:space="preserve">Two findings are directly relevant to AI spatial intelligence. First, tool use expands PPS: when a human uses a tool, PPS extends to include the tool's tip—the agent's action space enlarges to incorporate the instrument. Second, PPS transfers to virtual embodiment: research published in 2025 (PMC) demonstrates that PPS in young adults can transfer to an avatar's location in virtual reality, meaning the body-scale spatial sense is not tied to the physical body but to the represented body.</w:t>
      </w:r>
    </w:p>
    <w:p>
      <w:pPr>
        <w:spacing w:after="120" w:before="80" w:line="360"/>
        <w:jc w:val="both"/>
      </w:pPr>
      <w:r>
        <w:rPr>
          <w:rFonts w:ascii="Arial" w:cs="Arial" w:eastAsia="Arial" w:hAnsi="Arial"/>
          <w:sz w:val="22"/>
          <w:szCs w:val="22"/>
        </w:rPr>
        <w:t xml:space="preserve">For embodied AI, this raises a direct question: does an agent's spatial representation encode not just the geometry of the environment, but its own action capacity relative to that geometry? Does the agent 'know' what it can reach, what it can modify, what is within its sphere of influence?</w:t>
      </w:r>
    </w:p>
    <w:p>
      <w:pPr>
        <w:pStyle w:val="Heading3"/>
        <w:spacing w:after="60" w:before="200"/>
      </w:pPr>
      <w:r>
        <w:rPr>
          <w:rFonts w:ascii="Arial" w:cs="Arial" w:eastAsia="Arial" w:hAnsi="Arial"/>
          <w:b/>
          <w:bCs/>
          <w:color w:val="444444"/>
          <w:sz w:val="24"/>
          <w:szCs w:val="24"/>
        </w:rPr>
        <w:t xml:space="preserve">2.3.2  PPS and Egocentric Spatial Representation</w:t>
      </w:r>
    </w:p>
    <w:p>
      <w:pPr>
        <w:spacing w:after="120" w:before="80" w:line="360"/>
        <w:jc w:val="both"/>
      </w:pPr>
      <w:r>
        <w:rPr>
          <w:rFonts w:ascii="Arial" w:cs="Arial" w:eastAsia="Arial" w:hAnsi="Arial"/>
          <w:sz w:val="22"/>
          <w:szCs w:val="22"/>
        </w:rPr>
        <w:t xml:space="preserve">Recent work (2024) establishes that PPS is the basis for egocentric spatial representation: to function properly, egocentric perception requires not just vision but bodily-centered sensations including proprioceptive and tactile information. This means that agents lacking a genuine body-scale representation—agents that process space purely as external geometry—are systematically impaired in egocentric spatial reasoning, even if their allocentric (map-based) representations are accurate.</w:t>
      </w:r>
    </w:p>
    <w:p>
      <w:pPr>
        <w:spacing w:after="120" w:before="80" w:line="360"/>
        <w:jc w:val="both"/>
      </w:pPr>
      <w:r>
        <w:rPr>
          <w:rFonts w:ascii="Arial" w:cs="Arial" w:eastAsia="Arial" w:hAnsi="Arial"/>
          <w:sz w:val="22"/>
          <w:szCs w:val="22"/>
        </w:rPr>
        <w:t xml:space="preserve">This has immediate implications for how we evaluate spatial AI: current benchmarks that test only allocentric tasks (where is X relative to Y?) may be systematically missing the egocentric dimension of spatial intelligence (how far is X from me? can I reach it? does my body fit through that gap?).</w:t>
      </w:r>
    </w:p>
    <w:p>
      <w:pPr>
        <w:pStyle w:val="Heading3"/>
        <w:spacing w:after="60" w:before="200"/>
      </w:pPr>
      <w:r>
        <w:rPr>
          <w:rFonts w:ascii="Arial" w:cs="Arial" w:eastAsia="Arial" w:hAnsi="Arial"/>
          <w:b/>
          <w:bCs/>
          <w:color w:val="444444"/>
          <w:sz w:val="24"/>
          <w:szCs w:val="24"/>
        </w:rPr>
        <w:t xml:space="preserve">2.3.3  Affordance as Embodied Space</w:t>
      </w:r>
    </w:p>
    <w:p>
      <w:pPr>
        <w:spacing w:after="120" w:before="80" w:line="360"/>
        <w:jc w:val="both"/>
      </w:pPr>
      <w:r>
        <w:rPr>
          <w:rFonts w:ascii="Arial" w:cs="Arial" w:eastAsia="Arial" w:hAnsi="Arial"/>
          <w:sz w:val="22"/>
          <w:szCs w:val="22"/>
        </w:rPr>
        <w:t xml:space="preserve">A 2025 paper in the British Journal of Psychology (Xu et al.) demonstrates that object space—the representation of objects and their relationships—is shaped not only by physical and conceptual features but by embodied features: the action possibilities objects afford to an agent (affordance) and their spatial relation with the agent (situatedness). Embodied features explained subjective similarity among objects alongside visual features, and this was replicated with novel objects.</w:t>
      </w:r>
    </w:p>
    <w:p>
      <w:pPr>
        <w:spacing w:after="120" w:before="80" w:line="360"/>
        <w:jc w:val="both"/>
      </w:pPr>
      <w:r>
        <w:rPr>
          <w:rFonts w:ascii="Arial" w:cs="Arial" w:eastAsia="Arial" w:hAnsi="Arial"/>
          <w:sz w:val="22"/>
          <w:szCs w:val="22"/>
        </w:rPr>
        <w:t xml:space="preserve">This means that a spatially intelligent agent should represent not just what objects are, but what they are for—relative to the agent's body and action capacity. A chair is not just a visual category; it is an invitation to sit, a barrier to step over, a surface to place things on—and which of these representations is active depends on the agent's current posture, goals, and physical position relative to the object.</w:t>
      </w:r>
    </w:p>
    <w:p>
      <w:pPr>
        <w:pStyle w:val="Heading2"/>
        <w:spacing w:after="80" w:before="280"/>
      </w:pPr>
      <w:r>
        <w:rPr>
          <w:rFonts w:ascii="Arial" w:cs="Arial" w:eastAsia="Arial" w:hAnsi="Arial"/>
          <w:b/>
          <w:bCs/>
          <w:color w:val="1A6B4A"/>
          <w:sz w:val="26"/>
          <w:szCs w:val="26"/>
        </w:rPr>
        <w:t xml:space="preserve">2.4  Active Spatial Modification: The Architectural Competence</w:t>
      </w:r>
    </w:p>
    <w:p>
      <w:pPr>
        <w:pStyle w:val="Heading3"/>
        <w:spacing w:after="60" w:before="200"/>
      </w:pPr>
      <w:r>
        <w:rPr>
          <w:rFonts w:ascii="Arial" w:cs="Arial" w:eastAsia="Arial" w:hAnsi="Arial"/>
          <w:b/>
          <w:bCs/>
          <w:color w:val="444444"/>
          <w:sz w:val="24"/>
          <w:szCs w:val="24"/>
        </w:rPr>
        <w:t xml:space="preserve">2.4.1  The Gap in Current AI</w:t>
      </w:r>
    </w:p>
    <w:p>
      <w:pPr>
        <w:spacing w:after="120" w:before="80" w:line="360"/>
        <w:jc w:val="both"/>
      </w:pPr>
      <w:r>
        <w:rPr>
          <w:rFonts w:ascii="Arial" w:cs="Arial" w:eastAsia="Arial" w:hAnsi="Arial"/>
          <w:sz w:val="22"/>
          <w:szCs w:val="22"/>
        </w:rPr>
        <w:t xml:space="preserve">The most sophisticated current embodied AI systems—VLAs, world models, manipulation agents—can execute physical modifications to space: move objects, open doors, rearrange elements. What they cannot do is evaluate whether the modification was meaningful—whether the space is better, more habitable, more appropriate for its intended use.</w:t>
      </w:r>
    </w:p>
    <w:p>
      <w:pPr>
        <w:spacing w:after="120" w:before="80" w:line="360"/>
        <w:jc w:val="both"/>
      </w:pPr>
      <w:r>
        <w:rPr>
          <w:rFonts w:ascii="Arial" w:cs="Arial" w:eastAsia="Arial" w:hAnsi="Arial"/>
          <w:sz w:val="22"/>
          <w:szCs w:val="22"/>
        </w:rPr>
        <w:t xml:space="preserve">This is precisely what architecture teaches: not just how to build, but how to judge what should be built. The capacity to evaluate spatial quality, to have a sense of what a space needs to become, is the highest form of spatial intelligence and the one most completely absent from AI.</w:t>
      </w:r>
    </w:p>
    <w:p>
      <w:pPr>
        <w:pStyle w:val="Heading3"/>
        <w:spacing w:after="60" w:before="200"/>
      </w:pPr>
      <w:r>
        <w:rPr>
          <w:rFonts w:ascii="Arial" w:cs="Arial" w:eastAsia="Arial" w:hAnsi="Arial"/>
          <w:b/>
          <w:bCs/>
          <w:color w:val="444444"/>
          <w:sz w:val="24"/>
          <w:szCs w:val="24"/>
        </w:rPr>
        <w:t xml:space="preserve">2.4.2  World Models and Counterfactual Spatial Reasoning</w:t>
      </w:r>
    </w:p>
    <w:p>
      <w:pPr>
        <w:spacing w:after="120" w:before="80" w:line="360"/>
        <w:jc w:val="both"/>
      </w:pPr>
      <w:r>
        <w:rPr>
          <w:rFonts w:ascii="Arial" w:cs="Arial" w:eastAsia="Arial" w:hAnsi="Arial"/>
          <w:sz w:val="22"/>
          <w:szCs w:val="22"/>
        </w:rPr>
        <w:t xml:space="preserve">The GEM model (Hassan et al., 2025) represents the current frontier: a generative world model enabling precise independent control over object dynamics, ego-agent motion, and human poses, generating spatially-aware simulations for testing 'what-if' scenarios. This provides the technical infrastructure for active spatial modification evaluation—an agent can simulate the consequences of spatial changes before executing them.</w:t>
      </w:r>
    </w:p>
    <w:p>
      <w:pPr>
        <w:spacing w:after="120" w:before="80" w:line="360"/>
        <w:jc w:val="both"/>
      </w:pPr>
      <w:r>
        <w:rPr>
          <w:rFonts w:ascii="Arial" w:cs="Arial" w:eastAsia="Arial" w:hAnsi="Arial"/>
          <w:sz w:val="22"/>
          <w:szCs w:val="22"/>
        </w:rPr>
        <w:t xml:space="preserve">What is missing is the evaluation criterion: a way to assess whether the imagined modification is spatially intelligent. This proposal addresses this gap directly through isovist-based spatial quality scoring (Section 2.5), which provides objective metrics for what makes a space better or worse from the perspective of the agent inhabiting it.</w:t>
      </w:r>
    </w:p>
    <w:p>
      <w:pPr>
        <w:pStyle w:val="Heading3"/>
        <w:spacing w:after="60" w:before="200"/>
      </w:pPr>
      <w:r>
        <w:rPr>
          <w:rFonts w:ascii="Arial" w:cs="Arial" w:eastAsia="Arial" w:hAnsi="Arial"/>
          <w:b/>
          <w:bCs/>
          <w:color w:val="444444"/>
          <w:sz w:val="24"/>
          <w:szCs w:val="24"/>
        </w:rPr>
        <w:t xml:space="preserve">2.4.3  From Manipulation to Modification with Intent</w:t>
      </w:r>
    </w:p>
    <w:p>
      <w:pPr>
        <w:spacing w:after="120" w:before="80" w:line="360"/>
        <w:jc w:val="both"/>
      </w:pPr>
      <w:r>
        <w:rPr>
          <w:rFonts w:ascii="Arial" w:cs="Arial" w:eastAsia="Arial" w:hAnsi="Arial"/>
          <w:sz w:val="22"/>
          <w:szCs w:val="22"/>
        </w:rPr>
        <w:t xml:space="preserve">The distinction this proposal draws is between manipulation (physically changing spatial elements) and modification with intent (changing spatial elements because the agent has evaluated the space as deficient in a specific way and has a model of what improvement looks like). The latter requires: (1) an internal representation of spatial quality, (2) a capacity to identify discrepancies between current and desired states, and (3) an action policy grounded in spatial aesthetics rather than task completion.</w:t>
      </w:r>
    </w:p>
    <w:p>
      <w:pPr>
        <w:spacing w:after="120" w:before="80" w:line="360"/>
        <w:jc w:val="both"/>
      </w:pPr>
      <w:r>
        <w:rPr>
          <w:rFonts w:ascii="Arial" w:cs="Arial" w:eastAsia="Arial" w:hAnsi="Arial"/>
          <w:sz w:val="22"/>
          <w:szCs w:val="22"/>
        </w:rPr>
        <w:t xml:space="preserve">No current benchmark tests this. The closest is the PhyScene benchmark (2024), which tests physically interactable scene synthesis for embodied AI—but the evaluation criterion is physical realism, not spatial quality. This proposal proposes spatial quality as the evaluation criterion.</w:t>
      </w:r>
    </w:p>
    <w:p>
      <w:pPr>
        <w:pStyle w:val="Heading2"/>
        <w:spacing w:after="80" w:before="280"/>
      </w:pPr>
      <w:r>
        <w:rPr>
          <w:rFonts w:ascii="Arial" w:cs="Arial" w:eastAsia="Arial" w:hAnsi="Arial"/>
          <w:b/>
          <w:bCs/>
          <w:color w:val="1A6B4A"/>
          <w:sz w:val="26"/>
          <w:szCs w:val="26"/>
        </w:rPr>
        <w:t xml:space="preserve">2.5  Isovist-Based Spatial Perception: Quantifying Subjective Experience</w:t>
      </w:r>
    </w:p>
    <w:p>
      <w:pPr>
        <w:pStyle w:val="Heading3"/>
        <w:spacing w:after="60" w:before="200"/>
      </w:pPr>
      <w:r>
        <w:rPr>
          <w:rFonts w:ascii="Arial" w:cs="Arial" w:eastAsia="Arial" w:hAnsi="Arial"/>
          <w:b/>
          <w:bCs/>
          <w:color w:val="444444"/>
          <w:sz w:val="24"/>
          <w:szCs w:val="24"/>
        </w:rPr>
        <w:t xml:space="preserve">2.5.1  What Isovists Measure</w:t>
      </w:r>
    </w:p>
    <w:p>
      <w:pPr>
        <w:spacing w:after="120" w:before="80" w:line="360"/>
        <w:jc w:val="both"/>
      </w:pPr>
      <w:r>
        <w:rPr>
          <w:rFonts w:ascii="Arial" w:cs="Arial" w:eastAsia="Arial" w:hAnsi="Arial"/>
          <w:sz w:val="22"/>
          <w:szCs w:val="22"/>
        </w:rPr>
        <w:t xml:space="preserve">An isovist is the region of space visible from a given viewpoint. Isovist analysis, developed by Benedikt (1979) and extended through Space Syntax (Hillier &amp; Hanson, 1984), provides a mathematical framework for quantifying the spatial experience from any location in an environment. Key isovist metrics and their perceptual correlates: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20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r>
              <w:rPr>
                <w:rFonts w:ascii="Arial" w:cs="Arial" w:eastAsia="Arial" w:hAnsi="Arial"/>
                <w:b/>
                <w:bCs/>
                <w:color w:val="FFFFFF"/>
                <w:sz w:val="20"/>
                <w:szCs w:val="20"/>
              </w:rPr>
              <w:t xml:space="preserve">Isovist Metric</w:t>
            </w:r>
          </w:p>
        </w:tc>
        <w:tc>
          <w:tcPr>
            <w:tcW w:type="dxa" w:w="380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36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r>
              <w:rPr>
                <w:rFonts w:ascii="Arial" w:cs="Arial" w:eastAsia="Arial" w:hAnsi="Arial"/>
                <w:b/>
                <w:bCs/>
                <w:color w:val="FFFFFF"/>
                <w:sz w:val="20"/>
                <w:szCs w:val="20"/>
              </w:rPr>
              <w:t xml:space="preserve">Perceptual Correlate</w:t>
            </w:r>
          </w:p>
        </w:tc>
      </w:tr>
      <w:tr>
        <w:tc>
          <w:tcPr>
            <w:tcW w:type="dxa" w:w="2200"/>
            <w:tcBorders>
              <w:top w:val="single" w:color="CCCCCC" w:sz="1"/>
              <w:left w:val="single" w:color="CCCCCC" w:sz="1"/>
              <w:bottom w:val="single" w:color="CCCCCC" w:sz="1"/>
              <w:right w:val="single" w:color="CCCCCC" w:sz="1"/>
            </w:tcBorders>
            <w:shd w:fill="EDF7F2" w:val="clear"/>
            <w:tcMar>
              <w:top w:type="dxa" w:w="100"/>
              <w:left w:type="dxa" w:w="140"/>
              <w:bottom w:type="dxa" w:w="100"/>
              <w:right w:type="dxa" w:w="140"/>
            </w:tcMar>
          </w:tcPr>
          <w:p>
            <w:r>
              <w:rPr>
                <w:rFonts w:ascii="Arial" w:cs="Arial" w:eastAsia="Arial" w:hAnsi="Arial"/>
                <w:b w:val="false"/>
                <w:bCs w:val="false"/>
                <w:color w:val="222222"/>
                <w:sz w:val="20"/>
                <w:szCs w:val="20"/>
              </w:rPr>
              <w:t xml:space="preserve">Area</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Total visible floor area from viewpoint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Spaciousness, openness</w:t>
            </w:r>
          </w:p>
        </w:tc>
      </w:tr>
      <w:tr>
        <w:tc>
          <w:tcPr>
            <w:tcW w:type="dxa" w:w="2200"/>
            <w:tcBorders>
              <w:top w:val="single" w:color="CCCCCC" w:sz="1"/>
              <w:left w:val="single" w:color="CCCCCC" w:sz="1"/>
              <w:bottom w:val="single" w:color="CCCCCC" w:sz="1"/>
              <w:right w:val="single" w:color="CCCCCC" w:sz="1"/>
            </w:tcBorders>
            <w:shd w:fill="EDF7F2" w:val="clear"/>
            <w:tcMar>
              <w:top w:type="dxa" w:w="100"/>
              <w:left w:type="dxa" w:w="140"/>
              <w:bottom w:type="dxa" w:w="100"/>
              <w:right w:type="dxa" w:w="140"/>
            </w:tcMar>
          </w:tcPr>
          <w:p>
            <w:r>
              <w:rPr>
                <w:rFonts w:ascii="Arial" w:cs="Arial" w:eastAsia="Arial" w:hAnsi="Arial"/>
                <w:b w:val="false"/>
                <w:bCs w:val="false"/>
                <w:color w:val="222222"/>
                <w:sz w:val="20"/>
                <w:szCs w:val="20"/>
              </w:rPr>
              <w:t xml:space="preserve">Perimeter</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Boundary length of visible region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Spatial complexity, richness</w:t>
            </w:r>
          </w:p>
        </w:tc>
      </w:tr>
      <w:tr>
        <w:tc>
          <w:tcPr>
            <w:tcW w:type="dxa" w:w="2200"/>
            <w:tcBorders>
              <w:top w:val="single" w:color="CCCCCC" w:sz="1"/>
              <w:left w:val="single" w:color="CCCCCC" w:sz="1"/>
              <w:bottom w:val="single" w:color="CCCCCC" w:sz="1"/>
              <w:right w:val="single" w:color="CCCCCC" w:sz="1"/>
            </w:tcBorders>
            <w:shd w:fill="EDF7F2" w:val="clear"/>
            <w:tcMar>
              <w:top w:type="dxa" w:w="100"/>
              <w:left w:type="dxa" w:w="140"/>
              <w:bottom w:type="dxa" w:w="100"/>
              <w:right w:type="dxa" w:w="140"/>
            </w:tcMar>
          </w:tcPr>
          <w:p>
            <w:r>
              <w:rPr>
                <w:rFonts w:ascii="Arial" w:cs="Arial" w:eastAsia="Arial" w:hAnsi="Arial"/>
                <w:b w:val="false"/>
                <w:bCs w:val="false"/>
                <w:color w:val="222222"/>
                <w:sz w:val="20"/>
                <w:szCs w:val="20"/>
              </w:rPr>
              <w:t xml:space="preserve">Occlusivity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Length of occluding boundary (hidden space beyond)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Mystery, anticipation, exploration pull</w:t>
            </w:r>
          </w:p>
        </w:tc>
      </w:tr>
      <w:tr>
        <w:tc>
          <w:tcPr>
            <w:tcW w:type="dxa" w:w="2200"/>
            <w:tcBorders>
              <w:top w:val="single" w:color="CCCCCC" w:sz="1"/>
              <w:left w:val="single" w:color="CCCCCC" w:sz="1"/>
              <w:bottom w:val="single" w:color="CCCCCC" w:sz="1"/>
              <w:right w:val="single" w:color="CCCCCC" w:sz="1"/>
            </w:tcBorders>
            <w:shd w:fill="EDF7F2" w:val="clear"/>
            <w:tcMar>
              <w:top w:type="dxa" w:w="100"/>
              <w:left w:type="dxa" w:w="140"/>
              <w:bottom w:type="dxa" w:w="100"/>
              <w:right w:type="dxa" w:w="140"/>
            </w:tcMar>
          </w:tcPr>
          <w:p>
            <w:r>
              <w:rPr>
                <w:rFonts w:ascii="Arial" w:cs="Arial" w:eastAsia="Arial" w:hAnsi="Arial"/>
                <w:b w:val="false"/>
                <w:bCs w:val="false"/>
                <w:color w:val="222222"/>
                <w:sz w:val="20"/>
                <w:szCs w:val="20"/>
              </w:rPr>
              <w:t xml:space="preserve">Max Radial</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Longest sightline from viewpoint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Prospect, sense of depth</w:t>
            </w:r>
          </w:p>
        </w:tc>
      </w:tr>
      <w:tr>
        <w:tc>
          <w:tcPr>
            <w:tcW w:type="dxa" w:w="2200"/>
            <w:tcBorders>
              <w:top w:val="single" w:color="CCCCCC" w:sz="1"/>
              <w:left w:val="single" w:color="CCCCCC" w:sz="1"/>
              <w:bottom w:val="single" w:color="CCCCCC" w:sz="1"/>
              <w:right w:val="single" w:color="CCCCCC" w:sz="1"/>
            </w:tcBorders>
            <w:shd w:fill="EDF7F2" w:val="clear"/>
            <w:tcMar>
              <w:top w:type="dxa" w:w="100"/>
              <w:left w:type="dxa" w:w="140"/>
              <w:bottom w:type="dxa" w:w="100"/>
              <w:right w:type="dxa" w:w="140"/>
            </w:tcMar>
          </w:tcPr>
          <w:p>
            <w:r>
              <w:rPr>
                <w:rFonts w:ascii="Arial" w:cs="Arial" w:eastAsia="Arial" w:hAnsi="Arial"/>
                <w:b w:val="false"/>
                <w:bCs w:val="false"/>
                <w:color w:val="222222"/>
                <w:sz w:val="20"/>
                <w:szCs w:val="20"/>
              </w:rPr>
              <w:t xml:space="preserve">Compactness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Ratio of area to perimeter squared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Enclosure, coherence</w:t>
            </w:r>
          </w:p>
        </w:tc>
      </w:tr>
      <w:tr>
        <w:tc>
          <w:tcPr>
            <w:tcW w:type="dxa" w:w="2200"/>
            <w:tcBorders>
              <w:top w:val="single" w:color="CCCCCC" w:sz="1"/>
              <w:left w:val="single" w:color="CCCCCC" w:sz="1"/>
              <w:bottom w:val="single" w:color="CCCCCC" w:sz="1"/>
              <w:right w:val="single" w:color="CCCCCC" w:sz="1"/>
            </w:tcBorders>
            <w:shd w:fill="EDF7F2" w:val="clear"/>
            <w:tcMar>
              <w:top w:type="dxa" w:w="100"/>
              <w:left w:type="dxa" w:w="140"/>
              <w:bottom w:type="dxa" w:w="100"/>
              <w:right w:type="dxa" w:w="140"/>
            </w:tcMar>
          </w:tcPr>
          <w:p>
            <w:r>
              <w:rPr>
                <w:rFonts w:ascii="Arial" w:cs="Arial" w:eastAsia="Arial" w:hAnsi="Arial"/>
                <w:b w:val="false"/>
                <w:bCs w:val="false"/>
                <w:color w:val="222222"/>
                <w:sz w:val="20"/>
                <w:szCs w:val="20"/>
              </w:rPr>
              <w:t xml:space="preserve">Skewness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Asymmetry of visible space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Directional pull, centrifugal vs. centripetal</w:t>
            </w:r>
          </w:p>
        </w:tc>
      </w:tr>
      <w:tr>
        <w:tc>
          <w:tcPr>
            <w:tcW w:type="dxa" w:w="2200"/>
            <w:tcBorders>
              <w:top w:val="single" w:color="CCCCCC" w:sz="1"/>
              <w:left w:val="single" w:color="CCCCCC" w:sz="1"/>
              <w:bottom w:val="single" w:color="CCCCCC" w:sz="1"/>
              <w:right w:val="single" w:color="CCCCCC" w:sz="1"/>
            </w:tcBorders>
            <w:shd w:fill="EDF7F2" w:val="clear"/>
            <w:tcMar>
              <w:top w:type="dxa" w:w="100"/>
              <w:left w:type="dxa" w:w="140"/>
              <w:bottom w:type="dxa" w:w="100"/>
              <w:right w:type="dxa" w:w="140"/>
            </w:tcMar>
          </w:tcPr>
          <w:p>
            <w:r>
              <w:rPr>
                <w:rFonts w:ascii="Arial" w:cs="Arial" w:eastAsia="Arial" w:hAnsi="Arial"/>
                <w:b w:val="false"/>
                <w:bCs w:val="false"/>
                <w:color w:val="222222"/>
                <w:sz w:val="20"/>
                <w:szCs w:val="20"/>
              </w:rPr>
              <w:t xml:space="preserve">3D Openness (SODI)</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3D volumetric visibility from viewpoint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Vertical scale, compression/expansion</w:t>
            </w:r>
          </w:p>
        </w:tc>
      </w:tr>
    </w:tbl>
    <w:p>
      <w:pPr>
        <w:spacing w:after="60" w:before="60"/>
      </w:pPr>
      <w:r>
        <w:t xml:space="preserve"/>
      </w:r>
    </w:p>
    <w:p>
      <w:pPr>
        <w:spacing w:after="120" w:before="80" w:line="360"/>
        <w:jc w:val="both"/>
      </w:pPr>
      <w:r>
        <w:rPr>
          <w:rFonts w:ascii="Arial" w:cs="Arial" w:eastAsia="Arial" w:hAnsi="Arial"/>
          <w:sz w:val="22"/>
          <w:szCs w:val="22"/>
        </w:rPr>
        <w:t xml:space="preserve">Critically, these metrics have been empirically validated against human spatial experience and behavior. Wiener &amp; Franz (2005) found strong correlations between isovist-derived measures and both active navigation behavior and self-reported experiential ratings in virtual indoor scenes. A 2025 study on Chinese historic urban environments (MDPI Buildings) validated isovist metrics against semantic differential surveys, finding direct correlations with comfort, enclosure, and psychological safety.</w:t>
      </w:r>
    </w:p>
    <w:p>
      <w:pPr>
        <w:pStyle w:val="Heading3"/>
        <w:spacing w:after="60" w:before="200"/>
      </w:pPr>
      <w:r>
        <w:rPr>
          <w:rFonts w:ascii="Arial" w:cs="Arial" w:eastAsia="Arial" w:hAnsi="Arial"/>
          <w:b/>
          <w:bCs/>
          <w:color w:val="444444"/>
          <w:sz w:val="24"/>
          <w:szCs w:val="24"/>
        </w:rPr>
        <w:t xml:space="preserve">2.5.2  From Static to Dynamic Isovist Analysis</w:t>
      </w:r>
    </w:p>
    <w:p>
      <w:pPr>
        <w:spacing w:after="120" w:before="80" w:line="360"/>
        <w:jc w:val="both"/>
      </w:pPr>
      <w:r>
        <w:rPr>
          <w:rFonts w:ascii="Arial" w:cs="Arial" w:eastAsia="Arial" w:hAnsi="Arial"/>
          <w:sz w:val="22"/>
          <w:szCs w:val="22"/>
        </w:rPr>
        <w:t xml:space="preserve">Traditional isovist analysis provides a snapshot from a fixed viewpoint. This proposal uses isovists dynamically: tracking the isovist sequence experienced by an agent as it moves through space. This produces an isovist trajectory—a time series of spatial experience values that characterizes the quality of the agent's spatial journey.</w:t>
      </w:r>
    </w:p>
    <w:p>
      <w:pPr>
        <w:spacing w:after="120" w:before="80" w:line="360"/>
        <w:jc w:val="both"/>
      </w:pPr>
      <w:r>
        <w:rPr>
          <w:rFonts w:ascii="Arial" w:cs="Arial" w:eastAsia="Arial" w:hAnsi="Arial"/>
          <w:sz w:val="22"/>
          <w:szCs w:val="22"/>
        </w:rPr>
        <w:t xml:space="preserve">A 2025 study on traditional Chinese gardens (Isovist Analysis, SAGE Journals) used exactly this approach to analyze the 'limitless vision, endless recurrence' experience of private gardens—demonstrating that isovist sequences along pathways can characterize complex experiential qualities that resist purely geometric description. This approach is directly applicable to evaluating whether AI agents gravitate toward spatially richer trajectories as familiarity develops.</w:t>
      </w:r>
    </w:p>
    <w:p>
      <w:pPr>
        <w:pStyle w:val="Heading3"/>
        <w:spacing w:after="60" w:before="200"/>
      </w:pPr>
      <w:r>
        <w:rPr>
          <w:rFonts w:ascii="Arial" w:cs="Arial" w:eastAsia="Arial" w:hAnsi="Arial"/>
          <w:b/>
          <w:bCs/>
          <w:color w:val="444444"/>
          <w:sz w:val="24"/>
          <w:szCs w:val="24"/>
        </w:rPr>
        <w:t xml:space="preserve">2.5.3  Isovist Metrics as AI Evaluation Criteria</w:t>
      </w:r>
    </w:p>
    <w:p>
      <w:pPr>
        <w:spacing w:after="120" w:before="80" w:line="360"/>
        <w:jc w:val="both"/>
      </w:pPr>
      <w:r>
        <w:rPr>
          <w:rFonts w:ascii="Arial" w:cs="Arial" w:eastAsia="Arial" w:hAnsi="Arial"/>
          <w:sz w:val="22"/>
          <w:szCs w:val="22"/>
        </w:rPr>
        <w:t xml:space="preserve">For this proposal, isovist metrics serve two functions. First, as environment characterization: environments of varying isovist complexity can be systematically generated and compared, providing controlled conditions for familiarity experiments. Second, as agent evaluation: the isovist quality of an agent's chosen trajectory—not just its efficiency—can be tracked across sessions. A spatially intelligent agent should, as familiarity develops, choose trajectories that optimize isovist richness, not just path length. This is the computational signature of spatial aesthetic preference.</w:t>
      </w:r>
    </w:p>
    <w:p>
      <w:pPr>
        <w:pStyle w:val="Heading2"/>
        <w:spacing w:after="80" w:before="280"/>
      </w:pPr>
      <w:r>
        <w:rPr>
          <w:rFonts w:ascii="Arial" w:cs="Arial" w:eastAsia="Arial" w:hAnsi="Arial"/>
          <w:b/>
          <w:bCs/>
          <w:color w:val="1A6B4A"/>
          <w:sz w:val="26"/>
          <w:szCs w:val="26"/>
        </w:rPr>
        <w:t xml:space="preserve">2.6  Space Syntax and Spatial Legibility</w:t>
      </w:r>
    </w:p>
    <w:p>
      <w:pPr>
        <w:spacing w:after="120" w:before="80" w:line="360"/>
        <w:jc w:val="both"/>
      </w:pPr>
      <w:r>
        <w:rPr>
          <w:rFonts w:ascii="Arial" w:cs="Arial" w:eastAsia="Arial" w:hAnsi="Arial"/>
          <w:sz w:val="22"/>
          <w:szCs w:val="22"/>
        </w:rPr>
        <w:t xml:space="preserve">Space Syntax (Hillier &amp; Hanson, 1984) provides complementary topological measures: integration (accessibility of a space from all others), connectivity (direct connections), depth (steps required to reach a space), and choice (likelihood of being on a path between other spaces). These measures predict pedestrian movement patterns with empirical validity. For this proposal, Space Syntax provides: objective complexity measures for characterizing experimental environments; predicted movement patterns against which agent behavior can be compared; and a vocabulary for spatial structure that bridges architecture and computation.</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2E4A7A"/>
          <w:sz w:val="32"/>
          <w:szCs w:val="32"/>
        </w:rPr>
        <w:t xml:space="preserve">3  Research Questions</w:t>
      </w:r>
    </w:p>
    <w:p>
      <w:pPr>
        <w:spacing w:after="120" w:before="80" w:line="360"/>
        <w:jc w:val="both"/>
      </w:pPr>
      <w:r>
        <w:rPr>
          <w:rFonts w:ascii="Arial" w:cs="Arial" w:eastAsia="Arial" w:hAnsi="Arial"/>
          <w:sz w:val="22"/>
          <w:szCs w:val="22"/>
        </w:rPr>
        <w:t xml:space="preserve">This proposal addresses one central question, decomposed into five sub-questions corresponding to the five evaluation dimensions:</w:t>
      </w:r>
    </w:p>
    <w:p>
      <w:pPr>
        <w:spacing w:after="60" w:before="60"/>
      </w:pPr>
      <w:r>
        <w:t xml:space="preserve"/>
      </w:r>
    </w:p>
    <w:p>
      <w:pPr>
        <w:spacing w:after="120" w:before="120"/>
        <w:jc w:val="center"/>
      </w:pPr>
      <w:r>
        <w:rPr>
          <w:rFonts w:ascii="Arial" w:cs="Arial" w:eastAsia="Arial" w:hAnsi="Arial"/>
          <w:b/>
          <w:bCs/>
          <w:i/>
          <w:iCs/>
          <w:color w:val="2E4A7A"/>
          <w:sz w:val="24"/>
          <w:szCs w:val="24"/>
        </w:rPr>
        <w:t xml:space="preserve">Can spatial familiarity, body-scale awareness, and intentional modification capacity</w:t>
      </w:r>
    </w:p>
    <w:p>
      <w:pPr>
        <w:spacing w:after="120" w:before="0"/>
        <w:jc w:val="center"/>
      </w:pPr>
      <w:r>
        <w:rPr>
          <w:rFonts w:ascii="Arial" w:cs="Arial" w:eastAsia="Arial" w:hAnsi="Arial"/>
          <w:b/>
          <w:bCs/>
          <w:i/>
          <w:iCs/>
          <w:color w:val="2E4A7A"/>
          <w:sz w:val="24"/>
          <w:szCs w:val="24"/>
        </w:rPr>
        <w:t xml:space="preserve">emerge as measurable internal states in embodied AI agents?</w:t>
      </w:r>
    </w:p>
    <w:p>
      <w:pPr>
        <w:spacing w:after="60" w:before="60"/>
      </w:pPr>
      <w:r>
        <w:t xml:space="preserve"/>
      </w:r>
    </w:p>
    <w:p>
      <w:pPr>
        <w:pStyle w:val="ListParagraph"/>
        <w:numPr>
          <w:ilvl w:val="0"/>
          <w:numId w:val="3"/>
        </w:numPr>
        <w:spacing w:after="40" w:before="40" w:line="320"/>
      </w:pPr>
      <w:r>
        <w:rPr>
          <w:rFonts w:ascii="Arial" w:cs="Arial" w:eastAsia="Arial" w:hAnsi="Arial"/>
          <w:sz w:val="22"/>
          <w:szCs w:val="22"/>
        </w:rPr>
        <w:t xml:space="preserve">RQ1 (Familiarity Emergence): Do world-model-based agents develop systematically different internal spatial representations after repeated exposure to the same environment? What is the trajectory of this change?</w:t>
      </w:r>
    </w:p>
    <w:p>
      <w:pPr>
        <w:pStyle w:val="ListParagraph"/>
        <w:numPr>
          <w:ilvl w:val="0"/>
          <w:numId w:val="3"/>
        </w:numPr>
        <w:spacing w:after="40" w:before="40" w:line="320"/>
      </w:pPr>
      <w:r>
        <w:rPr>
          <w:rFonts w:ascii="Arial" w:cs="Arial" w:eastAsia="Arial" w:hAnsi="Arial"/>
          <w:sz w:val="22"/>
          <w:szCs w:val="22"/>
        </w:rPr>
        <w:t xml:space="preserve">RQ2 (Body-Scale Dynamics): Do agents develop a dynamic representation of their action capacity relative to the surrounding space? Does this representation change with familiarity, body configuration, or tool availability?</w:t>
      </w:r>
    </w:p>
    <w:p>
      <w:pPr>
        <w:pStyle w:val="ListParagraph"/>
        <w:numPr>
          <w:ilvl w:val="0"/>
          <w:numId w:val="3"/>
        </w:numPr>
        <w:spacing w:after="40" w:before="40" w:line="320"/>
      </w:pPr>
      <w:r>
        <w:rPr>
          <w:rFonts w:ascii="Arial" w:cs="Arial" w:eastAsia="Arial" w:hAnsi="Arial"/>
          <w:sz w:val="22"/>
          <w:szCs w:val="22"/>
        </w:rPr>
        <w:t xml:space="preserve">RQ3 (Atmospheric Sensitivity): Does developed familiarity enable agents to detect non-geometric environmental changes—alterations in lighting, acoustic properties, or spatial atmosphere—that leave geometry unchanged?</w:t>
      </w:r>
    </w:p>
    <w:p>
      <w:pPr>
        <w:pStyle w:val="ListParagraph"/>
        <w:numPr>
          <w:ilvl w:val="0"/>
          <w:numId w:val="3"/>
        </w:numPr>
        <w:spacing w:after="40" w:before="40" w:line="320"/>
      </w:pPr>
      <w:r>
        <w:rPr>
          <w:rFonts w:ascii="Arial" w:cs="Arial" w:eastAsia="Arial" w:hAnsi="Arial"/>
          <w:sz w:val="22"/>
          <w:szCs w:val="22"/>
        </w:rPr>
        <w:t xml:space="preserve">RQ4 (Modification with Intent): Can agents evaluate spatial quality, identify discrepancies between current and desired states, and propose or execute modifications grounded in spatial reasoning rather than task completion?</w:t>
      </w:r>
    </w:p>
    <w:p>
      <w:pPr>
        <w:pStyle w:val="ListParagraph"/>
        <w:numPr>
          <w:ilvl w:val="0"/>
          <w:numId w:val="3"/>
        </w:numPr>
        <w:spacing w:after="40" w:before="40" w:line="320"/>
      </w:pPr>
      <w:r>
        <w:rPr>
          <w:rFonts w:ascii="Arial" w:cs="Arial" w:eastAsia="Arial" w:hAnsi="Arial"/>
          <w:sz w:val="22"/>
          <w:szCs w:val="22"/>
        </w:rPr>
        <w:t xml:space="preserve">RQ5 (Collective Memory): When multiple agents independently develop familiarity with the same environment, do their spatial representations converge? Does shared occupancy produce emergent collective spatial understanding?</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2E4A7A"/>
          <w:sz w:val="32"/>
          <w:szCs w:val="32"/>
        </w:rPr>
        <w:t xml:space="preserve">4  Methodology: The SFES Benchmark</w:t>
      </w:r>
    </w:p>
    <w:p>
      <w:pPr>
        <w:spacing w:after="120" w:before="80" w:line="360"/>
        <w:jc w:val="both"/>
      </w:pPr>
      <w:r>
        <w:rPr>
          <w:rFonts w:ascii="Arial" w:cs="Arial" w:eastAsia="Arial" w:hAnsi="Arial"/>
          <w:sz w:val="22"/>
          <w:szCs w:val="22"/>
        </w:rPr>
        <w:t xml:space="preserve">SFES (Spatial Familiarity as an Emergent State) is structured as a five-phase benchmark. Each phase tests a distinct dimension of full spatial intelligence.</w:t>
      </w:r>
    </w:p>
    <w:p>
      <w:pPr>
        <w:pStyle w:val="Heading2"/>
        <w:spacing w:after="80" w:before="280"/>
      </w:pPr>
      <w:r>
        <w:rPr>
          <w:rFonts w:ascii="Arial" w:cs="Arial" w:eastAsia="Arial" w:hAnsi="Arial"/>
          <w:b/>
          <w:bCs/>
          <w:color w:val="1A6B4A"/>
          <w:sz w:val="26"/>
          <w:szCs w:val="26"/>
        </w:rPr>
        <w:t xml:space="preserve">Phase 1: Baseline Spatial Belief Construction</w:t>
      </w:r>
    </w:p>
    <w:p>
      <w:pPr>
        <w:spacing w:after="120" w:before="80" w:line="360"/>
        <w:jc w:val="both"/>
      </w:pPr>
      <w:r>
        <w:rPr>
          <w:rFonts w:ascii="Arial" w:cs="Arial" w:eastAsia="Arial" w:hAnsi="Arial"/>
          <w:sz w:val="22"/>
          <w:szCs w:val="22"/>
        </w:rPr>
        <w:t xml:space="preserve">Following the ToS protocol, agents explore a set of environments (n=20 distinct rooms varying in Space Syntax integration values and isovist complexity) through a fixed number of exploration steps. This establishes a baseline spatial belief for each environment.</w:t>
      </w:r>
    </w:p>
    <w:p>
      <w:pPr>
        <w:pStyle w:val="ListParagraph"/>
        <w:numPr>
          <w:ilvl w:val="0"/>
          <w:numId w:val="2"/>
        </w:numPr>
        <w:spacing w:after="40" w:before="40" w:line="320"/>
      </w:pPr>
      <w:r>
        <w:rPr>
          <w:rFonts w:ascii="Arial" w:cs="Arial" w:eastAsia="Arial" w:hAnsi="Arial"/>
          <w:sz w:val="22"/>
          <w:szCs w:val="22"/>
        </w:rPr>
        <w:t xml:space="preserve">Environments: procedurally generated indoor spaces using ThreeDWorld, varying in geometric complexity and atmospheric conditions (lighting temperature, acoustic reverb, material texture).</w:t>
      </w:r>
    </w:p>
    <w:p>
      <w:pPr>
        <w:pStyle w:val="ListParagraph"/>
        <w:numPr>
          <w:ilvl w:val="0"/>
          <w:numId w:val="2"/>
        </w:numPr>
        <w:spacing w:after="40" w:before="40" w:line="320"/>
      </w:pPr>
      <w:r>
        <w:rPr>
          <w:rFonts w:ascii="Arial" w:cs="Arial" w:eastAsia="Arial" w:hAnsi="Arial"/>
          <w:sz w:val="22"/>
          <w:szCs w:val="22"/>
        </w:rPr>
        <w:t xml:space="preserve">Isovist characterization: each environment is pre-analyzed for isovist area distribution, occlusivity field, and Space Syntax integration values, providing objective complexity metrics.</w:t>
      </w:r>
    </w:p>
    <w:p>
      <w:pPr>
        <w:pStyle w:val="ListParagraph"/>
        <w:numPr>
          <w:ilvl w:val="0"/>
          <w:numId w:val="2"/>
        </w:numPr>
        <w:spacing w:after="40" w:before="40" w:line="320"/>
      </w:pPr>
      <w:r>
        <w:rPr>
          <w:rFonts w:ascii="Arial" w:cs="Arial" w:eastAsia="Arial" w:hAnsi="Arial"/>
          <w:sz w:val="22"/>
          <w:szCs w:val="22"/>
        </w:rPr>
        <w:t xml:space="preserve">Baseline metrics: belief accuracy (from ToS probing protocol), exploration efficiency, uncertainty resolution rate, isovist quality of chosen trajectory.</w:t>
      </w:r>
    </w:p>
    <w:p>
      <w:pPr>
        <w:pStyle w:val="Heading2"/>
        <w:spacing w:after="80" w:before="280"/>
      </w:pPr>
      <w:r>
        <w:rPr>
          <w:rFonts w:ascii="Arial" w:cs="Arial" w:eastAsia="Arial" w:hAnsi="Arial"/>
          <w:b/>
          <w:bCs/>
          <w:color w:val="1A6B4A"/>
          <w:sz w:val="26"/>
          <w:szCs w:val="26"/>
        </w:rPr>
        <w:t xml:space="preserve">Phase 2: Familiarity Emergence Protocol</w:t>
      </w:r>
    </w:p>
    <w:p>
      <w:pPr>
        <w:spacing w:after="120" w:before="80" w:line="360"/>
        <w:jc w:val="both"/>
      </w:pPr>
      <w:r>
        <w:rPr>
          <w:rFonts w:ascii="Arial" w:cs="Arial" w:eastAsia="Arial" w:hAnsi="Arial"/>
          <w:sz w:val="22"/>
          <w:szCs w:val="22"/>
        </w:rPr>
        <w:t xml:space="preserve">Agents revisit the same environments across 10 sessions. After each session, both familiarity indicators and isovist-based trajectory quality are measured: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r>
              <w:rPr>
                <w:rFonts w:ascii="Arial" w:cs="Arial" w:eastAsia="Arial" w:hAnsi="Arial"/>
                <w:b/>
                <w:bCs/>
                <w:color w:val="FFFFFF"/>
                <w:sz w:val="20"/>
                <w:szCs w:val="20"/>
              </w:rPr>
              <w:t xml:space="preserve">Indicator</w:t>
            </w:r>
          </w:p>
        </w:tc>
        <w:tc>
          <w:tcPr>
            <w:tcW w:type="dxa" w:w="380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r>
              <w:rPr>
                <w:rFonts w:ascii="Arial" w:cs="Arial" w:eastAsia="Arial" w:hAnsi="Arial"/>
                <w:b/>
                <w:bCs/>
                <w:color w:val="FFFFFF"/>
                <w:sz w:val="20"/>
                <w:szCs w:val="20"/>
              </w:rPr>
              <w:t xml:space="preserve">Operationalization</w:t>
            </w:r>
          </w:p>
        </w:tc>
        <w:tc>
          <w:tcPr>
            <w:tcW w:type="dxa" w:w="336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r>
              <w:rPr>
                <w:rFonts w:ascii="Arial" w:cs="Arial" w:eastAsia="Arial" w:hAnsi="Arial"/>
                <w:b/>
                <w:bCs/>
                <w:color w:val="FFFFFF"/>
                <w:sz w:val="20"/>
                <w:szCs w:val="20"/>
              </w:rPr>
              <w:t xml:space="preserve">Theoretical Basis</w:t>
            </w:r>
          </w:p>
        </w:tc>
      </w:tr>
      <w:tr>
        <w:tc>
          <w:tcPr>
            <w:tcW w:type="dxa" w:w="2200"/>
            <w:tcBorders>
              <w:top w:val="single" w:color="CCCCCC" w:sz="1"/>
              <w:left w:val="single" w:color="CCCCCC" w:sz="1"/>
              <w:bottom w:val="single" w:color="CCCCCC" w:sz="1"/>
              <w:right w:val="single" w:color="CCCCCC" w:sz="1"/>
            </w:tcBorders>
            <w:shd w:fill="EDF7F2" w:val="clear"/>
            <w:tcMar>
              <w:top w:type="dxa" w:w="100"/>
              <w:left w:type="dxa" w:w="140"/>
              <w:bottom w:type="dxa" w:w="100"/>
              <w:right w:type="dxa" w:w="140"/>
            </w:tcMar>
          </w:tcPr>
          <w:p>
            <w:r>
              <w:rPr>
                <w:rFonts w:ascii="Arial" w:cs="Arial" w:eastAsia="Arial" w:hAnsi="Arial"/>
                <w:b w:val="false"/>
                <w:bCs w:val="false"/>
                <w:color w:val="222222"/>
                <w:sz w:val="20"/>
                <w:szCs w:val="20"/>
              </w:rPr>
              <w:t xml:space="preserve">Representation Stability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Cosine similarity of cognitive map embeddings across sessions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Place cell stabilization</w:t>
            </w:r>
          </w:p>
        </w:tc>
      </w:tr>
      <w:tr>
        <w:tc>
          <w:tcPr>
            <w:tcW w:type="dxa" w:w="2200"/>
            <w:tcBorders>
              <w:top w:val="single" w:color="CCCCCC" w:sz="1"/>
              <w:left w:val="single" w:color="CCCCCC" w:sz="1"/>
              <w:bottom w:val="single" w:color="CCCCCC" w:sz="1"/>
              <w:right w:val="single" w:color="CCCCCC" w:sz="1"/>
            </w:tcBorders>
            <w:shd w:fill="EDF7F2" w:val="clear"/>
            <w:tcMar>
              <w:top w:type="dxa" w:w="100"/>
              <w:left w:type="dxa" w:w="140"/>
              <w:bottom w:type="dxa" w:w="100"/>
              <w:right w:type="dxa" w:w="140"/>
            </w:tcMar>
          </w:tcPr>
          <w:p>
            <w:r>
              <w:rPr>
                <w:rFonts w:ascii="Arial" w:cs="Arial" w:eastAsia="Arial" w:hAnsi="Arial"/>
                <w:b w:val="false"/>
                <w:bCs w:val="false"/>
                <w:color w:val="222222"/>
                <w:sz w:val="20"/>
                <w:szCs w:val="20"/>
              </w:rPr>
              <w:t xml:space="preserve">Exploration Efficiency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Redundancy ratio: repeated observations / total observations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Novelty-driven exploration reduction</w:t>
            </w:r>
          </w:p>
        </w:tc>
      </w:tr>
      <w:tr>
        <w:tc>
          <w:tcPr>
            <w:tcW w:type="dxa" w:w="2200"/>
            <w:tcBorders>
              <w:top w:val="single" w:color="CCCCCC" w:sz="1"/>
              <w:left w:val="single" w:color="CCCCCC" w:sz="1"/>
              <w:bottom w:val="single" w:color="CCCCCC" w:sz="1"/>
              <w:right w:val="single" w:color="CCCCCC" w:sz="1"/>
            </w:tcBorders>
            <w:shd w:fill="EDF7F2" w:val="clear"/>
            <w:tcMar>
              <w:top w:type="dxa" w:w="100"/>
              <w:left w:type="dxa" w:w="140"/>
              <w:bottom w:type="dxa" w:w="100"/>
              <w:right w:type="dxa" w:w="140"/>
            </w:tcMar>
          </w:tcPr>
          <w:p>
            <w:r>
              <w:rPr>
                <w:rFonts w:ascii="Arial" w:cs="Arial" w:eastAsia="Arial" w:hAnsi="Arial"/>
                <w:b w:val="false"/>
                <w:bCs w:val="false"/>
                <w:color w:val="222222"/>
                <w:sz w:val="20"/>
                <w:szCs w:val="20"/>
              </w:rPr>
              <w:t xml:space="preserve">Attention Reallocation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Distribution of observation dwell time: structural vs. object-level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Encoding → retrieval mode shift</w:t>
            </w:r>
          </w:p>
        </w:tc>
      </w:tr>
      <w:tr>
        <w:tc>
          <w:tcPr>
            <w:tcW w:type="dxa" w:w="2200"/>
            <w:tcBorders>
              <w:top w:val="single" w:color="CCCCCC" w:sz="1"/>
              <w:left w:val="single" w:color="CCCCCC" w:sz="1"/>
              <w:bottom w:val="single" w:color="CCCCCC" w:sz="1"/>
              <w:right w:val="single" w:color="CCCCCC" w:sz="1"/>
            </w:tcBorders>
            <w:shd w:fill="EDF7F2" w:val="clear"/>
            <w:tcMar>
              <w:top w:type="dxa" w:w="100"/>
              <w:left w:type="dxa" w:w="140"/>
              <w:bottom w:type="dxa" w:w="100"/>
              <w:right w:type="dxa" w:w="140"/>
            </w:tcMar>
          </w:tcPr>
          <w:p>
            <w:r>
              <w:rPr>
                <w:rFonts w:ascii="Arial" w:cs="Arial" w:eastAsia="Arial" w:hAnsi="Arial"/>
                <w:b w:val="false"/>
                <w:bCs w:val="false"/>
                <w:color w:val="222222"/>
                <w:sz w:val="20"/>
                <w:szCs w:val="20"/>
              </w:rPr>
              <w:t xml:space="preserve">Pattern Completion Speed</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Steps to accurate belief from 25% partial observation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Hippocampal pattern completion</w:t>
            </w:r>
          </w:p>
        </w:tc>
      </w:tr>
      <w:tr>
        <w:tc>
          <w:tcPr>
            <w:tcW w:type="dxa" w:w="2200"/>
            <w:tcBorders>
              <w:top w:val="single" w:color="CCCCCC" w:sz="1"/>
              <w:left w:val="single" w:color="CCCCCC" w:sz="1"/>
              <w:bottom w:val="single" w:color="CCCCCC" w:sz="1"/>
              <w:right w:val="single" w:color="CCCCCC" w:sz="1"/>
            </w:tcBorders>
            <w:shd w:fill="EDF7F2" w:val="clear"/>
            <w:tcMar>
              <w:top w:type="dxa" w:w="100"/>
              <w:left w:type="dxa" w:w="140"/>
              <w:bottom w:type="dxa" w:w="100"/>
              <w:right w:type="dxa" w:w="140"/>
            </w:tcMar>
          </w:tcPr>
          <w:p>
            <w:r>
              <w:rPr>
                <w:rFonts w:ascii="Arial" w:cs="Arial" w:eastAsia="Arial" w:hAnsi="Arial"/>
                <w:b w:val="false"/>
                <w:bCs w:val="false"/>
                <w:color w:val="222222"/>
                <w:sz w:val="20"/>
                <w:szCs w:val="20"/>
              </w:rPr>
              <w:t xml:space="preserve">Isovist Trajectory Quality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Mean isovist area, occlusivity, and compactness along chosen path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Spatial aesthetic preference emergence</w:t>
            </w:r>
          </w:p>
        </w:tc>
      </w:tr>
      <w:tr>
        <w:tc>
          <w:tcPr>
            <w:tcW w:type="dxa" w:w="2200"/>
            <w:tcBorders>
              <w:top w:val="single" w:color="CCCCCC" w:sz="1"/>
              <w:left w:val="single" w:color="CCCCCC" w:sz="1"/>
              <w:bottom w:val="single" w:color="CCCCCC" w:sz="1"/>
              <w:right w:val="single" w:color="CCCCCC" w:sz="1"/>
            </w:tcBorders>
            <w:shd w:fill="EDF7F2" w:val="clear"/>
            <w:tcMar>
              <w:top w:type="dxa" w:w="100"/>
              <w:left w:type="dxa" w:w="140"/>
              <w:bottom w:type="dxa" w:w="100"/>
              <w:right w:type="dxa" w:w="140"/>
            </w:tcMar>
          </w:tcPr>
          <w:p>
            <w:r>
              <w:rPr>
                <w:rFonts w:ascii="Arial" w:cs="Arial" w:eastAsia="Arial" w:hAnsi="Arial"/>
                <w:b w:val="false"/>
                <w:bCs w:val="false"/>
                <w:color w:val="222222"/>
                <w:sz w:val="20"/>
                <w:szCs w:val="20"/>
              </w:rPr>
              <w:t xml:space="preserve">Prediction Accuracy</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Next-state prediction error across sessions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World model improvement</w:t>
            </w:r>
          </w:p>
        </w:tc>
      </w:tr>
      <w:tr>
        <w:tc>
          <w:tcPr>
            <w:tcW w:type="dxa" w:w="2200"/>
            <w:tcBorders>
              <w:top w:val="single" w:color="CCCCCC" w:sz="1"/>
              <w:left w:val="single" w:color="CCCCCC" w:sz="1"/>
              <w:bottom w:val="single" w:color="CCCCCC" w:sz="1"/>
              <w:right w:val="single" w:color="CCCCCC" w:sz="1"/>
            </w:tcBorders>
            <w:shd w:fill="EDF7F2" w:val="clear"/>
            <w:tcMar>
              <w:top w:type="dxa" w:w="100"/>
              <w:left w:type="dxa" w:w="140"/>
              <w:bottom w:type="dxa" w:w="100"/>
              <w:right w:type="dxa" w:w="140"/>
            </w:tcMar>
          </w:tcPr>
          <w:p>
            <w:r>
              <w:rPr>
                <w:rFonts w:ascii="Arial" w:cs="Arial" w:eastAsia="Arial" w:hAnsi="Arial"/>
                <w:b w:val="false"/>
                <w:bCs w:val="false"/>
                <w:color w:val="222222"/>
                <w:sz w:val="20"/>
                <w:szCs w:val="20"/>
              </w:rPr>
              <w:t xml:space="preserve">Uncertainty Reduction Rate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Information gain per step across sessions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222222"/>
                <w:sz w:val="20"/>
                <w:szCs w:val="20"/>
              </w:rPr>
              <w:t xml:space="preserve">Efficient uncertainty resolution</w:t>
            </w:r>
          </w:p>
        </w:tc>
      </w:tr>
    </w:tbl>
    <w:p>
      <w:pPr>
        <w:pStyle w:val="Heading2"/>
        <w:spacing w:after="80" w:before="280"/>
      </w:pPr>
      <w:r>
        <w:rPr>
          <w:rFonts w:ascii="Arial" w:cs="Arial" w:eastAsia="Arial" w:hAnsi="Arial"/>
          <w:b/>
          <w:bCs/>
          <w:color w:val="1A6B4A"/>
          <w:sz w:val="26"/>
          <w:szCs w:val="26"/>
        </w:rPr>
        <w:t xml:space="preserve">Phase 3: Peripersonal Space and Body-Scale Sensitivity</w:t>
      </w:r>
    </w:p>
    <w:p>
      <w:pPr>
        <w:spacing w:after="120" w:before="80" w:line="360"/>
        <w:jc w:val="both"/>
      </w:pPr>
      <w:r>
        <w:rPr>
          <w:rFonts w:ascii="Arial" w:cs="Arial" w:eastAsia="Arial" w:hAnsi="Arial"/>
          <w:sz w:val="22"/>
          <w:szCs w:val="22"/>
        </w:rPr>
        <w:t xml:space="preserve">This is the most novel phase of SFES. It tests whether agents develop a dynamic body-scale spatial representation—the computational analog of PPS.</w:t>
      </w:r>
    </w:p>
    <w:p>
      <w:pPr>
        <w:pStyle w:val="Heading3"/>
        <w:spacing w:after="60" w:before="200"/>
      </w:pPr>
      <w:r>
        <w:rPr>
          <w:rFonts w:ascii="Arial" w:cs="Arial" w:eastAsia="Arial" w:hAnsi="Arial"/>
          <w:b/>
          <w:bCs/>
          <w:color w:val="444444"/>
          <w:sz w:val="24"/>
          <w:szCs w:val="24"/>
        </w:rPr>
        <w:t xml:space="preserve">3A. Action Radius Probing</w:t>
      </w:r>
    </w:p>
    <w:p>
      <w:pPr>
        <w:spacing w:after="120" w:before="80" w:line="360"/>
        <w:jc w:val="both"/>
      </w:pPr>
      <w:r>
        <w:rPr>
          <w:rFonts w:ascii="Arial" w:cs="Arial" w:eastAsia="Arial" w:hAnsi="Arial"/>
          <w:sz w:val="22"/>
          <w:szCs w:val="22"/>
        </w:rPr>
        <w:t xml:space="preserve">Agents are placed in environments containing objects and modifications at varying distances. At each step, agents are probed: 'Which of these objects can you interact with from your current position?' The accuracy and confidence of these predictions are tracked across sessions. A spatially intelligent agent should develop accurate predictions of its own action radius without explicit programming.</w:t>
      </w:r>
    </w:p>
    <w:p>
      <w:pPr>
        <w:pStyle w:val="Heading3"/>
        <w:spacing w:after="60" w:before="200"/>
      </w:pPr>
      <w:r>
        <w:rPr>
          <w:rFonts w:ascii="Arial" w:cs="Arial" w:eastAsia="Arial" w:hAnsi="Arial"/>
          <w:b/>
          <w:bCs/>
          <w:color w:val="444444"/>
          <w:sz w:val="24"/>
          <w:szCs w:val="24"/>
        </w:rPr>
        <w:t xml:space="preserve">3B. Scale-Relative Navigation</w:t>
      </w:r>
    </w:p>
    <w:p>
      <w:pPr>
        <w:spacing w:after="120" w:before="80" w:line="360"/>
        <w:jc w:val="both"/>
      </w:pPr>
      <w:r>
        <w:rPr>
          <w:rFonts w:ascii="Arial" w:cs="Arial" w:eastAsia="Arial" w:hAnsi="Arial"/>
          <w:sz w:val="22"/>
          <w:szCs w:val="22"/>
        </w:rPr>
        <w:t xml:space="preserve">Environments are designed with passages, openings, and clearances at varying sizes relative to the agent's represented body. Navigation choices reveal whether the agent has internalized its own scale: does it attempt passages too narrow for it? Does it take detours around spaces it could traverse? Scale-relative navigation accuracy is tracked across sessions.</w:t>
      </w:r>
    </w:p>
    <w:p>
      <w:pPr>
        <w:pStyle w:val="Heading3"/>
        <w:spacing w:after="60" w:before="200"/>
      </w:pPr>
      <w:r>
        <w:rPr>
          <w:rFonts w:ascii="Arial" w:cs="Arial" w:eastAsia="Arial" w:hAnsi="Arial"/>
          <w:b/>
          <w:bCs/>
          <w:color w:val="444444"/>
          <w:sz w:val="24"/>
          <w:szCs w:val="24"/>
        </w:rPr>
        <w:t xml:space="preserve">3C. Tool-Extended PPS</w:t>
      </w:r>
    </w:p>
    <w:p>
      <w:pPr>
        <w:spacing w:after="120" w:before="80" w:line="360"/>
        <w:jc w:val="both"/>
      </w:pPr>
      <w:r>
        <w:rPr>
          <w:rFonts w:ascii="Arial" w:cs="Arial" w:eastAsia="Arial" w:hAnsi="Arial"/>
          <w:sz w:val="22"/>
          <w:szCs w:val="22"/>
        </w:rPr>
        <w:t xml:space="preserve">Agents are given access to tools (virtual extensions of action capacity) mid-session. The question: does the agent's spatial representation update to reflect its extended reach? Does it now treat objects as reachable that it previously ignored? This tests the PPS plasticity that is central to human body-scale spatial intelligence.</w:t>
      </w:r>
    </w:p>
    <w:p>
      <w:pPr>
        <w:pStyle w:val="Heading3"/>
        <w:spacing w:after="60" w:before="200"/>
      </w:pPr>
      <w:r>
        <w:rPr>
          <w:rFonts w:ascii="Arial" w:cs="Arial" w:eastAsia="Arial" w:hAnsi="Arial"/>
          <w:b/>
          <w:bCs/>
          <w:color w:val="444444"/>
          <w:sz w:val="24"/>
          <w:szCs w:val="24"/>
        </w:rPr>
        <w:t xml:space="preserve">3D. Affordance Field Mapping</w:t>
      </w:r>
    </w:p>
    <w:p>
      <w:pPr>
        <w:spacing w:after="120" w:before="80" w:line="360"/>
        <w:jc w:val="both"/>
      </w:pPr>
      <w:r>
        <w:rPr>
          <w:rFonts w:ascii="Arial" w:cs="Arial" w:eastAsia="Arial" w:hAnsi="Arial"/>
          <w:sz w:val="22"/>
          <w:szCs w:val="22"/>
        </w:rPr>
        <w:t xml:space="preserve">Drawing on Xu et al. (2025), agents are evaluated on whether their spatial representation encodes affordance fields—zones where specific actions are possible or invited. Can the agent identify not just where objects are, but what they offer relative to its current body configuration and goals?</w:t>
      </w:r>
    </w:p>
    <w:p>
      <w:pPr>
        <w:pStyle w:val="Heading2"/>
        <w:spacing w:after="80" w:before="280"/>
      </w:pPr>
      <w:r>
        <w:rPr>
          <w:rFonts w:ascii="Arial" w:cs="Arial" w:eastAsia="Arial" w:hAnsi="Arial"/>
          <w:b/>
          <w:bCs/>
          <w:color w:val="1A6B4A"/>
          <w:sz w:val="26"/>
          <w:szCs w:val="26"/>
        </w:rPr>
        <w:t xml:space="preserve">Phase 4: Active Spatial Modification with Intent</w:t>
      </w:r>
    </w:p>
    <w:p>
      <w:pPr>
        <w:spacing w:after="120" w:before="80" w:line="360"/>
        <w:jc w:val="both"/>
      </w:pPr>
      <w:r>
        <w:rPr>
          <w:rFonts w:ascii="Arial" w:cs="Arial" w:eastAsia="Arial" w:hAnsi="Arial"/>
          <w:sz w:val="22"/>
          <w:szCs w:val="22"/>
        </w:rPr>
        <w:t xml:space="preserve">This phase tests the architectural competence: not just perceiving or mapping space, but evaluating it and modifying it purposefully.</w:t>
      </w:r>
    </w:p>
    <w:p>
      <w:pPr>
        <w:pStyle w:val="Heading3"/>
        <w:spacing w:after="60" w:before="200"/>
      </w:pPr>
      <w:r>
        <w:rPr>
          <w:rFonts w:ascii="Arial" w:cs="Arial" w:eastAsia="Arial" w:hAnsi="Arial"/>
          <w:b/>
          <w:bCs/>
          <w:color w:val="444444"/>
          <w:sz w:val="24"/>
          <w:szCs w:val="24"/>
        </w:rPr>
        <w:t xml:space="preserve">4A. Spatial Quality Diagnosis</w:t>
      </w:r>
    </w:p>
    <w:p>
      <w:pPr>
        <w:spacing w:after="120" w:before="80" w:line="360"/>
        <w:jc w:val="both"/>
      </w:pPr>
      <w:r>
        <w:rPr>
          <w:rFonts w:ascii="Arial" w:cs="Arial" w:eastAsia="Arial" w:hAnsi="Arial"/>
          <w:sz w:val="22"/>
          <w:szCs w:val="22"/>
        </w:rPr>
        <w:t xml:space="preserve">Agents are placed in deliberately sub-optimal environments: spaces with poor prospect-refuge balance, excessive occlusivity without resolution, inadequate lighting for the apparent function. The question: can the agent identify what is spatially wrong? This is measured by probing the agent's description of the space and comparing it against expert architectural evaluation.</w:t>
      </w:r>
    </w:p>
    <w:p>
      <w:pPr>
        <w:pStyle w:val="Heading3"/>
        <w:spacing w:after="60" w:before="200"/>
      </w:pPr>
      <w:r>
        <w:rPr>
          <w:rFonts w:ascii="Arial" w:cs="Arial" w:eastAsia="Arial" w:hAnsi="Arial"/>
          <w:b/>
          <w:bCs/>
          <w:color w:val="444444"/>
          <w:sz w:val="24"/>
          <w:szCs w:val="24"/>
        </w:rPr>
        <w:t xml:space="preserve">4B. Modification Proposal</w:t>
      </w:r>
    </w:p>
    <w:p>
      <w:pPr>
        <w:spacing w:after="120" w:before="80" w:line="360"/>
        <w:jc w:val="both"/>
      </w:pPr>
      <w:r>
        <w:rPr>
          <w:rFonts w:ascii="Arial" w:cs="Arial" w:eastAsia="Arial" w:hAnsi="Arial"/>
          <w:sz w:val="22"/>
          <w:szCs w:val="22"/>
        </w:rPr>
        <w:t xml:space="preserve">Agents are given modification authority (ability to move furniture, adjust lighting, open/close partitions) and asked to improve the space. Modifications are evaluated using isovist metrics: does the modified configuration produce better isovist area distribution, improved prospect-refuge balance, and higher Space Syntax integration? Human architectural experts also evaluate proposed modifications.</w:t>
      </w:r>
    </w:p>
    <w:p>
      <w:pPr>
        <w:pStyle w:val="Heading3"/>
        <w:spacing w:after="60" w:before="200"/>
      </w:pPr>
      <w:r>
        <w:rPr>
          <w:rFonts w:ascii="Arial" w:cs="Arial" w:eastAsia="Arial" w:hAnsi="Arial"/>
          <w:b/>
          <w:bCs/>
          <w:color w:val="444444"/>
          <w:sz w:val="24"/>
          <w:szCs w:val="24"/>
        </w:rPr>
        <w:t xml:space="preserve">4C. Counterfactual Spatial Imagination</w:t>
      </w:r>
    </w:p>
    <w:p>
      <w:pPr>
        <w:spacing w:after="120" w:before="80" w:line="360"/>
        <w:jc w:val="both"/>
      </w:pPr>
      <w:r>
        <w:rPr>
          <w:rFonts w:ascii="Arial" w:cs="Arial" w:eastAsia="Arial" w:hAnsi="Arial"/>
          <w:sz w:val="22"/>
          <w:szCs w:val="22"/>
        </w:rPr>
        <w:t xml:space="preserve">Using world model capabilities (analogous to GEM's what-if simulation), agents are asked to predict the spatial experience that would result from proposed modifications before executing them. Prediction accuracy is measured against actual post-modification isovist analysis. This tests whether the agent has internalized the relationship between spatial configuration and experiential quality.</w:t>
      </w:r>
    </w:p>
    <w:p>
      <w:pPr>
        <w:pStyle w:val="Heading3"/>
        <w:spacing w:after="60" w:before="200"/>
      </w:pPr>
      <w:r>
        <w:rPr>
          <w:rFonts w:ascii="Arial" w:cs="Arial" w:eastAsia="Arial" w:hAnsi="Arial"/>
          <w:b/>
          <w:bCs/>
          <w:color w:val="444444"/>
          <w:sz w:val="24"/>
          <w:szCs w:val="24"/>
        </w:rPr>
        <w:t xml:space="preserve">4D. Familiarity-Guided Modification</w:t>
      </w:r>
    </w:p>
    <w:p>
      <w:pPr>
        <w:spacing w:after="120" w:before="80" w:line="360"/>
        <w:jc w:val="both"/>
      </w:pPr>
      <w:r>
        <w:rPr>
          <w:rFonts w:ascii="Arial" w:cs="Arial" w:eastAsia="Arial" w:hAnsi="Arial"/>
          <w:sz w:val="22"/>
          <w:szCs w:val="22"/>
        </w:rPr>
        <w:t xml:space="preserve">Modification proposals made after 10 sessions of familiarity are compared against those made after 1 session. A spatially intelligent agent should propose more nuanced, contextually appropriate modifications as familiarity develops—knowing the space well enough to identify subtle deficiencies that were invisible on first exposure.</w:t>
      </w:r>
    </w:p>
    <w:p>
      <w:pPr>
        <w:pStyle w:val="Heading2"/>
        <w:spacing w:after="80" w:before="280"/>
      </w:pPr>
      <w:r>
        <w:rPr>
          <w:rFonts w:ascii="Arial" w:cs="Arial" w:eastAsia="Arial" w:hAnsi="Arial"/>
          <w:b/>
          <w:bCs/>
          <w:color w:val="1A6B4A"/>
          <w:sz w:val="26"/>
          <w:szCs w:val="26"/>
        </w:rPr>
        <w:t xml:space="preserve">Phase 5: Atmospheric Change Detection and Multi-Agent Memory</w:t>
      </w:r>
    </w:p>
    <w:p>
      <w:pPr>
        <w:pStyle w:val="Heading3"/>
        <w:spacing w:after="60" w:before="200"/>
      </w:pPr>
      <w:r>
        <w:rPr>
          <w:rFonts w:ascii="Arial" w:cs="Arial" w:eastAsia="Arial" w:hAnsi="Arial"/>
          <w:b/>
          <w:bCs/>
          <w:color w:val="444444"/>
          <w:sz w:val="24"/>
          <w:szCs w:val="24"/>
        </w:rPr>
        <w:t xml:space="preserve">5A. Atmospheric Sensitivity (Isovist-Controlled)</w:t>
      </w:r>
    </w:p>
    <w:p>
      <w:pPr>
        <w:spacing w:after="120" w:before="80" w:line="360"/>
        <w:jc w:val="both"/>
      </w:pPr>
      <w:r>
        <w:rPr>
          <w:rFonts w:ascii="Arial" w:cs="Arial" w:eastAsia="Arial" w:hAnsi="Arial"/>
          <w:sz w:val="22"/>
          <w:szCs w:val="22"/>
        </w:rPr>
        <w:t xml:space="preserve">Environments are modified in two ways. Geometric changes (control): furniture relocated, new objects added—detectable regardless of familiarity. Atmospheric changes (experimental): lighting temperature shifted, acoustic reverb altered, material textures changed—geometry identical. Crucially, atmospheric changes are designed to alter isovist-experiential quality (e.g., reducing apparent openness through light manipulation) without changing geometric isovist values. This allows separation of geometric from atmospheric spatial sensitivity.</w:t>
      </w:r>
    </w:p>
    <w:p>
      <w:pPr>
        <w:pStyle w:val="Heading3"/>
        <w:spacing w:after="60" w:before="200"/>
      </w:pPr>
      <w:r>
        <w:rPr>
          <w:rFonts w:ascii="Arial" w:cs="Arial" w:eastAsia="Arial" w:hAnsi="Arial"/>
          <w:b/>
          <w:bCs/>
          <w:color w:val="444444"/>
          <w:sz w:val="24"/>
          <w:szCs w:val="24"/>
        </w:rPr>
        <w:t xml:space="preserve">5B. Multi-Agent Collective Spatial Memory</w:t>
      </w:r>
    </w:p>
    <w:p>
      <w:pPr>
        <w:spacing w:after="120" w:before="80" w:line="360"/>
        <w:jc w:val="both"/>
      </w:pPr>
      <w:r>
        <w:rPr>
          <w:rFonts w:ascii="Arial" w:cs="Arial" w:eastAsia="Arial" w:hAnsi="Arial"/>
          <w:sz w:val="22"/>
          <w:szCs w:val="22"/>
        </w:rPr>
        <w:t xml:space="preserve">Two agents independently develop familiarity with the same environment across 10 sessions. After session 5, they interact: each observes a subset of the other's exploration trajectory. Metrics: representational convergence (similarity of independently developed cognitive maps), transfer efficiency (whether another agent's experience accelerates familiarity), and collective modification quality (do two familiar agents propose better spatial modifications than one?).</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2E4A7A"/>
          <w:sz w:val="32"/>
          <w:szCs w:val="32"/>
        </w:rPr>
        <w:t xml:space="preserve">5  Theoretical Framework: Three Directions of Spatial Intelligence</w:t>
      </w:r>
    </w:p>
    <w:p>
      <w:pPr>
        <w:spacing w:after="120" w:before="80" w:line="360"/>
        <w:jc w:val="both"/>
      </w:pPr>
      <w:r>
        <w:rPr>
          <w:rFonts w:ascii="Arial" w:cs="Arial" w:eastAsia="Arial" w:hAnsi="Arial"/>
          <w:sz w:val="22"/>
          <w:szCs w:val="22"/>
        </w:rPr>
        <w:t xml:space="preserve">This proposal reframes embodied spatial intelligence around three directions of interaction, only one of which is currently measured: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A7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Agent → Space (Current)</w:t>
            </w:r>
          </w:p>
        </w:tc>
        <w:tc>
          <w:tcPr>
            <w:tcW w:type="dxa" w:w="3120"/>
            <w:tcBorders>
              <w:top w:val="single" w:color="CCCCCC" w:sz="1"/>
              <w:left w:val="single" w:color="CCCCCC" w:sz="1"/>
              <w:bottom w:val="single" w:color="CCCCCC" w:sz="1"/>
              <w:right w:val="single" w:color="CCCCCC" w:sz="1"/>
            </w:tcBorders>
            <w:shd w:fill="1A6B4A"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Space → Agent (Phase 1–2)</w:t>
            </w:r>
          </w:p>
        </w:tc>
        <w:tc>
          <w:tcPr>
            <w:tcW w:type="dxa" w:w="3120"/>
            <w:tcBorders>
              <w:top w:val="single" w:color="CCCCCC" w:sz="1"/>
              <w:left w:val="single" w:color="CCCCCC" w:sz="1"/>
              <w:bottom w:val="single" w:color="CCCCCC" w:sz="1"/>
              <w:right w:val="single" w:color="CCCCCC" w:sz="1"/>
            </w:tcBorders>
            <w:shd w:fill="7A2E2E"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Agent ↔ Space (Phase 3–4)</w:t>
            </w:r>
          </w:p>
        </w:tc>
      </w:tr>
      <w:tr>
        <w:tc>
          <w:tcPr>
            <w:tcW w:type="dxa" w:w="312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r>
              <w:rPr>
                <w:rFonts w:ascii="Arial" w:cs="Arial" w:eastAsia="Arial" w:hAnsi="Arial"/>
                <w:sz w:val="20"/>
                <w:szCs w:val="20"/>
              </w:rPr>
              <w:t xml:space="preserve">Agent perceives and maps space</w:t>
            </w:r>
          </w:p>
        </w:tc>
        <w:tc>
          <w:tcPr>
            <w:tcW w:type="dxa" w:w="3120"/>
            <w:tcBorders>
              <w:top w:val="single" w:color="CCCCCC" w:sz="1"/>
              <w:left w:val="single" w:color="CCCCCC" w:sz="1"/>
              <w:bottom w:val="single" w:color="CCCCCC" w:sz="1"/>
              <w:right w:val="single" w:color="CCCCCC" w:sz="1"/>
            </w:tcBorders>
            <w:shd w:fill="EEF8F2" w:val="clear"/>
            <w:tcMar>
              <w:top w:type="dxa" w:w="100"/>
              <w:left w:type="dxa" w:w="140"/>
              <w:bottom w:type="dxa" w:w="100"/>
              <w:right w:type="dxa" w:w="140"/>
            </w:tcMar>
          </w:tcPr>
          <w:p>
            <w:r>
              <w:rPr>
                <w:rFonts w:ascii="Arial" w:cs="Arial" w:eastAsia="Arial" w:hAnsi="Arial"/>
                <w:sz w:val="20"/>
                <w:szCs w:val="20"/>
              </w:rPr>
              <w:t xml:space="preserve">Space shapes agent's internal state</w:t>
            </w:r>
          </w:p>
        </w:tc>
        <w:tc>
          <w:tcPr>
            <w:tcW w:type="dxa" w:w="3120"/>
            <w:tcBorders>
              <w:top w:val="single" w:color="CCCCCC" w:sz="1"/>
              <w:left w:val="single" w:color="CCCCCC" w:sz="1"/>
              <w:bottom w:val="single" w:color="CCCCCC" w:sz="1"/>
              <w:right w:val="single" w:color="CCCCCC" w:sz="1"/>
            </w:tcBorders>
            <w:shd w:fill="F8EEEE" w:val="clear"/>
            <w:tcMar>
              <w:top w:type="dxa" w:w="100"/>
              <w:left w:type="dxa" w:w="140"/>
              <w:bottom w:type="dxa" w:w="100"/>
              <w:right w:type="dxa" w:w="140"/>
            </w:tcMar>
          </w:tcPr>
          <w:p>
            <w:r>
              <w:rPr>
                <w:rFonts w:ascii="Arial" w:cs="Arial" w:eastAsia="Arial" w:hAnsi="Arial"/>
                <w:sz w:val="20"/>
                <w:szCs w:val="20"/>
              </w:rPr>
              <w:t xml:space="preserve">Agent and space co-constitute each other through body and action</w:t>
            </w:r>
          </w:p>
        </w:tc>
      </w:tr>
      <w:tr>
        <w:tc>
          <w:tcPr>
            <w:tcW w:type="dxa" w:w="312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r>
              <w:rPr>
                <w:rFonts w:ascii="Arial" w:cs="Arial" w:eastAsia="Arial" w:hAnsi="Arial"/>
                <w:sz w:val="20"/>
                <w:szCs w:val="20"/>
              </w:rPr>
              <w:t xml:space="preserve">Evaluated by: task completion, navigation accuracy</w:t>
            </w:r>
          </w:p>
        </w:tc>
        <w:tc>
          <w:tcPr>
            <w:tcW w:type="dxa" w:w="3120"/>
            <w:tcBorders>
              <w:top w:val="single" w:color="CCCCCC" w:sz="1"/>
              <w:left w:val="single" w:color="CCCCCC" w:sz="1"/>
              <w:bottom w:val="single" w:color="CCCCCC" w:sz="1"/>
              <w:right w:val="single" w:color="CCCCCC" w:sz="1"/>
            </w:tcBorders>
            <w:shd w:fill="EEF8F2" w:val="clear"/>
            <w:tcMar>
              <w:top w:type="dxa" w:w="100"/>
              <w:left w:type="dxa" w:w="140"/>
              <w:bottom w:type="dxa" w:w="100"/>
              <w:right w:type="dxa" w:w="140"/>
            </w:tcMar>
          </w:tcPr>
          <w:p>
            <w:r>
              <w:rPr>
                <w:rFonts w:ascii="Arial" w:cs="Arial" w:eastAsia="Arial" w:hAnsi="Arial"/>
                <w:sz w:val="20"/>
                <w:szCs w:val="20"/>
              </w:rPr>
              <w:t xml:space="preserve">Evaluated by: familiarity emergence, isovist trajectory quality</w:t>
            </w:r>
          </w:p>
        </w:tc>
        <w:tc>
          <w:tcPr>
            <w:tcW w:type="dxa" w:w="3120"/>
            <w:tcBorders>
              <w:top w:val="single" w:color="CCCCCC" w:sz="1"/>
              <w:left w:val="single" w:color="CCCCCC" w:sz="1"/>
              <w:bottom w:val="single" w:color="CCCCCC" w:sz="1"/>
              <w:right w:val="single" w:color="CCCCCC" w:sz="1"/>
            </w:tcBorders>
            <w:shd w:fill="F8EEEE" w:val="clear"/>
            <w:tcMar>
              <w:top w:type="dxa" w:w="100"/>
              <w:left w:type="dxa" w:w="140"/>
              <w:bottom w:type="dxa" w:w="100"/>
              <w:right w:type="dxa" w:w="140"/>
            </w:tcMar>
          </w:tcPr>
          <w:p>
            <w:r>
              <w:rPr>
                <w:rFonts w:ascii="Arial" w:cs="Arial" w:eastAsia="Arial" w:hAnsi="Arial"/>
                <w:sz w:val="20"/>
                <w:szCs w:val="20"/>
              </w:rPr>
              <w:t xml:space="preserve">Evaluated by: PPS dynamics, affordance mapping, modification quality</w:t>
            </w:r>
          </w:p>
        </w:tc>
      </w:tr>
      <w:tr>
        <w:tc>
          <w:tcPr>
            <w:tcW w:type="dxa" w:w="312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r>
              <w:rPr>
                <w:rFonts w:ascii="Arial" w:cs="Arial" w:eastAsia="Arial" w:hAnsi="Arial"/>
                <w:sz w:val="20"/>
                <w:szCs w:val="20"/>
              </w:rPr>
              <w:t xml:space="preserve">Temporal scale: single session</w:t>
            </w:r>
          </w:p>
        </w:tc>
        <w:tc>
          <w:tcPr>
            <w:tcW w:type="dxa" w:w="3120"/>
            <w:tcBorders>
              <w:top w:val="single" w:color="CCCCCC" w:sz="1"/>
              <w:left w:val="single" w:color="CCCCCC" w:sz="1"/>
              <w:bottom w:val="single" w:color="CCCCCC" w:sz="1"/>
              <w:right w:val="single" w:color="CCCCCC" w:sz="1"/>
            </w:tcBorders>
            <w:shd w:fill="EEF8F2" w:val="clear"/>
            <w:tcMar>
              <w:top w:type="dxa" w:w="100"/>
              <w:left w:type="dxa" w:w="140"/>
              <w:bottom w:type="dxa" w:w="100"/>
              <w:right w:type="dxa" w:w="140"/>
            </w:tcMar>
          </w:tcPr>
          <w:p>
            <w:r>
              <w:rPr>
                <w:rFonts w:ascii="Arial" w:cs="Arial" w:eastAsia="Arial" w:hAnsi="Arial"/>
                <w:sz w:val="20"/>
                <w:szCs w:val="20"/>
              </w:rPr>
              <w:t xml:space="preserve">Temporal scale: longitudinal (10 sessions)</w:t>
            </w:r>
          </w:p>
        </w:tc>
        <w:tc>
          <w:tcPr>
            <w:tcW w:type="dxa" w:w="3120"/>
            <w:tcBorders>
              <w:top w:val="single" w:color="CCCCCC" w:sz="1"/>
              <w:left w:val="single" w:color="CCCCCC" w:sz="1"/>
              <w:bottom w:val="single" w:color="CCCCCC" w:sz="1"/>
              <w:right w:val="single" w:color="CCCCCC" w:sz="1"/>
            </w:tcBorders>
            <w:shd w:fill="F8EEEE" w:val="clear"/>
            <w:tcMar>
              <w:top w:type="dxa" w:w="100"/>
              <w:left w:type="dxa" w:w="140"/>
              <w:bottom w:type="dxa" w:w="100"/>
              <w:right w:type="dxa" w:w="140"/>
            </w:tcMar>
          </w:tcPr>
          <w:p>
            <w:r>
              <w:rPr>
                <w:rFonts w:ascii="Arial" w:cs="Arial" w:eastAsia="Arial" w:hAnsi="Arial"/>
                <w:sz w:val="20"/>
                <w:szCs w:val="20"/>
              </w:rPr>
              <w:t xml:space="preserve">Temporal scale: longitudinal + context-dependent (tool availability, goals)</w:t>
            </w:r>
          </w:p>
        </w:tc>
      </w:tr>
    </w:tbl>
    <w:p>
      <w:pPr>
        <w:spacing w:after="60" w:before="60"/>
      </w:pPr>
      <w:r>
        <w:t xml:space="preserve"/>
      </w:r>
    </w:p>
    <w:p>
      <w:pPr>
        <w:spacing w:after="120" w:before="80" w:line="360"/>
        <w:jc w:val="both"/>
      </w:pPr>
      <w:r>
        <w:rPr>
          <w:rFonts w:ascii="Arial" w:cs="Arial" w:eastAsia="Arial" w:hAnsi="Arial"/>
          <w:sz w:val="22"/>
          <w:szCs w:val="22"/>
        </w:rPr>
        <w:t xml:space="preserve">The third column—Agent ↔ Space—represents the most radical departure from current AI evaluation. It treats the agent and the space as mutually constituting: the space's meaning depends on the agent's body and goals, while the agent's state depends on the space's qualities. This is Merleau-Ponty's phenomenology of perception operationalized as a benchmark.</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2E4A7A"/>
          <w:sz w:val="32"/>
          <w:szCs w:val="32"/>
        </w:rPr>
        <w:t xml:space="preserve">6  Positioning and Novelty</w:t>
      </w:r>
    </w:p>
    <w:p>
      <w:pPr>
        <w:pStyle w:val="Heading2"/>
        <w:spacing w:after="80" w:before="280"/>
      </w:pPr>
      <w:r>
        <w:rPr>
          <w:rFonts w:ascii="Arial" w:cs="Arial" w:eastAsia="Arial" w:hAnsi="Arial"/>
          <w:b/>
          <w:bCs/>
          <w:color w:val="1A6B4A"/>
          <w:sz w:val="26"/>
          <w:szCs w:val="26"/>
        </w:rPr>
        <w:t xml:space="preserve">6.1  Relation to Existing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Work</w:t>
            </w:r>
          </w:p>
        </w:tc>
        <w:tc>
          <w:tcPr>
            <w:tcW w:type="dxa" w:w="3430"/>
            <w:tcBorders>
              <w:top w:val="single" w:color="CCCCCC" w:sz="1"/>
              <w:left w:val="single" w:color="CCCCCC" w:sz="1"/>
              <w:bottom w:val="single" w:color="CCCCCC" w:sz="1"/>
              <w:right w:val="single" w:color="CCCCCC"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430"/>
            <w:tcBorders>
              <w:top w:val="single" w:color="CCCCCC" w:sz="1"/>
              <w:left w:val="single" w:color="CCCCCC" w:sz="1"/>
              <w:bottom w:val="single" w:color="CCCCCC" w:sz="1"/>
              <w:right w:val="single" w:color="CCCCCC"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SFES contribution</w:t>
            </w:r>
          </w:p>
        </w:tc>
      </w:tr>
      <w:tr>
        <w:tc>
          <w:tcPr>
            <w:tcW w:type="dxa" w:w="25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r>
              <w:rPr>
                <w:rFonts w:ascii="Arial" w:cs="Arial" w:eastAsia="Arial" w:hAnsi="Arial"/>
                <w:sz w:val="20"/>
                <w:szCs w:val="20"/>
              </w:rPr>
              <w:t xml:space="preserve">Theory of Space (ICLR 2026)</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Active spatial belief construction in single sessions</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Longitudinal familiarity; PPS; atmospheric sensitivity; isovist quality; modification intent</w:t>
            </w:r>
          </w:p>
        </w:tc>
      </w:tr>
      <w:tr>
        <w:tc>
          <w:tcPr>
            <w:tcW w:type="dxa" w:w="25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r>
              <w:rPr>
                <w:rFonts w:ascii="Arial" w:cs="Arial" w:eastAsia="Arial" w:hAnsi="Arial"/>
                <w:sz w:val="20"/>
                <w:szCs w:val="20"/>
              </w:rPr>
              <w:t xml:space="preserve">PlacePulse (MIT)</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Static, instantaneous human perception scoring</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Dynamic temporal evolution of perceived quality; agent-perspective isovist scoring</w:t>
            </w:r>
          </w:p>
        </w:tc>
      </w:tr>
      <w:tr>
        <w:tc>
          <w:tcPr>
            <w:tcW w:type="dxa" w:w="25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r>
              <w:rPr>
                <w:rFonts w:ascii="Arial" w:cs="Arial" w:eastAsia="Arial" w:hAnsi="Arial"/>
                <w:sz w:val="20"/>
                <w:szCs w:val="20"/>
              </w:rPr>
              <w:t xml:space="preserve">PhyScene (2024)</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Physically interactable scene synthesis; physical realism eval</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Spatial quality as evaluation criterion; familiarity-guided modification</w:t>
            </w:r>
          </w:p>
        </w:tc>
      </w:tr>
      <w:tr>
        <w:tc>
          <w:tcPr>
            <w:tcW w:type="dxa" w:w="25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r>
              <w:rPr>
                <w:rFonts w:ascii="Arial" w:cs="Arial" w:eastAsia="Arial" w:hAnsi="Arial"/>
                <w:sz w:val="20"/>
                <w:szCs w:val="20"/>
              </w:rPr>
              <w:t xml:space="preserve">PPS research (2025)</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Human body-scale spatial representation in VR</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Computational analog in AI agents; tool-extended PPS; affordance field mapping</w:t>
            </w:r>
          </w:p>
        </w:tc>
      </w:tr>
      <w:tr>
        <w:tc>
          <w:tcPr>
            <w:tcW w:type="dxa" w:w="25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r>
              <w:rPr>
                <w:rFonts w:ascii="Arial" w:cs="Arial" w:eastAsia="Arial" w:hAnsi="Arial"/>
                <w:sz w:val="20"/>
                <w:szCs w:val="20"/>
              </w:rPr>
              <w:t xml:space="preserve">SpaVLE @ NeurIPS 2025</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Spatial reasoning across NLP/CV/Robotics</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Space→agent direction; body-scale; modification with intent; isovist evaluation</w:t>
            </w:r>
          </w:p>
        </w:tc>
      </w:tr>
      <w:tr>
        <w:tc>
          <w:tcPr>
            <w:tcW w:type="dxa" w:w="2500"/>
            <w:tcBorders>
              <w:top w:val="single" w:color="CCCCCC" w:sz="1"/>
              <w:left w:val="single" w:color="CCCCCC" w:sz="1"/>
              <w:bottom w:val="single" w:color="CCCCCC" w:sz="1"/>
              <w:right w:val="single" w:color="CCCCCC" w:sz="1"/>
            </w:tcBorders>
            <w:shd w:fill="EEF2F8" w:val="clear"/>
            <w:tcMar>
              <w:top w:type="dxa" w:w="100"/>
              <w:left w:type="dxa" w:w="140"/>
              <w:bottom w:type="dxa" w:w="100"/>
              <w:right w:type="dxa" w:w="140"/>
            </w:tcMar>
          </w:tcPr>
          <w:p>
            <w:r>
              <w:rPr>
                <w:rFonts w:ascii="Arial" w:cs="Arial" w:eastAsia="Arial" w:hAnsi="Arial"/>
                <w:sz w:val="20"/>
                <w:szCs w:val="20"/>
              </w:rPr>
              <w:t xml:space="preserve">VLN / EQA benchmarks</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Navigation and QA task completion</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Internal state change; body-scale; spatial quality evaluation; modification</w:t>
            </w:r>
          </w:p>
        </w:tc>
      </w:tr>
    </w:tbl>
    <w:p>
      <w:pPr>
        <w:spacing w:after="60" w:before="60"/>
      </w:pPr>
      <w:r>
        <w:t xml:space="preserve"/>
      </w:r>
    </w:p>
    <w:p>
      <w:pPr>
        <w:pStyle w:val="Heading2"/>
        <w:spacing w:after="80" w:before="280"/>
      </w:pPr>
      <w:r>
        <w:rPr>
          <w:rFonts w:ascii="Arial" w:cs="Arial" w:eastAsia="Arial" w:hAnsi="Arial"/>
          <w:b/>
          <w:bCs/>
          <w:color w:val="1A6B4A"/>
          <w:sz w:val="26"/>
          <w:szCs w:val="26"/>
        </w:rPr>
        <w:t xml:space="preserve">6.2  The Unique Contribution of Architectural Background</w:t>
      </w:r>
    </w:p>
    <w:p>
      <w:pPr>
        <w:spacing w:after="120" w:before="80" w:line="360"/>
        <w:jc w:val="both"/>
      </w:pPr>
      <w:r>
        <w:rPr>
          <w:rFonts w:ascii="Arial" w:cs="Arial" w:eastAsia="Arial" w:hAnsi="Arial"/>
          <w:sz w:val="22"/>
          <w:szCs w:val="22"/>
        </w:rPr>
        <w:t xml:space="preserve">The core novelty of this research is enabled by a background that most AI researchers do not have. Architecture trains practitioners to:</w:t>
      </w:r>
    </w:p>
    <w:p>
      <w:pPr>
        <w:pStyle w:val="ListParagraph"/>
        <w:numPr>
          <w:ilvl w:val="0"/>
          <w:numId w:val="2"/>
        </w:numPr>
        <w:spacing w:after="40" w:before="40" w:line="320"/>
      </w:pPr>
      <w:r>
        <w:rPr>
          <w:rFonts w:ascii="Arial" w:cs="Arial" w:eastAsia="Arial" w:hAnsi="Arial"/>
          <w:sz w:val="22"/>
          <w:szCs w:val="22"/>
        </w:rPr>
        <w:t xml:space="preserve">Understand space as experienced rather than measured—the difference between a 3D point cloud and a room you walk through.</w:t>
      </w:r>
    </w:p>
    <w:p>
      <w:pPr>
        <w:pStyle w:val="ListParagraph"/>
        <w:numPr>
          <w:ilvl w:val="0"/>
          <w:numId w:val="2"/>
        </w:numPr>
        <w:spacing w:after="40" w:before="40" w:line="320"/>
      </w:pPr>
      <w:r>
        <w:rPr>
          <w:rFonts w:ascii="Arial" w:cs="Arial" w:eastAsia="Arial" w:hAnsi="Arial"/>
          <w:sz w:val="22"/>
          <w:szCs w:val="22"/>
        </w:rPr>
        <w:t xml:space="preserve">Design for specific human states—not just efficient navigation but particular affective and cognitive responses.</w:t>
      </w:r>
    </w:p>
    <w:p>
      <w:pPr>
        <w:pStyle w:val="ListParagraph"/>
        <w:numPr>
          <w:ilvl w:val="0"/>
          <w:numId w:val="2"/>
        </w:numPr>
        <w:spacing w:after="40" w:before="40" w:line="320"/>
      </w:pPr>
      <w:r>
        <w:rPr>
          <w:rFonts w:ascii="Arial" w:cs="Arial" w:eastAsia="Arial" w:hAnsi="Arial"/>
          <w:sz w:val="22"/>
          <w:szCs w:val="22"/>
        </w:rPr>
        <w:t xml:space="preserve">Think in terms of atmosphere—the ineffable but real quality that makes a space feel safe, expansive, intimate, or threatening.</w:t>
      </w:r>
    </w:p>
    <w:p>
      <w:pPr>
        <w:pStyle w:val="ListParagraph"/>
        <w:numPr>
          <w:ilvl w:val="0"/>
          <w:numId w:val="2"/>
        </w:numPr>
        <w:spacing w:after="40" w:before="40" w:line="320"/>
      </w:pPr>
      <w:r>
        <w:rPr>
          <w:rFonts w:ascii="Arial" w:cs="Arial" w:eastAsia="Arial" w:hAnsi="Arial"/>
          <w:sz w:val="22"/>
          <w:szCs w:val="22"/>
        </w:rPr>
        <w:t xml:space="preserve">Evaluate at the scale of human time—how a building ages, how a city changes, how familiarity accumulates over years.</w:t>
      </w:r>
    </w:p>
    <w:p>
      <w:pPr>
        <w:pStyle w:val="ListParagraph"/>
        <w:numPr>
          <w:ilvl w:val="0"/>
          <w:numId w:val="2"/>
        </w:numPr>
        <w:spacing w:after="40" w:before="40" w:line="320"/>
      </w:pPr>
      <w:r>
        <w:rPr>
          <w:rFonts w:ascii="Arial" w:cs="Arial" w:eastAsia="Arial" w:hAnsi="Arial"/>
          <w:sz w:val="22"/>
          <w:szCs w:val="22"/>
        </w:rPr>
        <w:t xml:space="preserve">Judge spatial modifications—not just whether they are physically possible, but whether they make the space better.</w:t>
      </w:r>
    </w:p>
    <w:p>
      <w:pPr>
        <w:spacing w:after="60" w:before="60"/>
      </w:pPr>
      <w:r>
        <w:t xml:space="preserve"/>
      </w:r>
    </w:p>
    <w:p>
      <w:pPr>
        <w:spacing w:after="120" w:before="80" w:line="360"/>
        <w:jc w:val="both"/>
      </w:pPr>
      <w:r>
        <w:rPr>
          <w:rFonts w:ascii="Arial" w:cs="Arial" w:eastAsia="Arial" w:hAnsi="Arial"/>
          <w:sz w:val="22"/>
          <w:szCs w:val="22"/>
        </w:rPr>
        <w:t xml:space="preserve">The proposer's existing research directly prefigures SFES: Acoustic Urbanism (generating spatial scenes from sound) addresses non-geometric atmospheric properties; the Embodied Spatial Guidance project (non-visual navigation and accessibility) directly engages PPS-like body-scale spatial awareness; FreeAskAgent (embodied AI navigation) provides the high-level navigation framework on which modification-with-intent evaluation can be built.</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2E4A7A"/>
          <w:sz w:val="32"/>
          <w:szCs w:val="32"/>
        </w:rPr>
        <w:t xml:space="preserve">7  Proposed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800"/>
            <w:tcBorders>
              <w:top w:val="single" w:color="CCCCCC" w:sz="1"/>
              <w:left w:val="single" w:color="CCCCCC" w:sz="1"/>
              <w:bottom w:val="single" w:color="CCCCCC" w:sz="1"/>
              <w:right w:val="single" w:color="CCCCCC" w:sz="1"/>
            </w:tcBorders>
            <w:shd w:fill="2E4A7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6560"/>
            <w:tcBorders>
              <w:top w:val="single" w:color="CCCCCC" w:sz="1"/>
              <w:left w:val="single" w:color="CCCCCC" w:sz="1"/>
              <w:bottom w:val="single" w:color="CCCCCC" w:sz="1"/>
              <w:right w:val="single" w:color="CCCCCC" w:sz="1"/>
            </w:tcBorders>
            <w:shd w:fill="2E4A7A" w:val="clear"/>
            <w:tcMar>
              <w:top w:type="dxa" w:w="100"/>
              <w:left w:type="dxa" w:w="140"/>
              <w:bottom w:type="dxa" w:w="100"/>
              <w:right w:type="dxa" w:w="140"/>
            </w:tcMar>
          </w:tcPr>
          <w:p>
            <w:r>
              <w:rPr>
                <w:rFonts w:ascii="Arial" w:cs="Arial" w:eastAsia="Arial" w:hAnsi="Arial"/>
                <w:color w:val="FFFFFF"/>
                <w:sz w:val="20"/>
                <w:szCs w:val="20"/>
              </w:rPr>
              <w:t xml:space="preserve">Activities &amp; Deliverables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Months 1–3</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Interdisciplinary literature synthesis across environmental psychology, neuroscience (PPS, place cells), isovist analysis, and embodied AI. Finalize SFES benchmark specification. Design environment generation pipeline using ThreeDWorld with isovist pre-analysis tools.</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Months 4–6</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Implement Phases 1–2 (familiarity emergence + isovist trajectory quality). Baseline evaluation of 3–4 foundation models. Submit short paper to SpaVLE @ NeurIPS or Embodied AI workshop @ CVPR 2026.</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Months 7–9</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Implement Phase 3 (PPS and body-scale sensitivity). Develop affordance field mapping evaluation protocol. Validate PPS indicators against human behavioral data from VR study replication.</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Months 10–12</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Implement Phase 4 (active spatial modification). Develop isovist-based modification quality scoring. Recruit architectural experts for modification evaluation. Submit full paper.</w:t>
            </w:r>
          </w:p>
        </w:tc>
      </w:tr>
      <w:tr>
        <w:tc>
          <w:tcPr>
            <w:tcW w:type="dxa" w:w="280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r>
              <w:rPr>
                <w:rFonts w:ascii="Arial" w:cs="Arial" w:eastAsia="Arial" w:hAnsi="Arial"/>
                <w:b w:val="false"/>
                <w:bCs w:val="false"/>
                <w:color w:val="222222"/>
                <w:sz w:val="20"/>
                <w:szCs w:val="20"/>
              </w:rPr>
              <w:t xml:space="preserve">Months 13–15</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Implement Phase 5 (atmospheric detection + multi-agent). Complete full benchmark evaluation across all models. Write and submit comprehensive paper to ICLR or NeurIPS.</w:t>
            </w:r>
          </w:p>
        </w:tc>
      </w:tr>
    </w:tbl>
    <w:p>
      <w:pPr>
        <w:pBdr>
          <w:bottom w:val="single" w:color="CCCCCC" w:sz="4" w:space="1"/>
        </w:pBdr>
        <w:spacing w:after="120" w:before="120"/>
      </w:pPr>
      <w:r>
        <w:t xml:space="preserve"/>
      </w:r>
    </w:p>
    <w:p>
      <w:pPr>
        <w:pStyle w:val="Heading1"/>
        <w:spacing w:after="120" w:before="360"/>
      </w:pPr>
      <w:r>
        <w:rPr>
          <w:rFonts w:ascii="Arial" w:cs="Arial" w:eastAsia="Arial" w:hAnsi="Arial"/>
          <w:b/>
          <w:bCs/>
          <w:color w:val="2E4A7A"/>
          <w:sz w:val="32"/>
          <w:szCs w:val="32"/>
        </w:rPr>
        <w:t xml:space="preserve">8  Seeking Collaboration</w:t>
      </w:r>
    </w:p>
    <w:p>
      <w:pPr>
        <w:spacing w:after="120" w:before="80" w:line="360"/>
        <w:jc w:val="both"/>
      </w:pPr>
      <w:r>
        <w:rPr>
          <w:rFonts w:ascii="Arial" w:cs="Arial" w:eastAsia="Arial" w:hAnsi="Arial"/>
          <w:sz w:val="22"/>
          <w:szCs w:val="22"/>
        </w:rPr>
        <w:t xml:space="preserve">This research requires expertise across four domains. Collaboration is sought with:</w:t>
      </w:r>
    </w:p>
    <w:p>
      <w:pPr>
        <w:pStyle w:val="ListParagraph"/>
        <w:numPr>
          <w:ilvl w:val="0"/>
          <w:numId w:val="2"/>
        </w:numPr>
        <w:spacing w:after="40" w:before="40" w:line="320"/>
      </w:pPr>
      <w:r>
        <w:rPr>
          <w:rFonts w:ascii="Arial" w:cs="Arial" w:eastAsia="Arial" w:hAnsi="Arial"/>
          <w:sz w:val="22"/>
          <w:szCs w:val="22"/>
        </w:rPr>
        <w:t xml:space="preserve">World model research group: to access state-of-the-art spatial memory architectures and evaluate whether existing world models can be extended to represent atmospheric and body-scale properties. The GEM-type world model infrastructure is particularly relevant for Phase 4 (counterfactual spatial imagination).</w:t>
      </w:r>
    </w:p>
    <w:p>
      <w:pPr>
        <w:pStyle w:val="ListParagraph"/>
        <w:numPr>
          <w:ilvl w:val="0"/>
          <w:numId w:val="2"/>
        </w:numPr>
        <w:spacing w:after="40" w:before="40" w:line="320"/>
      </w:pPr>
      <w:r>
        <w:rPr>
          <w:rFonts w:ascii="Arial" w:cs="Arial" w:eastAsia="Arial" w:hAnsi="Arial"/>
          <w:sz w:val="22"/>
          <w:szCs w:val="22"/>
        </w:rPr>
        <w:t xml:space="preserve">Cognitive neuroscience / PPS research lab: to validate Phase 3 indicators against established measures of human peripersonal space from VR studies. Existing PPS paradigms (full-body illusion, tool-extension studies) provide validated protocols for comparison.</w:t>
      </w:r>
    </w:p>
    <w:p>
      <w:pPr>
        <w:pStyle w:val="ListParagraph"/>
        <w:numPr>
          <w:ilvl w:val="0"/>
          <w:numId w:val="2"/>
        </w:numPr>
        <w:spacing w:after="40" w:before="40" w:line="320"/>
      </w:pPr>
      <w:r>
        <w:rPr>
          <w:rFonts w:ascii="Arial" w:cs="Arial" w:eastAsia="Arial" w:hAnsi="Arial"/>
          <w:sz w:val="22"/>
          <w:szCs w:val="22"/>
        </w:rPr>
        <w:t xml:space="preserve">Architectural evaluation panel: for Phase 4 modification quality assessment, a panel of 3–5 architectural experts is needed to evaluate whether agent-proposed spatial modifications are architecturally sound.</w:t>
      </w:r>
    </w:p>
    <w:p>
      <w:pPr>
        <w:pStyle w:val="ListParagraph"/>
        <w:numPr>
          <w:ilvl w:val="0"/>
          <w:numId w:val="2"/>
        </w:numPr>
        <w:spacing w:after="40" w:before="40" w:line="320"/>
      </w:pPr>
      <w:r>
        <w:rPr>
          <w:rFonts w:ascii="Arial" w:cs="Arial" w:eastAsia="Arial" w:hAnsi="Arial"/>
          <w:sz w:val="22"/>
          <w:szCs w:val="22"/>
        </w:rPr>
        <w:t xml:space="preserve">Embodied AI infrastructure: access to simulation environments (ThreeDWorld, Habitat 3.0, iGibson 2.0) for scalable benchmark implementation. The isovist analysis pipeline needs integration with these simulation platforms.</w:t>
      </w:r>
    </w:p>
    <w:p>
      <w:pPr>
        <w:spacing w:after="60" w:before="60"/>
      </w:pPr>
      <w:r>
        <w:t xml:space="preserve"/>
      </w:r>
    </w:p>
    <w:p>
      <w:pPr>
        <w:spacing w:after="120" w:before="80" w:line="360"/>
        <w:jc w:val="both"/>
      </w:pPr>
      <w:r>
        <w:rPr>
          <w:rFonts w:ascii="Arial" w:cs="Arial" w:eastAsia="Arial" w:hAnsi="Arial"/>
          <w:sz w:val="22"/>
          <w:szCs w:val="22"/>
        </w:rPr>
        <w:t xml:space="preserve">The proposer brings: architectural theory and spatial intuition; existing research in acoustic urbanism (non-geometric spatial properties), embodied navigation for non-visual accessibility (body-scale spatial awareness), multi-scale scene generation (3DGS), and high-level embodied navigation (FreeAskAgent); technical background in AI, urban computing, big data, and spatial AI; and the specific cross-disciplinary research framing described in this proposal.</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2E4A7A"/>
          <w:sz w:val="32"/>
          <w:szCs w:val="32"/>
        </w:rPr>
        <w:t xml:space="preserve">9  Conclusion</w:t>
      </w:r>
    </w:p>
    <w:p>
      <w:pPr>
        <w:spacing w:after="120" w:before="80" w:line="360"/>
        <w:jc w:val="both"/>
      </w:pPr>
      <w:r>
        <w:rPr>
          <w:rFonts w:ascii="Arial" w:cs="Arial" w:eastAsia="Arial" w:hAnsi="Arial"/>
          <w:sz w:val="22"/>
          <w:szCs w:val="22"/>
        </w:rPr>
        <w:t xml:space="preserve">Embodied AI has built sophisticated systems for agents to act on space. This proposal argues that three fundamental dimensions of spatial intelligence remain unmeasured: how space acts on agents (familiarity, atmospheric sensitivity), how agents feel themselves in space (body-scale awareness, peripersonal space dynamics, affordance sensitivity), and how agents evaluate and purposefully reshape space (modification with intent, spatial quality judgment).</w:t>
      </w:r>
    </w:p>
    <w:p>
      <w:pPr>
        <w:spacing w:after="120" w:before="80" w:line="360"/>
        <w:jc w:val="both"/>
      </w:pPr>
      <w:r>
        <w:rPr>
          <w:rFonts w:ascii="Arial" w:cs="Arial" w:eastAsia="Arial" w:hAnsi="Arial"/>
          <w:sz w:val="22"/>
          <w:szCs w:val="22"/>
        </w:rPr>
        <w:t xml:space="preserve">The SFES benchmark operationalizes these gaps through five evaluation phases grounded in environmental psychology, neuroscience, cognitive science, isovist analysis, and architectural theory. Each phase is technically realizable with existing simulation infrastructure and evaluable with validated metrics from the relevant literature.</w:t>
      </w:r>
    </w:p>
    <w:p>
      <w:pPr>
        <w:spacing w:after="120" w:before="80" w:line="360"/>
        <w:jc w:val="both"/>
      </w:pPr>
      <w:r>
        <w:rPr>
          <w:rFonts w:ascii="Arial" w:cs="Arial" w:eastAsia="Arial" w:hAnsi="Arial"/>
          <w:sz w:val="22"/>
          <w:szCs w:val="22"/>
        </w:rPr>
        <w:t xml:space="preserve">The resulting research direction is simultaneously novel in AI, grounded in cognitive science, and uniquely enabled by an architectural background. Architecture has always known that the measure of a building is not its geometry, but what it does to the people inside it—and what the people inside it do to it in return. This proposal brings that reciprocal measure to AI.</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2E4A7A"/>
          <w:sz w:val="32"/>
          <w:szCs w:val="32"/>
        </w:rPr>
        <w:t xml:space="preserve">10  Extension: Active Intervention &amp; the Human-Environment-Machine Triad</w:t>
      </w:r>
    </w:p>
    <w:p>
      <w:pPr>
        <w:spacing w:after="120" w:before="80" w:line="360"/>
        <w:jc w:val="both"/>
      </w:pPr>
      <w:r>
        <w:rPr>
          <w:rFonts w:ascii="Arial" w:cs="Arial" w:eastAsia="Arial" w:hAnsi="Arial"/>
          <w:sz w:val="22"/>
          <w:szCs w:val="22"/>
        </w:rPr>
        <w:t xml:space="preserve">Sections 1–9 framed SFES around three directions of spatial intelligence (agent→space, space→agent, agent↔space at the body scale). This Section 10 adds what those three directions still leave under-developed: the systematic capacity of an embodied agent to </w:t>
      </w:r>
      <w:r>
        <w:rPr>
          <w:rFonts w:ascii="Arial" w:cs="Arial" w:eastAsia="Arial" w:hAnsi="Arial"/>
          <w:b/>
          <w:sz w:val="22"/>
          <w:szCs w:val="22"/>
        </w:rPr>
        <w:t xml:space="preserve">reshape the world it inhabits</w:t>
      </w:r>
      <w:r>
        <w:rPr>
          <w:rFonts w:ascii="Arial" w:cs="Arial" w:eastAsia="Arial" w:hAnsi="Arial"/>
          <w:sz w:val="22"/>
          <w:szCs w:val="22"/>
        </w:rPr>
        <w:t xml:space="preserve">, and the bidirectional shaping triad (human-environment-machine, 人-环-机) that this capacity completes. Without it, SFES still inherits the field’s default assumption that the world is given and the agent merely observes. With it, SFES becomes a benchmark for the full reciprocal measure architecture has always known and computer science has not yet operationalized.</w:t>
      </w:r>
    </w:p>
    <w:p>
      <w:pPr>
        <w:pStyle w:val="Heading2"/>
        <w:spacing w:after="80" w:before="280"/>
      </w:pPr>
      <w:r>
        <w:rPr>
          <w:rFonts w:ascii="Arial" w:cs="Arial" w:eastAsia="Arial" w:hAnsi="Arial"/>
          <w:b/>
          <w:bCs/>
          <w:color w:val="1A6B4A"/>
          <w:sz w:val="26"/>
          <w:szCs w:val="26"/>
        </w:rPr>
        <w:t xml:space="preserve">10.1  The Reading-Only Limitation of Current Spatial AI</w:t>
      </w:r>
    </w:p>
    <w:p>
      <w:pPr>
        <w:spacing w:after="120" w:before="80" w:line="360"/>
        <w:jc w:val="both"/>
      </w:pPr>
      <w:r>
        <w:rPr>
          <w:rFonts w:ascii="Arial" w:cs="Arial" w:eastAsia="Arial" w:hAnsi="Arial"/>
          <w:sz w:val="22"/>
          <w:szCs w:val="22"/>
        </w:rPr>
        <w:t xml:space="preserve">In the dominant world-model paradigm (Ha &amp; Schmidhuber, 2018; Hafner et al., 2023) and in the most recent active-exploration benchmarks (Zhang et al., 2026), “active” is operationalized exclusively as choice over observations. The agent may move, rotate, observe, or query coordinates; it may not put down a marker, push an obstruction aside, create a new affordance, or leave a cue for a future visit. Formally, the action set A is a subset of the pose-and-observation space; the environment state space S is treated as fixed. This is a mathematically clean choice with three systematic costs.</w:t>
      </w:r>
    </w:p>
    <w:p>
      <w:pPr>
        <w:spacing w:after="120" w:before="80" w:line="360"/>
        <w:jc w:val="both"/>
      </w:pPr>
      <w:r>
        <w:rPr>
          <w:rFonts w:ascii="Arial" w:cs="Arial" w:eastAsia="Arial" w:hAnsi="Arial"/>
          <w:sz w:val="22"/>
          <w:szCs w:val="22"/>
        </w:rPr>
        <w:t xml:space="preserve">First, cognitive bottlenecks are misdiagnosed as perceptual ones. Zhang et al. (2026) attribute foundation-model failure on Theory of Space to a “perception bottleneck.” In humans, the same task is routinely converted from a difficult perception problem into an easy one through “epistemic actions” (Kirsh &amp; Maglio, 1994): leaving a colored mark at a doorway, rotating an object before naming it, repositioning a lamp before reading. Forbid those actions and the bottleneck becomes structural; permit them and it becomes contingent. Second, belief inertia — another finding of Zhang et al. (2026) — is misattributed to memory. Humans counter inertia not by purer Bayesian updating but by anchoring revised beliefs in external matter (a relabeled door, a moved object, a posted note). Third, long-horizon autonomy is collapsed into short-horizon optimization. Real spatial intelligence is measured in months and generations; we build, write, and pave so that successors do not start from zero. An agent forbidden to alter S cannot manifest this temporal scale.</w:t>
      </w:r>
    </w:p>
    <w:p>
      <w:pPr>
        <w:spacing w:after="120" w:before="80" w:line="360"/>
        <w:jc w:val="both"/>
      </w:pPr>
      <w:r>
        <w:rPr>
          <w:rFonts w:ascii="Arial" w:cs="Arial" w:eastAsia="Arial" w:hAnsi="Arial"/>
          <w:sz w:val="22"/>
          <w:szCs w:val="22"/>
        </w:rPr>
        <w:t xml:space="preserve">The proposed extension is formal and minimal: split the action set into an observation channel A_obs and an intervention channel A_int, allow the latter to mutate a sub-state S_mutable of the environment, and evaluate the resulting world model on its capacity to predict and plan over interventions, not merely over observations.</w:t>
      </w:r>
    </w:p>
    <w:p>
      <w:pPr>
        <w:pStyle w:val="Heading2"/>
        <w:spacing w:after="80" w:before="280"/>
      </w:pPr>
      <w:r>
        <w:rPr>
          <w:rFonts w:ascii="Arial" w:cs="Arial" w:eastAsia="Arial" w:hAnsi="Arial"/>
          <w:b/>
          <w:bCs/>
          <w:color w:val="1A6B4A"/>
          <w:sz w:val="26"/>
          <w:szCs w:val="26"/>
        </w:rPr>
        <w:t xml:space="preserve">10.2  The Human-Environment-Machine Triad</w:t>
      </w:r>
    </w:p>
    <w:p>
      <w:pPr>
        <w:spacing w:after="120" w:before="80" w:line="360"/>
        <w:jc w:val="both"/>
      </w:pPr>
      <w:r>
        <w:rPr>
          <w:rFonts w:ascii="Arial" w:cs="Arial" w:eastAsia="Arial" w:hAnsi="Arial"/>
          <w:sz w:val="22"/>
          <w:szCs w:val="22"/>
        </w:rPr>
        <w:t xml:space="preserve">Spatial cognition is best understood as a triad with six directed arrows. Architecture and urban design write Human→Environment; phenomenology and environmental psychology write Environment→Human; alignment and RLHF write Human→Machine; HCI and technical mediation write Machine→Human; the Theory-of-Space and SFES Phase 1–2 line of work covers Environment→Machine. The remaining arrow — Machine→Environment — is the systematically underdeveloped one. Section 10 is dedicated to it.</w:t>
      </w:r>
    </w:p>
    <w:p>
      <w:pPr>
        <w:spacing w:after="120" w:before="80" w:line="360"/>
        <w:jc w:val="both"/>
      </w:pPr>
      <w:r>
        <w:rPr>
          <w:rFonts w:ascii="Arial" w:cs="Arial" w:eastAsia="Arial" w:hAnsi="Arial"/>
          <w:sz w:val="22"/>
          <w:szCs w:val="22"/>
        </w:rPr>
        <w:t xml:space="preserve">The case for completing the triad converges from at least five disciplinary lineages. Lefebvre’s production-of-space (1974/1991) and Ingold’s taskscape (2000) demonstrate that built environments are not given but persistently labored into being. Niche-construction theory (Odling-Smee, Laland &amp; Feldman, 2003) establishes environmental modification as the third evolutionary force alongside selection and inheritance. The extended-mind tradition (Clark &amp; Chalmers, 1998; Hutchins, 1995) and material-engagement theory (Malafouris, 2013) argue that cognition is constitutively distributed across body, tool, and built environment. Vygotsky’s scaffolding (1978) and Stiegler’s third retention (1998) extend this argument to inter-generational time. Group biology’s stigmergy (Grassé, 1959; Theraulaz &amp; Bonabeau, 1999) provides the multi-agent counterpart: coordination by jointly readable physical traces. The convergence is not coincidental: cognition is formed by reshaping the environment, not in a static one. SFES is incomplete until it tests this.</w:t>
      </w:r>
    </w:p>
    <w:p>
      <w:pPr>
        <w:pStyle w:val="Heading2"/>
        <w:spacing w:after="80" w:before="280"/>
      </w:pPr>
      <w:r>
        <w:rPr>
          <w:rFonts w:ascii="Arial" w:cs="Arial" w:eastAsia="Arial" w:hAnsi="Arial"/>
          <w:b/>
          <w:bCs/>
          <w:color w:val="1A6B4A"/>
          <w:sz w:val="26"/>
          <w:szCs w:val="26"/>
        </w:rPr>
        <w:t xml:space="preserve">10.3  Eight Intervention Capability Dimensions</w:t>
      </w:r>
    </w:p>
    <w:p>
      <w:pPr>
        <w:spacing w:after="120" w:before="80" w:line="360"/>
        <w:jc w:val="both"/>
      </w:pPr>
      <w:r>
        <w:rPr>
          <w:rFonts w:ascii="Arial" w:cs="Arial" w:eastAsia="Arial" w:hAnsi="Arial"/>
          <w:sz w:val="22"/>
          <w:szCs w:val="22"/>
        </w:rPr>
        <w:t xml:space="preserve">Eight evaluation dimensions extend the SFES and Theory-of-Space measurement vocabulary into the intervention regime. Each is operationalizable with existing simulation infrastructure (ThreeDWorld, Habitat 3.0, iGibson 2.0) once the action space is enlarged.</w:t>
      </w:r>
    </w:p>
    <w:p>
      <w:pPr>
        <w:spacing w:after="80" w:before="60" w:line="340"/>
        <w:ind w:left="360"/>
      </w:pPr>
      <w:r>
        <w:rPr>
          <w:rFonts w:ascii="Arial" w:cs="Arial" w:eastAsia="Arial" w:hAnsi="Arial"/>
          <w:b/>
          <w:sz w:val="22"/>
        </w:rPr>
        <w:t xml:space="preserve">D1 Intervention Efficacy.</w:t>
      </w:r>
      <w:r>
        <w:rPr>
          <w:rFonts w:ascii="Arial" w:cs="Arial" w:eastAsia="Arial" w:hAnsi="Arial"/>
          <w:sz w:val="22"/>
        </w:rPr>
        <w:t xml:space="preserve"> Does the agent’s environmental modification reduce the information cost or step count of subsequent tasks? Operationalized as the difference, on the same task, between with-intervention and without-intervention conditions (Kirsh &amp; Maglio, 1994).</w:t>
      </w:r>
    </w:p>
    <w:p>
      <w:pPr>
        <w:spacing w:after="80" w:before="60" w:line="340"/>
        <w:ind w:left="360"/>
      </w:pPr>
      <w:r>
        <w:rPr>
          <w:rFonts w:ascii="Arial" w:cs="Arial" w:eastAsia="Arial" w:hAnsi="Arial"/>
          <w:b/>
          <w:sz w:val="22"/>
        </w:rPr>
        <w:t xml:space="preserve">D2 Reversibility Awareness.</w:t>
      </w:r>
      <w:r>
        <w:rPr>
          <w:rFonts w:ascii="Arial" w:cs="Arial" w:eastAsia="Arial" w:hAnsi="Arial"/>
          <w:sz w:val="22"/>
        </w:rPr>
        <w:t xml:space="preserve"> Does the agent distinguish reversible interventions (moving a replaceable object) from irreversible ones (knocking down a wall)? Operationalized by comparing strategies under permitted vs. forbidden irreversibility regimes.</w:t>
      </w:r>
    </w:p>
    <w:p>
      <w:pPr>
        <w:spacing w:after="80" w:before="60" w:line="340"/>
        <w:ind w:left="360"/>
      </w:pPr>
      <w:r>
        <w:rPr>
          <w:rFonts w:ascii="Arial" w:cs="Arial" w:eastAsia="Arial" w:hAnsi="Arial"/>
          <w:b/>
          <w:sz w:val="22"/>
        </w:rPr>
        <w:t xml:space="preserve">D3 Minimal Intervention Preference.</w:t>
      </w:r>
      <w:r>
        <w:rPr>
          <w:rFonts w:ascii="Arial" w:cs="Arial" w:eastAsia="Arial" w:hAnsi="Arial"/>
          <w:sz w:val="22"/>
        </w:rPr>
        <w:t xml:space="preserve"> When several interventions reach the same goal, does the agent prefer the smallest? This corresponds to architecture’s adaptive-reuse principle. Operationalized as edit distance between pre- and post-intervention environment states relative to goal achievement.</w:t>
      </w:r>
    </w:p>
    <w:p>
      <w:pPr>
        <w:spacing w:after="80" w:before="60" w:line="340"/>
        <w:ind w:left="360"/>
      </w:pPr>
      <w:r>
        <w:rPr>
          <w:rFonts w:ascii="Arial" w:cs="Arial" w:eastAsia="Arial" w:hAnsi="Arial"/>
          <w:b/>
          <w:sz w:val="22"/>
        </w:rPr>
        <w:t xml:space="preserve">D4 Stigmergic Marking.</w:t>
      </w:r>
      <w:r>
        <w:rPr>
          <w:rFonts w:ascii="Arial" w:cs="Arial" w:eastAsia="Arial" w:hAnsi="Arial"/>
          <w:sz w:val="22"/>
        </w:rPr>
        <w:t xml:space="preserve"> Does the agent leave persistent marks that serve future cognition (own or other’s)? Operationalized in repeated-visit settings as the reuse rate of self-laid path cues, and in multi-agent settings as the cross-agent readability of marks (Grassé, 1959).</w:t>
      </w:r>
    </w:p>
    <w:p>
      <w:pPr>
        <w:spacing w:after="80" w:before="60" w:line="340"/>
        <w:ind w:left="360"/>
      </w:pPr>
      <w:r>
        <w:rPr>
          <w:rFonts w:ascii="Arial" w:cs="Arial" w:eastAsia="Arial" w:hAnsi="Arial"/>
          <w:b/>
          <w:sz w:val="22"/>
        </w:rPr>
        <w:t xml:space="preserve">D5 Niche Construction.</w:t>
      </w:r>
      <w:r>
        <w:rPr>
          <w:rFonts w:ascii="Arial" w:cs="Arial" w:eastAsia="Arial" w:hAnsi="Arial"/>
          <w:sz w:val="22"/>
        </w:rPr>
        <w:t xml:space="preserve"> Across episodes, does the agent shape its environment to better fit its policy? Operationalized in repeated tasks with persistent state as the slope of the per-episode performance curve attributable to environmental, not policy, change (Odling-Smee et al., 2003).</w:t>
      </w:r>
    </w:p>
    <w:p>
      <w:pPr>
        <w:spacing w:after="80" w:before="60" w:line="340"/>
        <w:ind w:left="360"/>
      </w:pPr>
      <w:r>
        <w:rPr>
          <w:rFonts w:ascii="Arial" w:cs="Arial" w:eastAsia="Arial" w:hAnsi="Arial"/>
          <w:b/>
          <w:sz w:val="22"/>
        </w:rPr>
        <w:t xml:space="preserve">D6 Tool Creation.</w:t>
      </w:r>
      <w:r>
        <w:rPr>
          <w:rFonts w:ascii="Arial" w:cs="Arial" w:eastAsia="Arial" w:hAnsi="Arial"/>
          <w:sz w:val="22"/>
        </w:rPr>
        <w:t xml:space="preserve"> Does the agent compose new functional intermediaries from raw materials, not merely use existing tools? Operationalized via composition success rate in open action spaces analogous to ToolCraft-style benchmarks.</w:t>
      </w:r>
    </w:p>
    <w:p>
      <w:pPr>
        <w:spacing w:after="80" w:before="60" w:line="340"/>
        <w:ind w:left="360"/>
      </w:pPr>
      <w:r>
        <w:rPr>
          <w:rFonts w:ascii="Arial" w:cs="Arial" w:eastAsia="Arial" w:hAnsi="Arial"/>
          <w:b/>
          <w:sz w:val="22"/>
        </w:rPr>
        <w:t xml:space="preserve">D7 Counterfactual Intervention Modeling.</w:t>
      </w:r>
      <w:r>
        <w:rPr>
          <w:rFonts w:ascii="Arial" w:cs="Arial" w:eastAsia="Arial" w:hAnsi="Arial"/>
          <w:sz w:val="22"/>
        </w:rPr>
        <w:t xml:space="preserve"> Can the agent predict “if I modify X, then Y ”? This implements the do-calculus stratum of Pearl (2009). Operationalized as prediction accuracy across a candidate-intervention set.</w:t>
      </w:r>
    </w:p>
    <w:p>
      <w:pPr>
        <w:spacing w:after="160" w:before="60" w:line="340"/>
        <w:ind w:left="360"/>
      </w:pPr>
      <w:r>
        <w:rPr>
          <w:rFonts w:ascii="Arial" w:cs="Arial" w:eastAsia="Arial" w:hAnsi="Arial"/>
          <w:b/>
          <w:sz w:val="22"/>
        </w:rPr>
        <w:t xml:space="preserve">D8 Socio-material Coordination.</w:t>
      </w:r>
      <w:r>
        <w:rPr>
          <w:rFonts w:ascii="Arial" w:cs="Arial" w:eastAsia="Arial" w:hAnsi="Arial"/>
          <w:sz w:val="22"/>
        </w:rPr>
        <w:t xml:space="preserve"> In multi-agent settings, do agents coordinate decentrally through jointly readable environmental modifications? Operationalized as the success rate at which a second agent can infer the next required action from physical traces left by the first (Theraulaz &amp; Bonabeau, 1999).</w:t>
      </w:r>
    </w:p>
    <w:p>
      <w:pPr>
        <w:pStyle w:val="Heading2"/>
        <w:spacing w:after="80" w:before="280"/>
      </w:pPr>
      <w:r>
        <w:rPr>
          <w:rFonts w:ascii="Arial" w:cs="Arial" w:eastAsia="Arial" w:hAnsi="Arial"/>
          <w:b/>
          <w:bCs/>
          <w:color w:val="1A6B4A"/>
          <w:sz w:val="26"/>
          <w:szCs w:val="26"/>
        </w:rPr>
        <w:t xml:space="preserve">10.4  Six World-Model Architecture Principles</w:t>
      </w:r>
    </w:p>
    <w:p>
      <w:pPr>
        <w:spacing w:after="120" w:before="80" w:line="360"/>
        <w:jc w:val="both"/>
      </w:pPr>
      <w:r>
        <w:rPr>
          <w:rFonts w:ascii="Arial" w:cs="Arial" w:eastAsia="Arial" w:hAnsi="Arial"/>
          <w:sz w:val="22"/>
          <w:szCs w:val="22"/>
        </w:rPr>
        <w:t xml:space="preserve">Evaluation extension requires architectural support. Six principles concretize what an intervention-aware world model must contain.</w:t>
      </w:r>
    </w:p>
    <w:p>
      <w:pPr>
        <w:spacing w:after="80" w:before="60" w:line="340"/>
        <w:ind w:left="360"/>
      </w:pPr>
      <w:r>
        <w:rPr>
          <w:rFonts w:ascii="Arial" w:cs="Arial" w:eastAsia="Arial" w:hAnsi="Arial"/>
          <w:b/>
          <w:sz w:val="22"/>
        </w:rPr>
        <w:t xml:space="preserve">P1 Factored Mutability.</w:t>
      </w:r>
      <w:r>
        <w:rPr>
          <w:rFonts w:ascii="Arial" w:cs="Arial" w:eastAsia="Arial" w:hAnsi="Arial"/>
          <w:sz w:val="22"/>
        </w:rPr>
        <w:t xml:space="preserve"> The world state factorizes as S = (S_fixed, S_mutable). Belief over S_fixed is updated by Bayesian filtering; belief over S_mutable is updated by causal-intervention rules in the spirit of Pearl (2009) and Friston (2010).</w:t>
      </w:r>
    </w:p>
    <w:p>
      <w:pPr>
        <w:spacing w:after="80" w:before="60" w:line="340"/>
        <w:ind w:left="360"/>
      </w:pPr>
      <w:r>
        <w:rPr>
          <w:rFonts w:ascii="Arial" w:cs="Arial" w:eastAsia="Arial" w:hAnsi="Arial"/>
          <w:b/>
          <w:sz w:val="22"/>
        </w:rPr>
        <w:t xml:space="preserve">P2 Separable Observation–Intervention Channels.</w:t>
      </w:r>
      <w:r>
        <w:rPr>
          <w:rFonts w:ascii="Arial" w:cs="Arial" w:eastAsia="Arial" w:hAnsi="Arial"/>
          <w:sz w:val="22"/>
        </w:rPr>
        <w:t xml:space="preserve"> The action set is explicitly split, A = A_obs ∪ A_int, with distinct world-model modules predicting their consequences. This avoids the conflation of looking and acting that Transformer-only agents inherit by default.</w:t>
      </w:r>
    </w:p>
    <w:p>
      <w:pPr>
        <w:spacing w:after="80" w:before="60" w:line="340"/>
        <w:ind w:left="360"/>
      </w:pPr>
      <w:r>
        <w:rPr>
          <w:rFonts w:ascii="Arial" w:cs="Arial" w:eastAsia="Arial" w:hAnsi="Arial"/>
          <w:b/>
          <w:sz w:val="22"/>
        </w:rPr>
        <w:t xml:space="preserve">P3 Persistent, Place-Indexed External Memory.</w:t>
      </w:r>
      <w:r>
        <w:rPr>
          <w:rFonts w:ascii="Arial" w:cs="Arial" w:eastAsia="Arial" w:hAnsi="Arial"/>
          <w:sz w:val="22"/>
        </w:rPr>
        <w:t xml:space="preserve"> Memory is not only in activations and context windows but also in an external layer indexed by spatial coordinates — the engineering analog of how humans externalize memory through material traces (Malafouris, 2013), and a structural complement to the hippocampal-cortical pairing of O’Keefe &amp; Nadel (1978). Neural-SLAM is one starting point.</w:t>
      </w:r>
    </w:p>
    <w:p>
      <w:pPr>
        <w:spacing w:after="80" w:before="60" w:line="340"/>
        <w:ind w:left="360"/>
      </w:pPr>
      <w:r>
        <w:rPr>
          <w:rFonts w:ascii="Arial" w:cs="Arial" w:eastAsia="Arial" w:hAnsi="Arial"/>
          <w:b/>
          <w:sz w:val="22"/>
        </w:rPr>
        <w:t xml:space="preserve">P4 Scaffold Recognition.</w:t>
      </w:r>
      <w:r>
        <w:rPr>
          <w:rFonts w:ascii="Arial" w:cs="Arial" w:eastAsia="Arial" w:hAnsi="Arial"/>
          <w:sz w:val="22"/>
        </w:rPr>
        <w:t xml:space="preserve"> The agent recognizes cognitive scaffolds left by others — signage, handrails, UI prompts — as such. This is a precondition for embodied agents to enter human-built environments competently (Wood, Bruner &amp; Ross, 1976; Vygotsky, 1978).</w:t>
      </w:r>
    </w:p>
    <w:p>
      <w:pPr>
        <w:spacing w:after="80" w:before="60" w:line="340"/>
        <w:ind w:left="360"/>
      </w:pPr>
      <w:r>
        <w:rPr>
          <w:rFonts w:ascii="Arial" w:cs="Arial" w:eastAsia="Arial" w:hAnsi="Arial"/>
          <w:b/>
          <w:sz w:val="22"/>
        </w:rPr>
        <w:t xml:space="preserve">P5 Niche-Constructive Policy.</w:t>
      </w:r>
      <w:r>
        <w:rPr>
          <w:rFonts w:ascii="Arial" w:cs="Arial" w:eastAsia="Arial" w:hAnsi="Arial"/>
          <w:sz w:val="22"/>
        </w:rPr>
        <w:t xml:space="preserve"> Reward shaping explicitly credits cross-episode environmental modifications when they yield gains in subsequent tasks. Implementable via meta-learning or bi-level optimization: the inner loop maximizes current-episode return; the outer loop maximizes the marginal utility of environmental modification on future episodes.</w:t>
      </w:r>
    </w:p>
    <w:p>
      <w:pPr>
        <w:spacing w:after="160" w:before="60" w:line="340"/>
        <w:ind w:left="360"/>
      </w:pPr>
      <w:r>
        <w:rPr>
          <w:rFonts w:ascii="Arial" w:cs="Arial" w:eastAsia="Arial" w:hAnsi="Arial"/>
          <w:b/>
          <w:sz w:val="22"/>
        </w:rPr>
        <w:t xml:space="preserve">P6 Counterfactual Intervention Simulator.</w:t>
      </w:r>
      <w:r>
        <w:rPr>
          <w:rFonts w:ascii="Arial" w:cs="Arial" w:eastAsia="Arial" w:hAnsi="Arial"/>
          <w:sz w:val="22"/>
        </w:rPr>
        <w:t xml:space="preserve"> The world model can roll out counterfactual trajectories conditioned on interventions, not merely on observations. This is the operational extension of GEM-class controllable generative world models (Hassan et al., 2025) into the do-conditioned regime studied in causal representation learning.</w:t>
      </w:r>
    </w:p>
    <w:p>
      <w:pPr>
        <w:pStyle w:val="Heading2"/>
        <w:spacing w:after="80" w:before="280"/>
      </w:pPr>
      <w:r>
        <w:rPr>
          <w:rFonts w:ascii="Arial" w:cs="Arial" w:eastAsia="Arial" w:hAnsi="Arial"/>
          <w:b/>
          <w:bCs/>
          <w:color w:val="1A6B4A"/>
          <w:sz w:val="26"/>
          <w:szCs w:val="26"/>
        </w:rPr>
        <w:t xml:space="preserve">10.5  SFES Phase 6: Active Intervention</w:t>
      </w:r>
    </w:p>
    <w:p>
      <w:pPr>
        <w:spacing w:after="120" w:before="80" w:line="360"/>
        <w:jc w:val="both"/>
      </w:pPr>
      <w:r>
        <w:rPr>
          <w:rFonts w:ascii="Arial" w:cs="Arial" w:eastAsia="Arial" w:hAnsi="Arial"/>
          <w:sz w:val="22"/>
          <w:szCs w:val="22"/>
        </w:rPr>
        <w:t xml:space="preserve">The eight dimensions and six principles concretize into a sixth SFES phase, parallel in structure to Phases 1–5 in §4 but oriented to the intervention regime. Phase 6 operates on the same ThreeDWorld / Habitat 3.0 / iGibson 2.0 substrate as Phases 1–5, with the action space enlarged to include four families of intervention: persistent marking (color tags, beacons), object relocation (move, push, occlude), composition (assemble functional intermediaries from raw parts), and configuration change (toggle lighting, partition, opening).</w:t>
      </w:r>
    </w:p>
    <w:p>
      <w:pPr>
        <w:spacing w:after="80" w:before="60" w:line="340"/>
        <w:ind w:left="360"/>
      </w:pPr>
      <w:r>
        <w:rPr>
          <w:rFonts w:ascii="Arial" w:cs="Arial" w:eastAsia="Arial" w:hAnsi="Arial"/>
          <w:b/>
          <w:sz w:val="22"/>
        </w:rPr>
        <w:t xml:space="preserve">6A Persistent Marking and Re-entry.</w:t>
      </w:r>
      <w:r>
        <w:rPr>
          <w:rFonts w:ascii="Arial" w:cs="Arial" w:eastAsia="Arial" w:hAnsi="Arial"/>
          <w:sz w:val="22"/>
        </w:rPr>
        <w:t xml:space="preserve"> The same agent revisits an environment over 10 sessions (mirroring Phase 2 familiarity). Allowed to leave persistent marks, the agent should converge on a marker policy that reduces re-orientation cost on each subsequent visit (D1, D4).</w:t>
      </w:r>
    </w:p>
    <w:p>
      <w:pPr>
        <w:spacing w:after="80" w:before="60" w:line="340"/>
        <w:ind w:left="360"/>
      </w:pPr>
      <w:r>
        <w:rPr>
          <w:rFonts w:ascii="Arial" w:cs="Arial" w:eastAsia="Arial" w:hAnsi="Arial"/>
          <w:b/>
          <w:sz w:val="22"/>
        </w:rPr>
        <w:t xml:space="preserve">6B Niche-Constructive Adaptation.</w:t>
      </w:r>
      <w:r>
        <w:rPr>
          <w:rFonts w:ascii="Arial" w:cs="Arial" w:eastAsia="Arial" w:hAnsi="Arial"/>
          <w:sz w:val="22"/>
        </w:rPr>
        <w:t xml:space="preserve"> The agent runs the same task class (e.g., periodic search) for N episodes in a persistent environment. Performance attributable to environmental change versus to policy change is decomposed across episodes (D5).</w:t>
      </w:r>
    </w:p>
    <w:p>
      <w:pPr>
        <w:spacing w:after="80" w:before="60" w:line="340"/>
        <w:ind w:left="360"/>
      </w:pPr>
      <w:r>
        <w:rPr>
          <w:rFonts w:ascii="Arial" w:cs="Arial" w:eastAsia="Arial" w:hAnsi="Arial"/>
          <w:b/>
          <w:sz w:val="22"/>
        </w:rPr>
        <w:t xml:space="preserve">6C Counterfactual Spatial Reshaping.</w:t>
      </w:r>
      <w:r>
        <w:rPr>
          <w:rFonts w:ascii="Arial" w:cs="Arial" w:eastAsia="Arial" w:hAnsi="Arial"/>
          <w:sz w:val="22"/>
        </w:rPr>
        <w:t xml:space="preserve"> Given a candidate set of interventions, the agent predicts the post-intervention isovist field of the space and is scored against the actual post-intervention measurement. This binds D7 to the isovist-quality scoring already established in Phase 4C.</w:t>
      </w:r>
    </w:p>
    <w:p>
      <w:pPr>
        <w:spacing w:after="160" w:before="60" w:line="340"/>
        <w:ind w:left="360"/>
      </w:pPr>
      <w:r>
        <w:rPr>
          <w:rFonts w:ascii="Arial" w:cs="Arial" w:eastAsia="Arial" w:hAnsi="Arial"/>
          <w:b/>
          <w:sz w:val="22"/>
        </w:rPr>
        <w:t xml:space="preserve">6D Stigmergic Multi-Agent Coordination.</w:t>
      </w:r>
      <w:r>
        <w:rPr>
          <w:rFonts w:ascii="Arial" w:cs="Arial" w:eastAsia="Arial" w:hAnsi="Arial"/>
          <w:sz w:val="22"/>
        </w:rPr>
        <w:t xml:space="preserve"> Two agents share an environment but cannot communicate. They jointly perform an assembly or sorting task; coordination must occur through readable physical traces. The benchmark measures both task success and the cross-agent legibility of the leading agent’s intervention pattern (D8).</w:t>
      </w:r>
    </w:p>
    <w:p>
      <w:pPr>
        <w:spacing w:after="120" w:before="80" w:line="360"/>
        <w:jc w:val="both"/>
      </w:pPr>
      <w:r>
        <w:rPr>
          <w:rFonts w:ascii="Arial" w:cs="Arial" w:eastAsia="Arial" w:hAnsi="Arial"/>
          <w:sz w:val="22"/>
          <w:szCs w:val="22"/>
        </w:rPr>
        <w:t xml:space="preserve">Phase 6 closes the SFES program: where Phases 1–2 measure how space acts on the agent, Phases 3–4 measure how agent and space co-constitute each other at body scale, Phase 5 measures atmospheric and collective dimensions, and Phase 6 measures the agent’s own capacity to reshape the environment that will, in turn, reshape it. Together the six phases test the bidirectional shaping triad in full — the reciprocal measure architecture has known for centuries and which embodied AI must now learn to evaluate.</w:t>
      </w:r>
    </w:p>
    <w:p>
      <w:pPr>
        <w:pBdr>
          <w:bottom w:val="single" w:color="CCCCCC" w:sz="4" w:space="1"/>
        </w:pBdr>
        <w:spacing w:after="120" w:before="120"/>
      </w:pPr>
      <w:r>
        <w:t xml:space="preserve"/>
      </w:r>
    </w:p>
    <w:p>
      <w:pPr>
        <w:pStyle w:val="Heading1"/>
        <w:spacing w:after="120" w:before="360"/>
      </w:pPr>
      <w:r>
        <w:rPr>
          <w:rFonts w:ascii="Arial" w:cs="Arial" w:eastAsia="Arial" w:hAnsi="Arial"/>
          <w:b/>
          <w:bCs/>
          <w:color w:val="2E4A7A"/>
          <w:sz w:val="32"/>
          <w:szCs w:val="32"/>
        </w:rPr>
        <w:t xml:space="preserve">Key References</w:t>
      </w:r>
    </w:p>
    <w:p>
      <w:pPr>
        <w:spacing w:after="120" w:before="80" w:line="360"/>
        <w:jc w:val="both"/>
      </w:pPr>
      <w:r>
        <w:rPr>
          <w:rFonts w:ascii="Arial" w:cs="Arial" w:eastAsia="Arial" w:hAnsi="Arial"/>
          <w:sz w:val="22"/>
          <w:szCs w:val="22"/>
        </w:rPr>
        <w:t xml:space="preserve">Barrett, L. &amp; Stout, D. (2024). Minds in movement: embodied cognition in the age of artificial intelligence. Phil. Trans. R. Soc. B, 379, 20230144.</w:t>
      </w:r>
    </w:p>
    <w:p>
      <w:pPr>
        <w:spacing w:after="120" w:before="80" w:line="360"/>
        <w:jc w:val="both"/>
      </w:pPr>
      <w:r>
        <w:rPr>
          <w:rFonts w:ascii="Arial" w:cs="Arial" w:eastAsia="Arial" w:hAnsi="Arial"/>
          <w:sz w:val="22"/>
          <w:szCs w:val="22"/>
        </w:rPr>
        <w:t xml:space="preserve">Benedikt, M.L. (1979). To take hold of space: isovists and isovist fields. Environment and Planning B, 6, 47–65.</w:t>
      </w:r>
    </w:p>
    <w:p>
      <w:pPr>
        <w:spacing w:after="120" w:before="80" w:line="360"/>
        <w:jc w:val="both"/>
      </w:pPr>
      <w:r>
        <w:rPr>
          <w:rFonts w:ascii="Arial" w:cs="Arial" w:eastAsia="Arial" w:hAnsi="Arial"/>
          <w:sz w:val="22"/>
          <w:szCs w:val="22"/>
        </w:rPr>
        <w:t xml:space="preserve">de Vignemont, F. &amp; Farne, A. (2024). Peripersonal space: why so last-second? Phil. Trans. R. Soc. B, 379, 20230159.</w:t>
      </w:r>
    </w:p>
    <w:p>
      <w:pPr>
        <w:spacing w:after="120" w:before="80" w:line="360"/>
        <w:jc w:val="both"/>
      </w:pPr>
      <w:r>
        <w:rPr>
          <w:rFonts w:ascii="Arial" w:cs="Arial" w:eastAsia="Arial" w:hAnsi="Arial"/>
          <w:sz w:val="22"/>
          <w:szCs w:val="22"/>
        </w:rPr>
        <w:t xml:space="preserve">Dubey, A., Naik, N., Parikh, D., Raskar, R., &amp; Hidalgo, C.A. (2016). Deep learning the city: Quantifying urban perception at a global scale. ECCV 2016.</w:t>
      </w:r>
    </w:p>
    <w:p>
      <w:pPr>
        <w:spacing w:after="120" w:before="80" w:line="360"/>
        <w:jc w:val="both"/>
      </w:pPr>
      <w:r>
        <w:rPr>
          <w:rFonts w:ascii="Arial" w:cs="Arial" w:eastAsia="Arial" w:hAnsi="Arial"/>
          <w:sz w:val="22"/>
          <w:szCs w:val="22"/>
        </w:rPr>
        <w:t xml:space="preserve">Hassan, M. et al. (2025). GEM: A generative world model with precise control over object dynamics, ego-agent motion, and human poses. arXiv 2025.</w:t>
      </w:r>
    </w:p>
    <w:p>
      <w:pPr>
        <w:spacing w:after="120" w:before="80" w:line="360"/>
        <w:jc w:val="both"/>
      </w:pPr>
      <w:r>
        <w:rPr>
          <w:rFonts w:ascii="Arial" w:cs="Arial" w:eastAsia="Arial" w:hAnsi="Arial"/>
          <w:sz w:val="22"/>
          <w:szCs w:val="22"/>
        </w:rPr>
        <w:t xml:space="preserve">Hillier, B. &amp; Hanson, J. (1984). The Social Logic of Space. Cambridge University Press.</w:t>
      </w:r>
    </w:p>
    <w:p>
      <w:pPr>
        <w:spacing w:after="120" w:before="80" w:line="360"/>
        <w:jc w:val="both"/>
      </w:pPr>
      <w:r>
        <w:rPr>
          <w:rFonts w:ascii="Arial" w:cs="Arial" w:eastAsia="Arial" w:hAnsi="Arial"/>
          <w:sz w:val="22"/>
          <w:szCs w:val="22"/>
        </w:rPr>
        <w:t xml:space="preserve">Howard, M.W. et al. (2005). Familiarity and recollection in episodic memory. Psychological Review.</w:t>
      </w:r>
    </w:p>
    <w:p>
      <w:pPr>
        <w:spacing w:after="120" w:before="80" w:line="360"/>
        <w:jc w:val="both"/>
      </w:pPr>
      <w:r>
        <w:rPr>
          <w:rFonts w:ascii="Arial" w:cs="Arial" w:eastAsia="Arial" w:hAnsi="Arial"/>
          <w:sz w:val="22"/>
          <w:szCs w:val="22"/>
        </w:rPr>
        <w:t xml:space="preserve">Kaplan, S. (1995). The restorative benefits of nature: Toward an integrative framework. Journal of Environmental Psychology, 15, 169–182.</w:t>
      </w:r>
    </w:p>
    <w:p>
      <w:pPr>
        <w:spacing w:after="120" w:before="80" w:line="360"/>
        <w:jc w:val="both"/>
      </w:pPr>
      <w:r>
        <w:rPr>
          <w:rFonts w:ascii="Arial" w:cs="Arial" w:eastAsia="Arial" w:hAnsi="Arial"/>
          <w:sz w:val="22"/>
          <w:szCs w:val="22"/>
        </w:rPr>
        <w:t xml:space="preserve">Moser, E.I. et al. (2008). Place cells, grid cells, and the brain's spatial representation system. Annual Review of Neuroscience, 31, 69–89.</w:t>
      </w:r>
    </w:p>
    <w:p>
      <w:pPr>
        <w:spacing w:after="120" w:before="80" w:line="360"/>
        <w:jc w:val="both"/>
      </w:pPr>
      <w:r>
        <w:rPr>
          <w:rFonts w:ascii="Arial" w:cs="Arial" w:eastAsia="Arial" w:hAnsi="Arial"/>
          <w:sz w:val="22"/>
          <w:szCs w:val="22"/>
        </w:rPr>
        <w:t xml:space="preserve">Noel, J.P. et al. (2025). Transfer of peripersonal space to a virtual body in young adults. Experimental Brain Research. PMC12296863.</w:t>
      </w:r>
    </w:p>
    <w:p>
      <w:pPr>
        <w:spacing w:after="120" w:before="80" w:line="360"/>
        <w:jc w:val="both"/>
      </w:pPr>
      <w:r>
        <w:rPr>
          <w:rFonts w:ascii="Arial" w:cs="Arial" w:eastAsia="Arial" w:hAnsi="Arial"/>
          <w:sz w:val="22"/>
          <w:szCs w:val="22"/>
        </w:rPr>
        <w:t xml:space="preserve">O'Keefe, J. &amp; Dostrovsky, J. (1971). The hippocampus as a spatial map. Brain Research, 34, 171–175.</w:t>
      </w:r>
    </w:p>
    <w:p>
      <w:pPr>
        <w:spacing w:after="120" w:before="80" w:line="360"/>
        <w:jc w:val="both"/>
      </w:pPr>
      <w:r>
        <w:rPr>
          <w:rFonts w:ascii="Arial" w:cs="Arial" w:eastAsia="Arial" w:hAnsi="Arial"/>
          <w:sz w:val="22"/>
          <w:szCs w:val="22"/>
        </w:rPr>
        <w:t xml:space="preserve">Salesses, P., Schechtner, K., &amp; Hidalgo, C.A. (2013). The collaborative image of the city. PLoS ONE, 8(7).</w:t>
      </w:r>
    </w:p>
    <w:p>
      <w:pPr>
        <w:spacing w:after="120" w:before="80" w:line="360"/>
        <w:jc w:val="both"/>
      </w:pPr>
      <w:r>
        <w:rPr>
          <w:rFonts w:ascii="Arial" w:cs="Arial" w:eastAsia="Arial" w:hAnsi="Arial"/>
          <w:sz w:val="22"/>
          <w:szCs w:val="22"/>
        </w:rPr>
        <w:t xml:space="preserve">Sykes, J.J. (2025). Tools and peripersonal space: an enactive account of bodily space. Phenomenology and the Cognitive Sciences, 24, 1143–1163.</w:t>
      </w:r>
    </w:p>
    <w:p>
      <w:pPr>
        <w:spacing w:after="120" w:before="80" w:line="360"/>
        <w:jc w:val="both"/>
      </w:pPr>
      <w:r>
        <w:rPr>
          <w:rFonts w:ascii="Arial" w:cs="Arial" w:eastAsia="Arial" w:hAnsi="Arial"/>
          <w:sz w:val="22"/>
          <w:szCs w:val="22"/>
        </w:rPr>
        <w:t xml:space="preserve">Tulving, E. et al. (1996). Novelty and familiarity activations in PET studies of memory encoding and retrieval. Cerebral Cortex.</w:t>
      </w:r>
    </w:p>
    <w:p>
      <w:pPr>
        <w:spacing w:after="120" w:before="80" w:line="360"/>
        <w:jc w:val="both"/>
      </w:pPr>
      <w:r>
        <w:rPr>
          <w:rFonts w:ascii="Arial" w:cs="Arial" w:eastAsia="Arial" w:hAnsi="Arial"/>
          <w:sz w:val="22"/>
          <w:szCs w:val="22"/>
        </w:rPr>
        <w:t xml:space="preserve">Wiener, J.M. &amp; Franz, G. (2005). Isovists as a means to predict spatial experience and behavior. Spatial Cognition IV, LNCS 3343.</w:t>
      </w:r>
    </w:p>
    <w:p>
      <w:pPr>
        <w:spacing w:after="120" w:before="80" w:line="360"/>
        <w:jc w:val="both"/>
      </w:pPr>
      <w:r>
        <w:rPr>
          <w:rFonts w:ascii="Arial" w:cs="Arial" w:eastAsia="Arial" w:hAnsi="Arial"/>
          <w:sz w:val="22"/>
          <w:szCs w:val="22"/>
        </w:rPr>
        <w:t xml:space="preserve">Xu, Y. et al. (2025). Object space is embodied. British Journal of Psychology.</w:t>
      </w:r>
    </w:p>
    <w:p>
      <w:pPr>
        <w:spacing w:after="120" w:before="80" w:line="360"/>
        <w:jc w:val="both"/>
      </w:pPr>
      <w:r>
        <w:rPr>
          <w:rFonts w:ascii="Arial" w:cs="Arial" w:eastAsia="Arial" w:hAnsi="Arial"/>
          <w:sz w:val="22"/>
          <w:szCs w:val="22"/>
        </w:rPr>
        <w:t xml:space="preserve">Yang, Y. et al. (2024). PhyScene: Physically interactable 3D scene synthesis for embodied AI. arXiv 2024.</w:t>
      </w:r>
    </w:p>
    <w:p>
      <w:pPr>
        <w:spacing w:after="120" w:before="80" w:line="360"/>
        <w:jc w:val="both"/>
      </w:pPr>
      <w:r>
        <w:rPr>
          <w:rFonts w:ascii="Arial" w:cs="Arial" w:eastAsia="Arial" w:hAnsi="Arial"/>
          <w:sz w:val="22"/>
          <w:szCs w:val="22"/>
        </w:rPr>
        <w:t xml:space="preserve">Zhang, P. et al. (2026). Theory of Space: Can foundation models construct spatial beliefs through active exploration? ICLR 2026.</w:t>
      </w:r>
    </w:p>
    <w:p>
      <w:pPr>
        <w:spacing w:after="120" w:before="80" w:line="360"/>
        <w:jc w:val="both"/>
      </w:pPr>
      <w:r>
        <w:rPr>
          <w:rFonts w:ascii="Arial" w:cs="Arial" w:eastAsia="Arial" w:hAnsi="Arial"/>
          <w:sz w:val="22"/>
          <w:szCs w:val="22"/>
        </w:rPr>
        <w:t xml:space="preserve">Zumthor, P. (2006). Atmospheres. Birkhäuser.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4A7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6B4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2026-04-16T01:40:56.265Z</dcterms:created>
  <dcterms:modified xsi:type="dcterms:W3CDTF">2026-04-16T01:40:56.266Z</dcterms:modified>
</cp:coreProperties>
</file>

<file path=docProps/custom.xml><?xml version="1.0" encoding="utf-8"?>
<Properties xmlns="http://schemas.openxmlformats.org/officeDocument/2006/custom-properties" xmlns:vt="http://schemas.openxmlformats.org/officeDocument/2006/docPropsVTypes"/>
</file>