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b w:val="1"/>
          <w:bCs w:val="1"/>
          <w:sz w:val="40"/>
          <w:szCs w:val="40"/>
          <w:rtl w:val="0"/>
          <w:lang w:val="en-US"/>
        </w:rPr>
        <w:t>Band Preference Prediction</w:t>
      </w:r>
      <w:r>
        <w:rPr>
          <w:rtl w:val="0"/>
          <w:lang w:val="en-US"/>
        </w:rPr>
        <w:t xml:space="preserve"> </w:t>
      </w:r>
    </w:p>
    <w:p>
      <w:pPr>
        <w:pStyle w:val="Body"/>
        <w:jc w:val="center"/>
      </w:pPr>
      <w:r>
        <w:rPr>
          <w:rtl w:val="0"/>
          <w:lang w:val="en-US"/>
        </w:rPr>
        <w:t xml:space="preserve">Report for </w:t>
      </w:r>
      <w:r>
        <w:rPr>
          <w:rtl w:val="0"/>
          <w:lang w:val="en-US"/>
        </w:rPr>
        <w:t>Blackwell Electronics</w:t>
      </w:r>
    </w:p>
    <w:p>
      <w:pPr>
        <w:pStyle w:val="Body"/>
        <w:bidi w:val="0"/>
      </w:pPr>
    </w:p>
    <w:p>
      <w:pPr>
        <w:pStyle w:val="Body"/>
        <w:bidi w:val="0"/>
      </w:pPr>
    </w:p>
    <w:p>
      <w:pPr>
        <w:pStyle w:val="Body"/>
        <w:rPr>
          <w:b w:val="1"/>
          <w:bCs w:val="1"/>
          <w:sz w:val="28"/>
          <w:szCs w:val="28"/>
        </w:rPr>
      </w:pPr>
      <w:r>
        <w:rPr>
          <w:b w:val="1"/>
          <w:bCs w:val="1"/>
          <w:sz w:val="28"/>
          <w:szCs w:val="28"/>
          <w:rtl w:val="0"/>
          <w:lang w:val="en-US"/>
        </w:rPr>
        <w:t>Introduction</w:t>
      </w:r>
    </w:p>
    <w:p>
      <w:pPr>
        <w:pStyle w:val="Body"/>
        <w:bidi w:val="0"/>
      </w:pPr>
      <w:r>
        <w:rPr>
          <w:rtl w:val="0"/>
        </w:rPr>
        <w:t>The purpose of this report is to predict the brand preference from customers for Blackwell Electronic to decide which manufacture should be pursued with a deeper strategic relationship. The prediction is made on two data survey, one is complete dataset, the other one is incomplete, corrupt dataset.</w:t>
      </w:r>
    </w:p>
    <w:p>
      <w:pPr>
        <w:pStyle w:val="Body"/>
        <w:bidi w:val="0"/>
      </w:pPr>
    </w:p>
    <w:p>
      <w:pPr>
        <w:pStyle w:val="Body"/>
        <w:bidi w:val="0"/>
      </w:pPr>
      <w:r>
        <w:rPr>
          <w:rtl w:val="0"/>
        </w:rPr>
        <w:t>Below are the data features that were collected from customers:</w:t>
      </w:r>
    </w:p>
    <w:p>
      <w:pPr>
        <w:pStyle w:val="Body"/>
        <w:bidi w:val="0"/>
      </w:pPr>
      <w:r>
        <w:rPr>
          <w:rtl w:val="0"/>
        </w:rPr>
        <w:t>1). 6 Features were used for training / testing mode</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1219557</wp:posOffset>
                </wp:positionH>
                <wp:positionV relativeFrom="page">
                  <wp:posOffset>5496242</wp:posOffset>
                </wp:positionV>
                <wp:extent cx="5384800" cy="1168400"/>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384800" cy="1168400"/>
                        </a:xfrm>
                        <a:prstGeom prst="rect">
                          <a:avLst/>
                        </a:prstGeom>
                      </wps:spPr>
                      <wps:txbx>
                        <w:txbxContent>
                          <w:tbl>
                            <w:tblPr>
                              <w:tblW w:w="8398"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06"/>
                              <w:gridCol w:w="1918"/>
                              <w:gridCol w:w="2987"/>
                              <w:gridCol w:w="1987"/>
                            </w:tblGrid>
                            <w:tr>
                              <w:tblPrEx>
                                <w:shd w:val="clear" w:color="auto" w:fill="auto"/>
                              </w:tblPrEx>
                              <w:trPr>
                                <w:trHeight w:val="393" w:hRule="atLeast"/>
                                <w:tblHeader/>
                              </w:trPr>
                              <w:tc>
                                <w:tcPr>
                                  <w:tcW w:type="dxa" w:w="8398"/>
                                  <w:gridSpan w:val="4"/>
                                  <w:tcBorders>
                                    <w:top w:val="nil"/>
                                    <w:left w:val="nil"/>
                                    <w:bottom w:val="nil"/>
                                    <w:right w:val="nil"/>
                                  </w:tcBorders>
                                  <w:shd w:val="clear" w:color="auto" w:fill="auto"/>
                                  <w:tcMar>
                                    <w:top w:type="dxa" w:w="80"/>
                                    <w:left w:type="dxa" w:w="80"/>
                                    <w:bottom w:type="dxa" w:w="80"/>
                                    <w:right w:type="dxa" w:w="80"/>
                                  </w:tcMar>
                                  <w:vAlign w:val="center"/>
                                </w:tcPr>
                                <w:p>
                                  <w:pPr>
                                    <w:pStyle w:val="Default"/>
                                    <w:spacing w:before="0" w:after="120" w:line="240" w:lineRule="auto"/>
                                    <w:jc w:val="center"/>
                                  </w:pPr>
                                  <w:r>
                                    <w:t>Model Comparison</w:t>
                                  </w:r>
                                </w:p>
                              </w:tc>
                            </w:tr>
                            <w:tr>
                              <w:tblPrEx>
                                <w:shd w:val="clear" w:color="auto" w:fill="bdc0bf"/>
                              </w:tblPrEx>
                              <w:trPr>
                                <w:trHeight w:val="245" w:hRule="atLeast"/>
                                <w:tblHeader/>
                              </w:trPr>
                              <w:tc>
                                <w:tcPr>
                                  <w:tcW w:type="dxa" w:w="150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4fb78"/>
                                  <w:tcMar>
                                    <w:top w:type="dxa" w:w="80"/>
                                    <w:left w:type="dxa" w:w="80"/>
                                    <w:bottom w:type="dxa" w:w="80"/>
                                    <w:right w:type="dxa" w:w="80"/>
                                  </w:tcMar>
                                  <w:vAlign w:val="top"/>
                                </w:tcPr>
                                <w:p/>
                              </w:tc>
                              <w:tc>
                                <w:tcPr>
                                  <w:tcW w:type="dxa" w:w="191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72fcd5"/>
                                  <w:tcMar>
                                    <w:top w:type="dxa" w:w="80"/>
                                    <w:left w:type="dxa" w:w="80"/>
                                    <w:bottom w:type="dxa" w:w="80"/>
                                    <w:right w:type="dxa" w:w="80"/>
                                  </w:tcMar>
                                  <w:vAlign w:val="top"/>
                                </w:tcPr>
                                <w:p>
                                  <w:pPr>
                                    <w:pStyle w:val="Table Style 1"/>
                                    <w:jc w:val="center"/>
                                  </w:pPr>
                                  <w:r>
                                    <w:rPr>
                                      <w:rFonts w:ascii="Helvetica Neue" w:hAnsi="Helvetica Neue"/>
                                      <w:rtl w:val="0"/>
                                    </w:rPr>
                                    <w:t>Random Forest</w:t>
                                  </w:r>
                                </w:p>
                              </w:tc>
                              <w:tc>
                                <w:tcPr>
                                  <w:tcW w:type="dxa" w:w="298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72fcd5"/>
                                  <w:tcMar>
                                    <w:top w:type="dxa" w:w="80"/>
                                    <w:left w:type="dxa" w:w="80"/>
                                    <w:bottom w:type="dxa" w:w="80"/>
                                    <w:right w:type="dxa" w:w="80"/>
                                  </w:tcMar>
                                  <w:vAlign w:val="top"/>
                                </w:tcPr>
                                <w:p>
                                  <w:pPr>
                                    <w:pStyle w:val="Table Style 1"/>
                                  </w:pPr>
                                  <w:r>
                                    <w:rPr>
                                      <w:rFonts w:ascii="Helvetica Neue" w:hAnsi="Helvetica Neue"/>
                                      <w:rtl w:val="0"/>
                                    </w:rPr>
                                    <w:t>Stochastic Gradient Boosting</w:t>
                                  </w:r>
                                </w:p>
                              </w:tc>
                              <w:tc>
                                <w:tcPr>
                                  <w:tcW w:type="dxa" w:w="198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72fcd5"/>
                                  <w:tcMar>
                                    <w:top w:type="dxa" w:w="80"/>
                                    <w:left w:type="dxa" w:w="80"/>
                                    <w:bottom w:type="dxa" w:w="80"/>
                                    <w:right w:type="dxa" w:w="80"/>
                                  </w:tcMar>
                                  <w:vAlign w:val="top"/>
                                </w:tcPr>
                                <w:p>
                                  <w:pPr>
                                    <w:pStyle w:val="Table Style 1"/>
                                    <w:jc w:val="center"/>
                                  </w:pPr>
                                  <w:r>
                                    <w:rPr>
                                      <w:rFonts w:ascii="Helvetica Neue" w:hAnsi="Helvetica Neue"/>
                                      <w:rtl w:val="0"/>
                                    </w:rPr>
                                    <w:t>C50</w:t>
                                  </w:r>
                                </w:p>
                              </w:tc>
                            </w:tr>
                            <w:tr>
                              <w:tblPrEx>
                                <w:shd w:val="clear" w:color="auto" w:fill="auto"/>
                              </w:tblPrEx>
                              <w:trPr>
                                <w:trHeight w:val="245" w:hRule="atLeast"/>
                              </w:trPr>
                              <w:tc>
                                <w:tcPr>
                                  <w:tcW w:type="dxa" w:w="1506"/>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4fb78"/>
                                  <w:tcMar>
                                    <w:top w:type="dxa" w:w="80"/>
                                    <w:left w:type="dxa" w:w="80"/>
                                    <w:bottom w:type="dxa" w:w="80"/>
                                    <w:right w:type="dxa" w:w="80"/>
                                  </w:tcMar>
                                  <w:vAlign w:val="top"/>
                                </w:tcPr>
                                <w:p>
                                  <w:pPr>
                                    <w:pStyle w:val="Default"/>
                                    <w:spacing w:before="0" w:line="240" w:lineRule="auto"/>
                                    <w:jc w:val="center"/>
                                  </w:pPr>
                                  <w:r>
                                    <w:rPr>
                                      <w:rFonts w:ascii="Helvetica Neue" w:hAnsi="Helvetica Neue"/>
                                      <w:b w:val="1"/>
                                      <w:bCs w:val="1"/>
                                      <w:sz w:val="20"/>
                                      <w:szCs w:val="20"/>
                                      <w:rtl w:val="0"/>
                                    </w:rPr>
                                    <w:t>Accuracy</w:t>
                                  </w:r>
                                </w:p>
                              </w:tc>
                              <w:tc>
                                <w:tcPr>
                                  <w:tcW w:type="dxa" w:w="1918"/>
                                  <w:tcBorders>
                                    <w:top w:val="single" w:color="000000" w:sz="6" w:space="0" w:shadow="0" w:frame="0"/>
                                    <w:left w:val="single" w:color="000000" w:sz="6" w:space="0" w:shadow="0" w:frame="0"/>
                                    <w:bottom w:val="nil"/>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0.9260257</w:t>
                                  </w:r>
                                </w:p>
                              </w:tc>
                              <w:tc>
                                <w:tcPr>
                                  <w:tcW w:type="dxa" w:w="2987"/>
                                  <w:tcBorders>
                                    <w:top w:val="single" w:color="000000" w:sz="6"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0.9153907</w:t>
                                  </w:r>
                                </w:p>
                              </w:tc>
                              <w:tc>
                                <w:tcPr>
                                  <w:tcW w:type="dxa" w:w="1987"/>
                                  <w:tcBorders>
                                    <w:top w:val="single" w:color="000000" w:sz="6"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0.9093633</w:t>
                                  </w:r>
                                </w:p>
                              </w:tc>
                            </w:tr>
                            <w:tr>
                              <w:tblPrEx>
                                <w:shd w:val="clear" w:color="auto" w:fill="auto"/>
                              </w:tblPrEx>
                              <w:trPr>
                                <w:trHeight w:val="241" w:hRule="atLeast"/>
                              </w:trPr>
                              <w:tc>
                                <w:tcPr>
                                  <w:tcW w:type="dxa" w:w="15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4fb78"/>
                                  <w:tcMar>
                                    <w:top w:type="dxa" w:w="80"/>
                                    <w:left w:type="dxa" w:w="80"/>
                                    <w:bottom w:type="dxa" w:w="80"/>
                                    <w:right w:type="dxa" w:w="80"/>
                                  </w:tcMar>
                                  <w:vAlign w:val="top"/>
                                </w:tcPr>
                                <w:p>
                                  <w:pPr>
                                    <w:pStyle w:val="Default"/>
                                    <w:spacing w:before="0" w:line="240" w:lineRule="auto"/>
                                    <w:jc w:val="center"/>
                                  </w:pPr>
                                  <w:r>
                                    <w:rPr>
                                      <w:rFonts w:ascii="Helvetica Neue" w:hAnsi="Helvetica Neue"/>
                                      <w:b w:val="1"/>
                                      <w:bCs w:val="1"/>
                                      <w:sz w:val="20"/>
                                      <w:szCs w:val="20"/>
                                      <w:rtl w:val="0"/>
                                    </w:rPr>
                                    <w:t>Kappa</w:t>
                                  </w:r>
                                </w:p>
                              </w:tc>
                              <w:tc>
                                <w:tcPr>
                                  <w:tcW w:type="dxa" w:w="1918"/>
                                  <w:tcBorders>
                                    <w:top w:val="nil"/>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0.8424587</w:t>
                                  </w:r>
                                </w:p>
                              </w:tc>
                              <w:tc>
                                <w:tcPr>
                                  <w:tcW w:type="dxa" w:w="2987"/>
                                  <w:tcBorders>
                                    <w:top w:val="nil"/>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0.8212128</w:t>
                                  </w:r>
                                </w:p>
                              </w:tc>
                              <w:tc>
                                <w:tcPr>
                                  <w:tcW w:type="dxa" w:w="1987"/>
                                  <w:tcBorders>
                                    <w:top w:val="nil"/>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0.8059751</w:t>
                                  </w:r>
                                </w:p>
                              </w:tc>
                            </w:tr>
                          </w:tbl>
                        </w:txbxContent>
                      </wps:txbx>
                      <wps:bodyPr lIns="0" tIns="0" rIns="0" bIns="0">
                        <a:spAutoFit/>
                      </wps:bodyPr>
                    </wps:wsp>
                  </a:graphicData>
                </a:graphic>
              </wp:anchor>
            </w:drawing>
          </mc:Choice>
          <mc:Fallback>
            <w:pict>
              <v:shape id="_x0000_s1026" type="#_x0000_t202" style="visibility:visible;position:absolute;margin-left:96.0pt;margin-top:432.8pt;width:424.0pt;height:92.0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8398"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06"/>
                        <w:gridCol w:w="1918"/>
                        <w:gridCol w:w="2987"/>
                        <w:gridCol w:w="1987"/>
                      </w:tblGrid>
                      <w:tr>
                        <w:tblPrEx>
                          <w:shd w:val="clear" w:color="auto" w:fill="auto"/>
                        </w:tblPrEx>
                        <w:trPr>
                          <w:trHeight w:val="393" w:hRule="atLeast"/>
                          <w:tblHeader/>
                        </w:trPr>
                        <w:tc>
                          <w:tcPr>
                            <w:tcW w:type="dxa" w:w="8398"/>
                            <w:gridSpan w:val="4"/>
                            <w:tcBorders>
                              <w:top w:val="nil"/>
                              <w:left w:val="nil"/>
                              <w:bottom w:val="nil"/>
                              <w:right w:val="nil"/>
                            </w:tcBorders>
                            <w:shd w:val="clear" w:color="auto" w:fill="auto"/>
                            <w:tcMar>
                              <w:top w:type="dxa" w:w="80"/>
                              <w:left w:type="dxa" w:w="80"/>
                              <w:bottom w:type="dxa" w:w="80"/>
                              <w:right w:type="dxa" w:w="80"/>
                            </w:tcMar>
                            <w:vAlign w:val="center"/>
                          </w:tcPr>
                          <w:p>
                            <w:pPr>
                              <w:pStyle w:val="Default"/>
                              <w:spacing w:before="0" w:after="120" w:line="240" w:lineRule="auto"/>
                              <w:jc w:val="center"/>
                            </w:pPr>
                            <w:r>
                              <w:t>Model Comparison</w:t>
                            </w:r>
                          </w:p>
                        </w:tc>
                      </w:tr>
                      <w:tr>
                        <w:tblPrEx>
                          <w:shd w:val="clear" w:color="auto" w:fill="bdc0bf"/>
                        </w:tblPrEx>
                        <w:trPr>
                          <w:trHeight w:val="245" w:hRule="atLeast"/>
                          <w:tblHeader/>
                        </w:trPr>
                        <w:tc>
                          <w:tcPr>
                            <w:tcW w:type="dxa" w:w="150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d4fb78"/>
                            <w:tcMar>
                              <w:top w:type="dxa" w:w="80"/>
                              <w:left w:type="dxa" w:w="80"/>
                              <w:bottom w:type="dxa" w:w="80"/>
                              <w:right w:type="dxa" w:w="80"/>
                            </w:tcMar>
                            <w:vAlign w:val="top"/>
                          </w:tcPr>
                          <w:p/>
                        </w:tc>
                        <w:tc>
                          <w:tcPr>
                            <w:tcW w:type="dxa" w:w="191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72fcd5"/>
                            <w:tcMar>
                              <w:top w:type="dxa" w:w="80"/>
                              <w:left w:type="dxa" w:w="80"/>
                              <w:bottom w:type="dxa" w:w="80"/>
                              <w:right w:type="dxa" w:w="80"/>
                            </w:tcMar>
                            <w:vAlign w:val="top"/>
                          </w:tcPr>
                          <w:p>
                            <w:pPr>
                              <w:pStyle w:val="Table Style 1"/>
                              <w:jc w:val="center"/>
                            </w:pPr>
                            <w:r>
                              <w:rPr>
                                <w:rFonts w:ascii="Helvetica Neue" w:hAnsi="Helvetica Neue"/>
                                <w:rtl w:val="0"/>
                              </w:rPr>
                              <w:t>Random Forest</w:t>
                            </w:r>
                          </w:p>
                        </w:tc>
                        <w:tc>
                          <w:tcPr>
                            <w:tcW w:type="dxa" w:w="298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72fcd5"/>
                            <w:tcMar>
                              <w:top w:type="dxa" w:w="80"/>
                              <w:left w:type="dxa" w:w="80"/>
                              <w:bottom w:type="dxa" w:w="80"/>
                              <w:right w:type="dxa" w:w="80"/>
                            </w:tcMar>
                            <w:vAlign w:val="top"/>
                          </w:tcPr>
                          <w:p>
                            <w:pPr>
                              <w:pStyle w:val="Table Style 1"/>
                            </w:pPr>
                            <w:r>
                              <w:rPr>
                                <w:rFonts w:ascii="Helvetica Neue" w:hAnsi="Helvetica Neue"/>
                                <w:rtl w:val="0"/>
                              </w:rPr>
                              <w:t>Stochastic Gradient Boosting</w:t>
                            </w:r>
                          </w:p>
                        </w:tc>
                        <w:tc>
                          <w:tcPr>
                            <w:tcW w:type="dxa" w:w="198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72fcd5"/>
                            <w:tcMar>
                              <w:top w:type="dxa" w:w="80"/>
                              <w:left w:type="dxa" w:w="80"/>
                              <w:bottom w:type="dxa" w:w="80"/>
                              <w:right w:type="dxa" w:w="80"/>
                            </w:tcMar>
                            <w:vAlign w:val="top"/>
                          </w:tcPr>
                          <w:p>
                            <w:pPr>
                              <w:pStyle w:val="Table Style 1"/>
                              <w:jc w:val="center"/>
                            </w:pPr>
                            <w:r>
                              <w:rPr>
                                <w:rFonts w:ascii="Helvetica Neue" w:hAnsi="Helvetica Neue"/>
                                <w:rtl w:val="0"/>
                              </w:rPr>
                              <w:t>C50</w:t>
                            </w:r>
                          </w:p>
                        </w:tc>
                      </w:tr>
                      <w:tr>
                        <w:tblPrEx>
                          <w:shd w:val="clear" w:color="auto" w:fill="auto"/>
                        </w:tblPrEx>
                        <w:trPr>
                          <w:trHeight w:val="245" w:hRule="atLeast"/>
                        </w:trPr>
                        <w:tc>
                          <w:tcPr>
                            <w:tcW w:type="dxa" w:w="1506"/>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4fb78"/>
                            <w:tcMar>
                              <w:top w:type="dxa" w:w="80"/>
                              <w:left w:type="dxa" w:w="80"/>
                              <w:bottom w:type="dxa" w:w="80"/>
                              <w:right w:type="dxa" w:w="80"/>
                            </w:tcMar>
                            <w:vAlign w:val="top"/>
                          </w:tcPr>
                          <w:p>
                            <w:pPr>
                              <w:pStyle w:val="Default"/>
                              <w:spacing w:before="0" w:line="240" w:lineRule="auto"/>
                              <w:jc w:val="center"/>
                            </w:pPr>
                            <w:r>
                              <w:rPr>
                                <w:rFonts w:ascii="Helvetica Neue" w:hAnsi="Helvetica Neue"/>
                                <w:b w:val="1"/>
                                <w:bCs w:val="1"/>
                                <w:sz w:val="20"/>
                                <w:szCs w:val="20"/>
                                <w:rtl w:val="0"/>
                              </w:rPr>
                              <w:t>Accuracy</w:t>
                            </w:r>
                          </w:p>
                        </w:tc>
                        <w:tc>
                          <w:tcPr>
                            <w:tcW w:type="dxa" w:w="1918"/>
                            <w:tcBorders>
                              <w:top w:val="single" w:color="000000" w:sz="6" w:space="0" w:shadow="0" w:frame="0"/>
                              <w:left w:val="single" w:color="000000" w:sz="6" w:space="0" w:shadow="0" w:frame="0"/>
                              <w:bottom w:val="nil"/>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0.9260257</w:t>
                            </w:r>
                          </w:p>
                        </w:tc>
                        <w:tc>
                          <w:tcPr>
                            <w:tcW w:type="dxa" w:w="2987"/>
                            <w:tcBorders>
                              <w:top w:val="single" w:color="000000" w:sz="6"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0.9153907</w:t>
                            </w:r>
                          </w:p>
                        </w:tc>
                        <w:tc>
                          <w:tcPr>
                            <w:tcW w:type="dxa" w:w="1987"/>
                            <w:tcBorders>
                              <w:top w:val="single" w:color="000000" w:sz="6"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0.9093633</w:t>
                            </w:r>
                          </w:p>
                        </w:tc>
                      </w:tr>
                      <w:tr>
                        <w:tblPrEx>
                          <w:shd w:val="clear" w:color="auto" w:fill="auto"/>
                        </w:tblPrEx>
                        <w:trPr>
                          <w:trHeight w:val="241" w:hRule="atLeast"/>
                        </w:trPr>
                        <w:tc>
                          <w:tcPr>
                            <w:tcW w:type="dxa" w:w="15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4fb78"/>
                            <w:tcMar>
                              <w:top w:type="dxa" w:w="80"/>
                              <w:left w:type="dxa" w:w="80"/>
                              <w:bottom w:type="dxa" w:w="80"/>
                              <w:right w:type="dxa" w:w="80"/>
                            </w:tcMar>
                            <w:vAlign w:val="top"/>
                          </w:tcPr>
                          <w:p>
                            <w:pPr>
                              <w:pStyle w:val="Default"/>
                              <w:spacing w:before="0" w:line="240" w:lineRule="auto"/>
                              <w:jc w:val="center"/>
                            </w:pPr>
                            <w:r>
                              <w:rPr>
                                <w:rFonts w:ascii="Helvetica Neue" w:hAnsi="Helvetica Neue"/>
                                <w:b w:val="1"/>
                                <w:bCs w:val="1"/>
                                <w:sz w:val="20"/>
                                <w:szCs w:val="20"/>
                                <w:rtl w:val="0"/>
                              </w:rPr>
                              <w:t>Kappa</w:t>
                            </w:r>
                          </w:p>
                        </w:tc>
                        <w:tc>
                          <w:tcPr>
                            <w:tcW w:type="dxa" w:w="1918"/>
                            <w:tcBorders>
                              <w:top w:val="nil"/>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0.8424587</w:t>
                            </w:r>
                          </w:p>
                        </w:tc>
                        <w:tc>
                          <w:tcPr>
                            <w:tcW w:type="dxa" w:w="2987"/>
                            <w:tcBorders>
                              <w:top w:val="nil"/>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0.8212128</w:t>
                            </w:r>
                          </w:p>
                        </w:tc>
                        <w:tc>
                          <w:tcPr>
                            <w:tcW w:type="dxa" w:w="1987"/>
                            <w:tcBorders>
                              <w:top w:val="nil"/>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0.8059751</w:t>
                            </w:r>
                          </w:p>
                        </w:tc>
                      </w:tr>
                    </w:tbl>
                  </w:txbxContent>
                </v:textbox>
                <w10:wrap type="topAndBottom" side="bothSides" anchorx="page" anchory="page"/>
              </v:shape>
            </w:pict>
          </mc:Fallback>
        </mc:AlternateContent>
      </w:r>
      <w:r>
        <w:rPr>
          <w:rtl w:val="0"/>
        </w:rPr>
        <w:t>ls:</w:t>
      </w:r>
    </w:p>
    <w:p>
      <w:pPr>
        <w:pStyle w:val="Body"/>
        <w:numPr>
          <w:ilvl w:val="0"/>
          <w:numId w:val="2"/>
        </w:numPr>
        <w:bidi w:val="0"/>
      </w:pPr>
      <w:r>
        <w:rPr>
          <w:b w:val="1"/>
          <w:bCs w:val="1"/>
          <w:rtl w:val="0"/>
          <w:lang w:val="en-US"/>
        </w:rPr>
        <w:t>Salary</w:t>
      </w:r>
      <w:r>
        <w:rPr>
          <w:rtl w:val="0"/>
        </w:rPr>
        <w:t xml:space="preserve"> - not including bonus</w:t>
      </w:r>
    </w:p>
    <w:p>
      <w:pPr>
        <w:pStyle w:val="Body"/>
        <w:numPr>
          <w:ilvl w:val="0"/>
          <w:numId w:val="2"/>
        </w:numPr>
        <w:rPr>
          <w:b w:val="1"/>
          <w:bCs w:val="1"/>
          <w:lang w:val="en-US"/>
        </w:rPr>
      </w:pPr>
      <w:r>
        <w:rPr>
          <w:b w:val="1"/>
          <w:bCs w:val="1"/>
          <w:rtl w:val="0"/>
          <w:lang w:val="en-US"/>
        </w:rPr>
        <w:t>Age</w:t>
      </w:r>
    </w:p>
    <w:p>
      <w:pPr>
        <w:pStyle w:val="Body"/>
        <w:numPr>
          <w:ilvl w:val="0"/>
          <w:numId w:val="2"/>
        </w:numPr>
        <w:bidi w:val="0"/>
      </w:pPr>
      <w:r>
        <w:rPr>
          <w:b w:val="1"/>
          <w:bCs w:val="1"/>
          <w:rtl w:val="0"/>
          <w:lang w:val="en-US"/>
        </w:rPr>
        <w:t>Level of Education</w:t>
      </w:r>
      <w:r>
        <w:rPr>
          <w:rtl w:val="0"/>
        </w:rPr>
        <w:t xml:space="preserve"> (6 different levels range from Less Than High School Degree to Master</w:t>
      </w:r>
      <w:r>
        <w:rPr>
          <w:rtl w:val="0"/>
        </w:rPr>
        <w:t>’</w:t>
      </w:r>
      <w:r>
        <w:rPr>
          <w:rtl w:val="0"/>
        </w:rPr>
        <w:t>s / Doctoral Degree)</w:t>
      </w:r>
    </w:p>
    <w:p>
      <w:pPr>
        <w:pStyle w:val="Body"/>
        <w:numPr>
          <w:ilvl w:val="0"/>
          <w:numId w:val="2"/>
        </w:numPr>
        <w:bidi w:val="0"/>
      </w:pPr>
      <w:r>
        <w:rPr>
          <w:b w:val="1"/>
          <w:bCs w:val="1"/>
          <w:rtl w:val="0"/>
          <w:lang w:val="en-US"/>
        </w:rPr>
        <w:t xml:space="preserve">Name of Primary Car </w:t>
      </w:r>
      <w:r>
        <w:rPr>
          <w:rtl w:val="0"/>
        </w:rPr>
        <w:t xml:space="preserve">(19 different brands given, choice 20 is </w:t>
      </w:r>
      <w:r>
        <w:rPr>
          <w:rtl w:val="0"/>
        </w:rPr>
        <w:t>‘</w:t>
      </w:r>
      <w:r>
        <w:rPr>
          <w:rtl w:val="0"/>
        </w:rPr>
        <w:t>None of the above</w:t>
      </w:r>
      <w:r>
        <w:rPr>
          <w:rtl w:val="0"/>
        </w:rPr>
        <w:t xml:space="preserve">’ </w:t>
      </w:r>
      <w:r>
        <w:rPr>
          <w:rtl w:val="0"/>
        </w:rPr>
        <w:t>if customer has a different car from the list)</w:t>
      </w:r>
    </w:p>
    <w:p>
      <w:pPr>
        <w:pStyle w:val="Body"/>
        <w:numPr>
          <w:ilvl w:val="0"/>
          <w:numId w:val="2"/>
        </w:numPr>
        <w:bidi w:val="0"/>
      </w:pPr>
      <w:r>
        <w:rPr>
          <w:b w:val="1"/>
          <w:bCs w:val="1"/>
          <w:rtl w:val="0"/>
          <w:lang w:val="en-US"/>
        </w:rPr>
        <w:t>Zip Code</w:t>
      </w:r>
      <w:r>
        <w:rPr>
          <w:rtl w:val="0"/>
        </w:rPr>
        <w:t xml:space="preserve"> (9 zip codes given from New England to Pacific)</w:t>
      </w:r>
    </w:p>
    <w:p>
      <w:pPr>
        <w:pStyle w:val="Body"/>
        <w:numPr>
          <w:ilvl w:val="0"/>
          <w:numId w:val="2"/>
        </w:numPr>
        <w:rPr>
          <w:b w:val="1"/>
          <w:bCs w:val="1"/>
          <w:lang w:val="en-US"/>
        </w:rPr>
      </w:pPr>
      <w:r>
        <w:rPr>
          <w:b w:val="1"/>
          <w:bCs w:val="1"/>
          <w:rtl w:val="0"/>
          <w:lang w:val="en-US"/>
        </w:rPr>
        <w:t>Credit</w:t>
      </w:r>
    </w:p>
    <w:p>
      <w:pPr>
        <w:pStyle w:val="Body"/>
        <w:bidi w:val="0"/>
      </w:pPr>
      <w:r>
        <w:rPr>
          <w:rtl w:val="0"/>
        </w:rPr>
        <w:t>2). 1 Feature used for prediction</w:t>
      </w:r>
    </w:p>
    <w:p>
      <w:pPr>
        <w:pStyle w:val="Body"/>
        <w:numPr>
          <w:ilvl w:val="0"/>
          <w:numId w:val="2"/>
        </w:numPr>
        <w:bidi w:val="0"/>
      </w:pPr>
      <w:r>
        <w:rPr>
          <w:b w:val="1"/>
          <w:bCs w:val="1"/>
          <w:rtl w:val="0"/>
          <w:lang w:val="en-US"/>
        </w:rPr>
        <w:t>Brand</w:t>
      </w:r>
      <w:r>
        <w:rPr>
          <w:rtl w:val="0"/>
        </w:rPr>
        <w:t xml:space="preserve"> -   0 - Acer,  1 - Sony</w:t>
      </w:r>
    </w:p>
    <w:p>
      <w:pPr>
        <w:pStyle w:val="Body"/>
        <w:bidi w:val="0"/>
      </w:pPr>
    </w:p>
    <w:p>
      <w:pPr>
        <w:pStyle w:val="Body"/>
        <w:bidi w:val="0"/>
      </w:pPr>
    </w:p>
    <w:p>
      <w:pPr>
        <w:pStyle w:val="Body"/>
        <w:rPr>
          <w:b w:val="1"/>
          <w:bCs w:val="1"/>
          <w:sz w:val="28"/>
          <w:szCs w:val="28"/>
        </w:rPr>
      </w:pPr>
      <w:r>
        <w:rPr>
          <w:b w:val="1"/>
          <w:bCs w:val="1"/>
          <w:sz w:val="28"/>
          <w:szCs w:val="28"/>
          <w:rtl w:val="0"/>
          <w:lang w:val="en-US"/>
        </w:rPr>
        <w:t>Analysis</w:t>
      </w:r>
    </w:p>
    <w:p>
      <w:pPr>
        <w:pStyle w:val="Body"/>
        <w:rPr>
          <w:b w:val="1"/>
          <w:bCs w:val="1"/>
          <w:i w:val="1"/>
          <w:iCs w:val="1"/>
          <w:sz w:val="22"/>
          <w:szCs w:val="22"/>
          <w:u w:val="single"/>
        </w:rPr>
      </w:pPr>
      <w:r>
        <w:rPr>
          <w:b w:val="1"/>
          <w:bCs w:val="1"/>
          <w:sz w:val="28"/>
          <w:szCs w:val="28"/>
        </w:rPr>
        <w:drawing xmlns:a="http://schemas.openxmlformats.org/drawingml/2006/main">
          <wp:anchor distT="152400" distB="152400" distL="152400" distR="152400" simplePos="0" relativeHeight="251661312" behindDoc="0" locked="0" layoutInCell="1" allowOverlap="1">
            <wp:simplePos x="0" y="0"/>
            <wp:positionH relativeFrom="margin">
              <wp:posOffset>-283890</wp:posOffset>
            </wp:positionH>
            <wp:positionV relativeFrom="line">
              <wp:posOffset>1373821</wp:posOffset>
            </wp:positionV>
            <wp:extent cx="2303548" cy="2998826"/>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2303548" cy="2998826"/>
                    </a:xfrm>
                    <a:prstGeom prst="rect">
                      <a:avLst/>
                    </a:prstGeom>
                    <a:ln w="12700" cap="flat">
                      <a:noFill/>
                      <a:miter lim="400000"/>
                    </a:ln>
                    <a:effectLst/>
                  </pic:spPr>
                </pic:pic>
              </a:graphicData>
            </a:graphic>
          </wp:anchor>
        </w:drawing>
      </w:r>
      <w:r>
        <w:rPr>
          <w:b w:val="1"/>
          <w:bCs w:val="1"/>
          <w:sz w:val="28"/>
          <w:szCs w:val="28"/>
        </w:rPr>
        <w:drawing xmlns:a="http://schemas.openxmlformats.org/drawingml/2006/main">
          <wp:anchor distT="152400" distB="152400" distL="152400" distR="152400" simplePos="0" relativeHeight="251663360" behindDoc="0" locked="0" layoutInCell="1" allowOverlap="1">
            <wp:simplePos x="0" y="0"/>
            <wp:positionH relativeFrom="margin">
              <wp:posOffset>4023250</wp:posOffset>
            </wp:positionH>
            <wp:positionV relativeFrom="line">
              <wp:posOffset>1524006</wp:posOffset>
            </wp:positionV>
            <wp:extent cx="2350879" cy="2698456"/>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2350879" cy="2698456"/>
                    </a:xfrm>
                    <a:prstGeom prst="rect">
                      <a:avLst/>
                    </a:prstGeom>
                    <a:ln w="12700" cap="flat">
                      <a:noFill/>
                      <a:miter lim="400000"/>
                    </a:ln>
                    <a:effectLst/>
                  </pic:spPr>
                </pic:pic>
              </a:graphicData>
            </a:graphic>
          </wp:anchor>
        </w:drawing>
      </w:r>
      <w:r>
        <w:rPr>
          <w:b w:val="1"/>
          <w:bCs w:val="1"/>
          <w:sz w:val="28"/>
          <w:szCs w:val="28"/>
        </w:rPr>
        <w:drawing xmlns:a="http://schemas.openxmlformats.org/drawingml/2006/main">
          <wp:anchor distT="152400" distB="152400" distL="152400" distR="152400" simplePos="0" relativeHeight="251662336" behindDoc="0" locked="0" layoutInCell="1" allowOverlap="1">
            <wp:simplePos x="0" y="0"/>
            <wp:positionH relativeFrom="margin">
              <wp:posOffset>1801456</wp:posOffset>
            </wp:positionH>
            <wp:positionV relativeFrom="line">
              <wp:posOffset>1550284</wp:posOffset>
            </wp:positionV>
            <wp:extent cx="2327987" cy="2672178"/>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2327987" cy="2672178"/>
                    </a:xfrm>
                    <a:prstGeom prst="rect">
                      <a:avLst/>
                    </a:prstGeom>
                    <a:ln w="12700" cap="flat">
                      <a:noFill/>
                      <a:miter lim="400000"/>
                    </a:ln>
                    <a:effectLst/>
                  </pic:spPr>
                </pic:pic>
              </a:graphicData>
            </a:graphic>
          </wp:anchor>
        </w:drawing>
      </w:r>
      <w:r>
        <w:rPr>
          <w:b w:val="1"/>
          <w:bCs w:val="1"/>
          <w:i w:val="1"/>
          <w:iCs w:val="1"/>
          <w:sz w:val="22"/>
          <w:szCs w:val="22"/>
          <w:u w:val="single"/>
          <w:rtl w:val="0"/>
          <w:lang w:val="en-US"/>
        </w:rPr>
        <w:t>Model Comparison and Selection for Training / Testing Data &amp; Feature Importance</w:t>
      </w:r>
    </w:p>
    <w:p>
      <w:pPr>
        <w:pStyle w:val="Body"/>
        <w:bidi w:val="0"/>
      </w:pPr>
      <w:r>
        <w:rPr>
          <w:rtl w:val="0"/>
        </w:rPr>
        <w:t>3 predictive models were used for training and testing dataset, the testing scores were pretty close between these models. As the above graph shows, Random Forest has the highest overall accuracy and kappa score when applying parameter mtry=4. Gradient Boosting has slight lower score, the tuneLength was set between 1 and 5, tuneLength 5 had higher score. C50 has the lowest score compare to the other two models. Therefore, Random Forest was selected for prediction as it has the highest training / testing score.</w:t>
      </w:r>
    </w:p>
    <w:p>
      <w:pPr>
        <w:pStyle w:val="Body"/>
        <w:bidi w:val="0"/>
      </w:pPr>
    </w:p>
    <w:p>
      <w:pPr>
        <w:pStyle w:val="Body"/>
        <w:bidi w:val="0"/>
      </w:pPr>
      <w:r>
        <w:rPr>
          <w:rtl w:val="0"/>
        </w:rPr>
        <w:t xml:space="preserve">All 3 models indicate the most important features from the dataset are Salary and Age, while Random Forest and Gradient Boosting models have Credit as the 3rd import feature, Car and </w:t>
      </w:r>
      <w:r>
        <w:rPr>
          <w:rtl w:val="0"/>
        </w:rPr>
        <w:t>ZipCode</w:t>
      </w:r>
      <w:r>
        <w:rPr>
          <w:rtl w:val="0"/>
        </w:rPr>
        <w:t xml:space="preserve"> have little importance compare to other features, eLevel has 0 importance. The C50 model indicates ZipCode as the n</w:t>
      </w:r>
      <w:r>
        <w:drawing xmlns:a="http://schemas.openxmlformats.org/drawingml/2006/main">
          <wp:anchor distT="152400" distB="152400" distL="152400" distR="152400" simplePos="0" relativeHeight="251660288" behindDoc="0" locked="0" layoutInCell="1" allowOverlap="1">
            <wp:simplePos x="0" y="0"/>
            <wp:positionH relativeFrom="page">
              <wp:posOffset>1158843</wp:posOffset>
            </wp:positionH>
            <wp:positionV relativeFrom="page">
              <wp:posOffset>4706823</wp:posOffset>
            </wp:positionV>
            <wp:extent cx="4951477" cy="2466737"/>
            <wp:effectExtent l="0" t="0" r="0" b="0"/>
            <wp:wrapTopAndBottom distT="152400" distB="152400"/>
            <wp:docPr id="1073741829" name="officeArt object"/>
            <wp:cNvGraphicFramePr/>
            <a:graphic xmlns:a="http://schemas.openxmlformats.org/drawingml/2006/main">
              <a:graphicData uri="http://schemas.openxmlformats.org/drawingml/2006/chart">
                <c:chart xmlns:c="http://schemas.openxmlformats.org/drawingml/2006/chart" r:id="rId7"/>
              </a:graphicData>
            </a:graphic>
          </wp:anchor>
        </w:drawing>
      </w:r>
      <w:r>
        <w:rPr>
          <w:rtl w:val="0"/>
        </w:rPr>
        <w:t xml:space="preserve">ext important feature after Salary &amp; Age, the other 3 features Car, eLevel and Credit have 0 importance. </w:t>
      </w:r>
    </w:p>
    <w:p>
      <w:pPr>
        <w:pStyle w:val="Body"/>
        <w:bidi w:val="0"/>
      </w:pPr>
    </w:p>
    <w:p>
      <w:pPr>
        <w:pStyle w:val="Body"/>
        <w:bidi w:val="0"/>
      </w:pPr>
    </w:p>
    <w:p>
      <w:pPr>
        <w:pStyle w:val="Body"/>
        <w:bidi w:val="0"/>
      </w:pPr>
    </w:p>
    <w:p>
      <w:pPr>
        <w:pStyle w:val="Body"/>
        <w:rPr>
          <w:b w:val="1"/>
          <w:bCs w:val="1"/>
          <w:i w:val="1"/>
          <w:iCs w:val="1"/>
          <w:u w:val="single"/>
        </w:rPr>
      </w:pPr>
      <w:r>
        <w:rPr>
          <w:b w:val="1"/>
          <w:bCs w:val="1"/>
          <w:i w:val="1"/>
          <w:iCs w:val="1"/>
          <w:u w:val="single"/>
          <w:rtl w:val="0"/>
          <w:lang w:val="en-US"/>
        </w:rPr>
        <w:t>Brand Preference Prediction</w:t>
      </w:r>
    </w:p>
    <w:p>
      <w:pPr>
        <w:pStyle w:val="Body"/>
        <w:bidi w:val="0"/>
      </w:pPr>
    </w:p>
    <w:p>
      <w:pPr>
        <w:pStyle w:val="Body"/>
        <w:bidi w:val="0"/>
      </w:pPr>
      <w:r>
        <w:rPr>
          <w:rtl w:val="0"/>
        </w:rPr>
        <w:t xml:space="preserve">The above graph shows the number of preferences for the computer brand ( Acer and Sony ) between Complete Survey data, Corrupt Survey data and the entire dataset. More customers preferred Sony brand in each single dataset,  over 9000 customers preferred Sony brand, and a bit over 5000 customers chose the Acer brand. </w:t>
      </w:r>
    </w:p>
    <w:p>
      <w:pPr>
        <w:pStyle w:val="Body"/>
        <w:bidi w:val="0"/>
      </w:pPr>
    </w:p>
    <w:p>
      <w:pPr>
        <w:pStyle w:val="Body"/>
        <w:bidi w:val="0"/>
      </w:pPr>
    </w:p>
    <w:p>
      <w:pPr>
        <w:pStyle w:val="Body"/>
        <w:bidi w:val="0"/>
      </w:pPr>
    </w:p>
    <w:p>
      <w:pPr>
        <w:pStyle w:val="Body"/>
        <w:bidi w:val="0"/>
      </w:pPr>
    </w:p>
    <w:p>
      <w:pPr>
        <w:pStyle w:val="Body"/>
        <w:rPr>
          <w:b w:val="1"/>
          <w:bCs w:val="1"/>
          <w:sz w:val="28"/>
          <w:szCs w:val="28"/>
        </w:rPr>
      </w:pPr>
      <w:r>
        <w:rPr>
          <w:b w:val="1"/>
          <w:bCs w:val="1"/>
          <w:sz w:val="28"/>
          <w:szCs w:val="28"/>
          <w:rtl w:val="0"/>
          <w:lang w:val="en-US"/>
        </w:rPr>
        <w:t>Conclusion</w:t>
      </w:r>
    </w:p>
    <w:p>
      <w:pPr>
        <w:pStyle w:val="Body"/>
        <w:bidi w:val="0"/>
      </w:pPr>
      <w:r>
        <w:rPr>
          <w:rtl w:val="0"/>
        </w:rPr>
        <w:t xml:space="preserve">The predicted brand preference for customers from Blackwell Electronic is: 62% of customers prefer Sony and 38% of customers prefer Acer brand. </w:t>
      </w:r>
    </w:p>
    <w:p>
      <w:pPr>
        <w:pStyle w:val="Body"/>
        <w:bidi w:val="0"/>
      </w:pPr>
    </w:p>
    <w:p>
      <w:pPr>
        <w:pStyle w:val="Body"/>
        <w:bidi w:val="0"/>
      </w:pPr>
      <w:r>
        <w:rPr>
          <w:rtl w:val="0"/>
        </w:rPr>
        <w:t>The most important features that would affect the brand preference are (from most to least):</w:t>
      </w:r>
    </w:p>
    <w:p>
      <w:pPr>
        <w:pStyle w:val="Body"/>
        <w:bidi w:val="0"/>
      </w:pPr>
      <w:r>
        <w:rPr>
          <w:rtl w:val="0"/>
        </w:rPr>
        <w:t xml:space="preserve">Salary, Age, ZipCode and Credit, the remaining features Car and Elevel are not that relevant to our prediction. </w:t>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charts/_rels/chart1.xml.rels><?xml version="1.0" encoding="UTF-8"?>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02916"/>
          <c:y val="0.19103"/>
          <c:w val="0.892084"/>
          <c:h val="0.713862"/>
        </c:manualLayout>
      </c:layout>
      <c:barChart>
        <c:barDir val="col"/>
        <c:grouping val="clustered"/>
        <c:varyColors val="0"/>
        <c:ser>
          <c:idx val="0"/>
          <c:order val="0"/>
          <c:tx>
            <c:strRef>
              <c:f>Sheet1!$B$1</c:f>
              <c:strCache>
                <c:ptCount val="1"/>
                <c:pt idx="0">
                  <c:v>Acer</c:v>
                </c:pt>
              </c:strCache>
            </c:strRef>
          </c:tx>
          <c:spPr>
            <a:solidFill>
              <a:srgbClr val="4CAAE8"/>
            </a:solidFill>
            <a:ln w="12700" cap="flat">
              <a:noFill/>
              <a:miter lim="400000"/>
            </a:ln>
            <a:effectLst/>
          </c:spPr>
          <c:invertIfNegative val="0"/>
          <c:dLbls>
            <c:numFmt formatCode="#,##0" sourceLinked="0"/>
            <c:txPr>
              <a:bodyPr/>
              <a:lstStyle/>
              <a:p>
                <a:pPr>
                  <a:defRPr b="0" i="0" strike="noStrike" sz="1200" u="none">
                    <a:solidFill>
                      <a:srgbClr val="FFFFFF"/>
                    </a:solidFill>
                    <a:latin typeface="Helvetica Neue"/>
                  </a:defRPr>
                </a:pPr>
              </a:p>
            </c:txPr>
            <c:dLblPos val="inEnd"/>
            <c:showLegendKey val="0"/>
            <c:showVal val="0"/>
            <c:showCatName val="0"/>
            <c:showSerName val="0"/>
            <c:showPercent val="0"/>
            <c:showBubbleSize val="0"/>
            <c:showLeaderLines val="0"/>
          </c:dLbls>
          <c:cat>
            <c:strRef>
              <c:f>Sheet1!$A$2:$A$4</c:f>
              <c:strCache>
                <c:ptCount val="3"/>
                <c:pt idx="0">
                  <c:v>Complete Dataset</c:v>
                </c:pt>
                <c:pt idx="1">
                  <c:v>Corrupt Dataset</c:v>
                </c:pt>
                <c:pt idx="2">
                  <c:v>Combination Dataset</c:v>
                </c:pt>
              </c:strCache>
            </c:strRef>
          </c:cat>
          <c:val>
            <c:numRef>
              <c:f>Sheet1!$B$2:$B$4</c:f>
              <c:numCache>
                <c:ptCount val="3"/>
                <c:pt idx="0">
                  <c:v>3780.000000</c:v>
                </c:pt>
                <c:pt idx="1">
                  <c:v>1892.000000</c:v>
                </c:pt>
                <c:pt idx="2">
                  <c:v>5672.000000</c:v>
                </c:pt>
              </c:numCache>
            </c:numRef>
          </c:val>
        </c:ser>
        <c:ser>
          <c:idx val="1"/>
          <c:order val="1"/>
          <c:tx>
            <c:strRef>
              <c:f>Sheet1!$C$1</c:f>
              <c:strCache>
                <c:ptCount val="1"/>
                <c:pt idx="0">
                  <c:v>Sony</c:v>
                </c:pt>
              </c:strCache>
            </c:strRef>
          </c:tx>
          <c:spPr>
            <a:solidFill>
              <a:srgbClr val="6C61B0"/>
            </a:solidFill>
            <a:ln w="12700" cap="flat">
              <a:noFill/>
              <a:miter lim="400000"/>
            </a:ln>
            <a:effectLst/>
          </c:spPr>
          <c:invertIfNegative val="0"/>
          <c:dLbls>
            <c:numFmt formatCode="#,##0" sourceLinked="0"/>
            <c:txPr>
              <a:bodyPr/>
              <a:lstStyle/>
              <a:p>
                <a:pPr>
                  <a:defRPr b="0" i="0" strike="noStrike" sz="1200" u="none">
                    <a:solidFill>
                      <a:srgbClr val="FFFFFF"/>
                    </a:solidFill>
                    <a:latin typeface="Helvetica Neue"/>
                  </a:defRPr>
                </a:pPr>
              </a:p>
            </c:txPr>
            <c:dLblPos val="inEnd"/>
            <c:showLegendKey val="0"/>
            <c:showVal val="0"/>
            <c:showCatName val="0"/>
            <c:showSerName val="0"/>
            <c:showPercent val="0"/>
            <c:showBubbleSize val="0"/>
            <c:showLeaderLines val="0"/>
          </c:dLbls>
          <c:cat>
            <c:strRef>
              <c:f>Sheet1!$A$2:$A$4</c:f>
              <c:strCache>
                <c:ptCount val="3"/>
                <c:pt idx="0">
                  <c:v>Complete Dataset</c:v>
                </c:pt>
                <c:pt idx="1">
                  <c:v>Corrupt Dataset</c:v>
                </c:pt>
                <c:pt idx="2">
                  <c:v>Combination Dataset</c:v>
                </c:pt>
              </c:strCache>
            </c:strRef>
          </c:cat>
          <c:val>
            <c:numRef>
              <c:f>Sheet1!$C$2:$C$4</c:f>
              <c:numCache>
                <c:ptCount val="3"/>
                <c:pt idx="0">
                  <c:v>6118.000000</c:v>
                </c:pt>
                <c:pt idx="1">
                  <c:v>3108.000000</c:v>
                </c:pt>
                <c:pt idx="2">
                  <c:v>9226.000000</c:v>
                </c:pt>
              </c:numCache>
            </c:numRef>
          </c:val>
        </c:ser>
        <c:gapWidth val="40"/>
        <c:overlap val="-10"/>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Neue"/>
              </a:defRPr>
            </a:pPr>
          </a:p>
        </c:txPr>
        <c:crossAx val="2094734553"/>
        <c:crosses val="autoZero"/>
        <c:auto val="1"/>
        <c:lblAlgn val="ctr"/>
        <c:noMultiLvlLbl val="1"/>
      </c:catAx>
      <c:valAx>
        <c:axId val="2094734553"/>
        <c:scaling>
          <c:orientation val="minMax"/>
        </c:scaling>
        <c:delete val="0"/>
        <c:axPos val="l"/>
        <c:majorGridlines>
          <c:spPr>
            <a:ln w="6350"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Neue"/>
              </a:defRPr>
            </a:pPr>
          </a:p>
        </c:txPr>
        <c:crossAx val="2094734552"/>
        <c:crosses val="autoZero"/>
        <c:crossBetween val="between"/>
        <c:majorUnit val="2500"/>
        <c:minorUnit val="1250"/>
      </c:valAx>
      <c:spPr>
        <a:noFill/>
        <a:ln w="12700" cap="flat">
          <a:solidFill>
            <a:srgbClr val="000000"/>
          </a:solidFill>
          <a:prstDash val="solid"/>
          <a:miter lim="400000"/>
        </a:ln>
        <a:effectLst/>
      </c:spPr>
    </c:plotArea>
    <c:legend>
      <c:legendPos val="t"/>
      <c:layout>
        <c:manualLayout>
          <c:xMode val="edge"/>
          <c:yMode val="edge"/>
          <c:x val="0.0649875"/>
          <c:y val="0"/>
          <c:w val="0.897756"/>
          <c:h val="0.0853405"/>
        </c:manualLayout>
      </c:layout>
      <c:overlay val="1"/>
      <c:spPr>
        <a:noFill/>
        <a:ln w="12700" cap="flat">
          <a:noFill/>
          <a:miter lim="400000"/>
        </a:ln>
        <a:effectLst/>
      </c:spPr>
      <c:txPr>
        <a:bodyPr rot="0"/>
        <a:lstStyle/>
        <a:p>
          <a:pPr>
            <a:defRPr b="0" i="0" strike="noStrike" sz="1000" u="none">
              <a:solidFill>
                <a:srgbClr val="000000"/>
              </a:solidFill>
              <a:latin typeface="Helvetica Neue"/>
            </a:defRPr>
          </a:pPr>
        </a:p>
      </c:txPr>
    </c:legend>
    <c:plotVisOnly val="1"/>
    <c:dispBlanksAs val="gap"/>
  </c:chart>
  <c:spPr>
    <a:noFill/>
    <a:ln>
      <a:noFill/>
    </a:ln>
    <a:effectLst/>
  </c:spPr>
  <c:externalData r:id="rId1">
    <c:autoUpdate val="0"/>
  </c:externalData>
</c:chartSpace>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