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</w:p>
    <w:p>
      <w:pPr>
        <w:jc w:val="center"/>
      </w:pPr>
      <w:r>
        <w:rPr>
          <w:b/>
          <w:color w:val="087E8B"/>
          <w:sz w:val="20"/>
        </w:rPr>
        <w:t>MANAGED DETECTION &amp; RESPONSE</w:t>
      </w:r>
    </w:p>
    <w:p>
      <w:pPr>
        <w:spacing w:after="80"/>
        <w:jc w:val="center"/>
      </w:pPr>
      <w:r>
        <w:rPr>
          <w:b/>
          <w:color w:val="0B2239"/>
          <w:sz w:val="48"/>
        </w:rPr>
        <w:t>SECURITY INCIDENT REPORT</w:t>
      </w:r>
    </w:p>
    <w:p>
      <w:pPr>
        <w:jc w:val="center"/>
      </w:pPr>
      <w:r>
        <w:rPr>
          <w:color w:val="5B6573"/>
          <w:sz w:val="26"/>
        </w:rPr>
        <w:t>事件應變與調查報告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Incident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PA-20260916-89421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JJNET Demo Customer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Title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Microsoft Windows Task Scheduler Privilege Escalation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Critical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Detection 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2026-09-16T22:14:10Z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Version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1.0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Executive Summary</w:t>
            </w:r>
          </w:p>
        </w:tc>
      </w:tr>
    </w:tbl>
    <w:p>
      <w:pPr>
        <w:spacing w:after="120"/>
      </w:pPr>
      <w:r>
        <w:rPr>
          <w:rFonts w:ascii="Aptos" w:hAnsi="Aptos"/>
          <w:color w:val="0B2239"/>
          <w:sz w:val="18"/>
        </w:rPr>
        <w:t>Palo Alto 防火牆與 Cortex XDR 於 2026-09-16T22:14:10Z - 2026-09-16T22:16:01Z 期間，偵測到來自外部惡意來源 (185.220.101.5) 針對內部 DMZ 主機 (WS-FIN-088) 發動之 Microsoft Windows Task Scheduler Privilege Escalation (觸發次數：14 次連續探測)。攻擊者嘗試利用弱點 CVE-2026-3841 與混淆 PowerShell 腳本突破邊界防護並實施記憶體注入。周邊安全規則「SecRule-Inbound-DMZ-Protect」及時觸發並執行「reset-both」，端點代理已自動完成邏輯網路隔離並保全揮發性記憶體跡證。目前現有事證支持威脅已獲有效圍堵，後續憑證可能於其他主機重用之風險仍列入待確認追蹤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Classification and Scope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Category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Persistence / Exploit (惡意弱點利用與持久化探測)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Status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Contained (已完成端點網路隔離與邊界阻斷)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Confidence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High (威脅情資與日誌特徵雙向核實吻合)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Affected Assets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Business / Security Context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WS-FIN-088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財務部關鍵同仁端點 (corp.jjnet.tw)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SecRule-Inbound-DMZ-Protect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外網對 DMZ 邊界防護次世代防火牆閘道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MITRE ATT&amp;CK Mapping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Name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T1059.001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Command and Scripting Interpreter: PowerShell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T1055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Process Injection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T1003.001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OS Credential Dumping: LSASS Memory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T1566.001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Phishing: Spearphishing Attachment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Evidence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5386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22:14:10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Palo Alto Firewall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邊界防火牆攔截惡意探測：WINWORD.EXE (PID: 4312) 觸發 powershell.exe 混淆 Base64 腳本執行，並對 svchost.exe (PID: 6720) 實施代碼注入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22:15:30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Cortex XDR Agent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WINWORD.EXE (PID: 4312) 觸發混淆 PowerShell 執行，對 svchost.exe (PID: 6720) 實施代碼注入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22:15:45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Palo Alto Threat Prevention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企圖向外部 C2 連線 (c2-update.secureserv.nl)，遭防火牆重設阻斷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22:16:01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Cortex XDR Containment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偵測到 Mimikatz 記憶體特徵碼，端點自動執行邏輯網路隔離並保全證據鏈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06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Incident Timeline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22:14:10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外部 IP 185.220.101.5 對內部目標發起惡意 HTTP POST 探測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22:15:30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WINWORD.EXE 觸發混淆 PowerShell 執行，嘗試記憶體代碼注入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22:15:45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企圖向外部 c2-update.secureserv.nl 建立 C2 連線 (已被防火牆攔截)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22:16:01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端點代理判定高危，自動執行邏輯網路隔離並鎖定排程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07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Response Actions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3"/>
        <w:gridCol w:w="2154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維持受感染主機 WS-FIN-088 之 EDR 邏輯網路隔離，保全 Volatile Memory Dump 供鑑識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立即重設受害使用者 corp.jjnet.tw 密碼並強制撤銷所有作用中 Session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3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邊界防火牆推播阻擋黑名單：阻斷惡意外部 IP 185.220.101.5 與網域 c2-update.secureserv.nl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08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Recommendations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套用原廠針對 CVE-2026-3841 發布之安全修補更新，並於內部加強目錄存取控制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公司全域群組原則 (GPO) 停用未簽署之 Office 巨集自動執行行為，並啟用 PowerShell 限制語言模式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啟用 Windows 虛擬化型安全性 (VBS) 與 Credential Guard，預防記憶體憑證洩漏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P3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針對高風險部門安排社交工程防範與釣魚防禦實務抽測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09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Unresolved Items / Pending Confirmation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706"/>
        <w:gridCol w:w="4252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確認網域控制站 (DC/AD) 是否存在同一帳號於其他主機二次重用之異常登入紀錄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Pending confirmation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外部 C2 伺服器 (185.220.101.5) 所屬威脅組織身分與最新情資歸屬對齊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Pending confirmation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Revision History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2268"/>
        <w:gridCol w:w="4535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1.0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 22:30 UTC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SOC Lead Analyst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Initial incident 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Review and Approval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SOC Lead Analyst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 22:30 UTC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Vincent (資深資安顧問 / SOC 主管)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 22:45 UTC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Approval status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Approved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Signature / record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APR-2026-0042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96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vAlign w:val="center"/>
          <w:tcMar>
            <w:top w:w="60" w:type="dxa"/>
            <w:start w:w="110" w:type="dxa"/>
            <w:bottom w:w="60" w:type="dxa"/>
            <w:end w:w="110" w:type="dxa"/>
          </w:tcMar>
        </w:tcPr>
        <w:p>
          <w:r/>
          <w:r>
            <w:rPr>
              <w:rFonts w:ascii="Aptos" w:hAnsi="Aptos"/>
              <w:b w:val="0"/>
              <w:color w:val="5B6573"/>
              <w:sz w:val="16"/>
            </w:rPr>
            <w:t>JJNET Security Incident Report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'1.0' encoding='UTF-8' standalone='yes'?><w:p><w:pPr><w:pStyle w:val="Header"/><w:spacing w:before="0" w:after="0" w:line="2" w:lineRule="exact"/><w:jc w:val="center"/></w:pPr><w:r><w:drawing xmlns:a="http://schemas.openxmlformats.org/drawingml/2006/main" xmlns:pic="http://schemas.openxmlformats.org/drawingml/2006/picture"><wp:anchor distT="0" distB="0" distL="0" distR="0" simplePos="0" relativeHeight="251658240" behindDoc="1" locked="0" layoutInCell="1" allowOverlap="1"><wp:simplePos x="0" y="0"/><wp:positionH relativeFrom="page"><wp:align>center</wp:align></wp:positionH><wp:positionV relativeFrom="page"><wp:align>center</wp:align></wp:positionV><wp:extent cx="5040000" cy="4477846"/><wp:effectExtent l="0" t="0" r="0" b="0"/><wp:wrapNone/><wp:docPr id="3" name="JJNET Watermark"/><wp:cNvGraphicFramePr><a:graphicFrameLocks noChangeAspect="1"/></wp:cNvGraphicFramePr><a:graphic><a:graphicData uri="http://schemas.openxmlformats.org/drawingml/2006/picture"><pic:pic><pic:nvPicPr><pic:cNvPr id="0" name="JJNET"/><pic:cNvPicPr/></pic:nvPicPr><pic:blipFill><a:blip r:embed="rIdWatermark"/><a:stretch><a:fillRect/></a:stretch></pic:blipFill><pic:spPr><a:xfrm><a:off x="0" y="0"/><a:ext cx="5040000" cy="4477846"/></a:xfrm><a:prstGeom prst="rect"><a:avLst/></a:prstGeom></pic:spPr></pic:pic></a:graphicData></a:graphic></wp:anchor></w:drawing></w:r></w:p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<w:p><w:pPr><w:pStyle w:val="Header"/></w:pPr></w:p><w:tbl><w:tblPr><w:tblW w:type="auto" w:w="0"/><w:tblLayout w:type="fixed"/><w:tblLook w:firstColumn="1" w:firstRow="1" w:lastColumn="0" w:lastRow="0" w:noHBand="0" w:noVBand="1" w:val="04A0"/></w:tblPr><w:tblGrid><w:gridCol w:w="7200"/><w:gridCol w:w="2438"/></w:tblGrid><w:tr><w:tc><w:tcPr><w:tcW w:type="dxa" w:w="4819"/><w:vAlign w:val="center"/><w:tcMar><w:top w:w="60" w:type="dxa"/><w:start w:w="110" w:type="dxa"/><w:bottom w:w="60" w:type="dxa"/><w:end w:w="110" w:type="dxa"/></w:tcMar><w:shd w:fill="0B2239"/></w:tcPr><w:p><w:r/><w:r><w:rPr><w:rFonts w:ascii="Aptos" w:hAnsi="Aptos"/><w:b/><w:color w:val="FFFFFF"/><w:sz w:val="18"/></w:rPr><w:t>JJNET  |  SECURITY OPERATIONS</w:t></w:r></w:p></w:tc><w:tc><w:tcPr><w:tcW w:type="dxa" w:w="4819"/><w:vAlign w:val="center"/><w:tcMar><w:top w:w="60" w:type="dxa"/><w:start w:w="110" w:type="dxa"/><w:bottom w:w="60" w:type="dxa"/><w:end w:w="110" w:type="dxa"/></w:tcMar><w:shd w:fill="087E8B"/></w:tcPr><w:p><w:pPr><w:jc w:val="right"/></w:pPr><w:r/><w:r><w:rPr><w:rFonts w:ascii="Aptos" w:hAnsi="Aptos"/><w:b/><w:color w:val="FFFFFF"/><w:sz w:val="16"/></w:rPr><w:t>CONFIDENTIAL</w:t></w:r></w:p></w:tc></w:tr></w:tbl>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22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Watermark" Type="http://schemas.openxmlformats.org/officeDocument/2006/relationships/image" Target="media/image_watermar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JJNET Security Incident Report Template</dc:title>
  <dc:subject>Fixed-format incident report</dc:subject>
  <dc:creator>JJNET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