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/>
      </w:pPr>
    </w:p>
    <w:p>
      <w:pPr>
        <w:spacing w:after="200"/>
        <w:jc w:val="center"/>
      </w:pPr>
      <w:r>
        <w:drawing>
          <wp:inline distT="0" distB="0" distL="0" distR="0">
            <wp:extent cx="13335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UPI Fraud Detection Analysis</w:t>
      </w:r>
    </w:p>
    <w:p>
      <w:pPr>
        <w:spacing w:after="200"/>
      </w:pP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Project submitted to the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Andhra Pradesh State Skill Development Corporation (APSSDC)</w:t>
      </w:r>
    </w:p>
    <w:p>
      <w:pPr>
        <w:spacing w:after="200"/>
      </w:pP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Bachelor of Technology</w:t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In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Computer Science and Engineering</w:t>
      </w:r>
    </w:p>
    <w:p>
      <w:pPr>
        <w:spacing w:after="300"/>
      </w:pP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Submitted By</w:t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Cheekati Daisy Margarate</w:t>
      </w:r>
    </w:p>
    <w:p>
      <w:pPr>
        <w:spacing w:after="200"/>
      </w:pP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Under the guidance of</w:t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Kanuma Narmada</w:t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Kokkiligadda Meenakshi</w:t>
      </w:r>
    </w:p>
    <w:p>
      <w:pPr>
        <w:spacing w:after="400"/>
      </w:pP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July 2026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5276"/>
          <w:sz w:val="28"/>
          <w:szCs w:val="28"/>
        </w:rPr>
        <w:t xml:space="preserve">ABSTRACT</w:t>
      </w:r>
    </w:p>
    <w:p>
      <w:pPr>
        <w:spacing w:after="160"/>
      </w:pPr>
      <w:r>
        <w:t xml:space="preserve">This study analyses UPI (Unified Payments Interface) transaction data using Python's Pandas and NumPy for data manipulation, and Matplotlib and Seaborn for visualization.</w:t>
      </w:r>
    </w:p>
    <w:p>
      <w:pPr>
        <w:spacing w:after="160"/>
      </w:pPr>
      <w:r>
        <w:t xml:space="preserve">The dataset is the “UPI Transactions 2024” dataset from Kaggle: 250,000 simulated UPI transactions across India, with attributes such as transaction type, merchant category, amount, banks, device/network type, sender location, and a fraud flag.</w:t>
      </w:r>
    </w:p>
    <w:p>
      <w:pPr>
        <w:spacing w:after="160"/>
      </w:pPr>
      <w:r>
        <w:t xml:space="preserve">Key objectives: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Measure the scale of class imbalance between genuine and fraudulent transactions.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 Pandas to compute fraud rates across transaction type, category, device, network, bank, and state.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 NumPy for statistical computations and log-scaling of skewed transaction amounts.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Visualize fraud patterns by hour of day and day of week.</w:t>
      </w:r>
    </w:p>
    <w:p>
      <w:pPr>
        <w:spacing w:after="160"/>
      </w:pPr>
      <w:r>
        <w:t xml:space="preserve">NumPy provides the numerical backbone — array operations, aggregate statistics, and log transformations — while Pandas handles cleaning and tabular manipulation, and Matplotlib/Seaborn visualize the results. The study demonstrates a complete, honest exploratory data analysis workflow.</w:t>
      </w:r>
    </w:p>
    <w:p>
      <w:pPr>
        <w:pStyle w:val="Heading1"/>
        <w:spacing w:after="150" w:before="300"/>
      </w:pPr>
      <w:r>
        <w:rPr>
          <w:b/>
          <w:bCs/>
          <w:color w:val="1a5276"/>
          <w:sz w:val="28"/>
          <w:szCs w:val="28"/>
        </w:rPr>
        <w:t xml:space="preserve">INTRODUCTION</w:t>
      </w:r>
    </w:p>
    <w:p>
      <w:pPr>
        <w:spacing w:after="160"/>
      </w:pPr>
      <w:r>
        <w:t xml:space="preserve">The Unified Payments Interface (UPI) has become the backbone of digital payments in India, processing billions of transactions every month. With this scale comes a growing challenge: detecting and preventing fraudulent transactions without disrupting the experience of genuine users.</w:t>
      </w:r>
    </w:p>
    <w:p>
      <w:pPr>
        <w:spacing w:after="160"/>
      </w:pPr>
      <w:r>
        <w:t xml:space="preserve">By harnessing Python's libraries — NumPy, Pandas, Matplotlib, and Seaborn — this study analyses 250,000 UPI transaction records to uncover patterns that could inform fraud-detection strategy.</w:t>
      </w:r>
    </w:p>
    <w:p>
      <w:pPr>
        <w:spacing w:after="160"/>
      </w:pPr>
      <w:r>
        <w:t xml:space="preserve">NumPy performs core numerical computations (array operations, aggregate statistics, log transformations), Pandas handles preprocessing and cleansing, and Matplotlib/Seaborn create informative visualizations that reveal where and when fraud is most likely to occur.</w:t>
      </w:r>
    </w:p>
    <w:p>
      <w:pPr>
        <w:pStyle w:val="Heading1"/>
        <w:spacing w:after="150" w:before="300"/>
      </w:pPr>
      <w:r>
        <w:rPr>
          <w:b/>
          <w:bCs/>
          <w:color w:val="1a5276"/>
          <w:sz w:val="28"/>
          <w:szCs w:val="28"/>
        </w:rPr>
        <w:t xml:space="preserve">SYSTEM REQUIREMENTS</w:t>
      </w:r>
    </w:p>
    <w:p>
      <w:pPr>
        <w:pStyle w:val="Heading2"/>
        <w:spacing w:after="150" w:before="300"/>
      </w:pPr>
      <w:r>
        <w:rPr>
          <w:b/>
          <w:bCs/>
          <w:color w:val="1a5276"/>
          <w:sz w:val="24"/>
          <w:szCs w:val="24"/>
        </w:rPr>
        <w:t xml:space="preserve">SOFTWARE REQUIREMENTS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Operating System:</w:t>
      </w:r>
    </w:p>
    <w:p>
      <w:pPr>
        <w:spacing w:after="160"/>
      </w:pPr>
      <w:r>
        <w:t xml:space="preserve">The analysis can be performed on Windows, macOS, or Linux.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Python:</w:t>
      </w:r>
    </w:p>
    <w:p>
      <w:pPr>
        <w:spacing w:after="160"/>
      </w:pPr>
      <w:r>
        <w:t xml:space="preserve">Python 3.x is required for running the analysis. Make sure you have the latest stable version of Python installed.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Libraries:</w:t>
      </w:r>
    </w:p>
    <w:p>
      <w:pPr>
        <w:spacing w:after="160"/>
      </w:pPr>
      <w:r>
        <w:t xml:space="preserve">NumPy: Install the NumPy library using pip, a package manager for Python.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numpy</w:t>
      </w:r>
    </w:p>
    <w:p>
      <w:pPr>
        <w:spacing w:after="160"/>
      </w:pPr>
      <w:r>
        <w:t xml:space="preserve">Pandas: Install the Pandas library using pip.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pandas</w:t>
      </w:r>
    </w:p>
    <w:p>
      <w:pPr>
        <w:spacing w:after="160"/>
      </w:pPr>
      <w:r>
        <w:t xml:space="preserve">Matplotlib: Install the Matplotlib library using pip.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matplotlib</w:t>
      </w:r>
    </w:p>
    <w:p>
      <w:pPr>
        <w:spacing w:after="160"/>
      </w:pPr>
      <w:r>
        <w:t xml:space="preserve">Seaborn: Install the Seaborn library using pip.</w:t>
      </w:r>
    </w:p>
    <w:p>
      <w:pPr>
        <w:shd w:fill="F4F4F4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seaborn</w:t>
      </w:r>
    </w:p>
    <w:p>
      <w:pPr>
        <w:pStyle w:val="Heading2"/>
        <w:spacing w:after="150" w:before="300"/>
      </w:pPr>
      <w:r>
        <w:rPr>
          <w:b/>
          <w:bCs/>
          <w:color w:val="1a5276"/>
          <w:sz w:val="24"/>
          <w:szCs w:val="24"/>
        </w:rPr>
        <w:t xml:space="preserve">HARDWARE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IDE – Jupyter Notebook, Google Colaboratory, or VS Code with Jupyter extension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Storage Space – free storage space enough for the dataset (~30 MB) and generated outputs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RAM – minimum 4 GB recommended for smooth handling of a 250,000-row dataset</w:t>
      </w:r>
    </w:p>
    <w:p>
      <w:pPr>
        <w:pStyle w:val="Heading1"/>
        <w:spacing w:after="150" w:before="300"/>
      </w:pPr>
      <w:r>
        <w:rPr>
          <w:b/>
          <w:bCs/>
          <w:color w:val="1a5276"/>
          <w:sz w:val="28"/>
          <w:szCs w:val="28"/>
        </w:rPr>
        <w:t xml:space="preserve">ARCHITECTURE</w:t>
      </w:r>
    </w:p>
    <w:p>
      <w:pPr>
        <w:spacing w:after="160"/>
      </w:pPr>
      <w:r>
        <w:t xml:space="preserve">The architecture of the analysis follows a clear workflow: data acquisition, preprocessing, exploratory data analysis (EDA), and visualization.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Data Acquisition:</w:t>
      </w:r>
    </w:p>
    <w:p>
      <w:pPr>
        <w:spacing w:after="160"/>
      </w:pPr>
      <w:r>
        <w:t xml:space="preserve">The UPI transaction dataset (250,000 records) was downloaded from Kaggle in CSV format.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Data Preprocessing:</w:t>
      </w:r>
    </w:p>
    <w:p>
      <w:pPr>
        <w:spacing w:after="160"/>
      </w:pPr>
      <w:r>
        <w:t xml:space="preserve">Using Pandas, the data is loaded into a DataFrame, checked for missing values and duplicates, and the timestamp column is converted to a proper datetime type.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Exploratory Data Analysis (EDA):</w:t>
      </w:r>
    </w:p>
    <w:p>
      <w:pPr>
        <w:spacing w:after="160"/>
      </w:pPr>
      <w:r>
        <w:t xml:space="preserve">NumPy underlies Pandas' internal computations (means, standard deviations, correlations), while groupby/aggregation functions compute fraud rates across categories, and NumPy's log-scaling handles skewed amounts.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Data Visualization:</w:t>
      </w:r>
    </w:p>
    <w:p>
      <w:pPr>
        <w:spacing w:after="160"/>
      </w:pPr>
      <w:r>
        <w:t xml:space="preserve">Matplotlib and Seaborn create count plots, bar charts, box plots, line plots, and heatmaps to visualize fraud patterns.</w:t>
      </w:r>
    </w:p>
    <w:p>
      <w:pPr>
        <w:pStyle w:val="Heading1"/>
        <w:spacing w:after="150" w:before="300"/>
      </w:pPr>
      <w:r>
        <w:rPr>
          <w:b/>
          <w:bCs/>
          <w:color w:val="1a5276"/>
          <w:sz w:val="28"/>
          <w:szCs w:val="28"/>
        </w:rPr>
        <w:t xml:space="preserve">USES OF DATA ANALYSIS LIBRARIES</w:t>
      </w:r>
    </w:p>
    <w:p>
      <w:pPr>
        <w:spacing w:after="160"/>
      </w:pPr>
      <w:r>
        <w:t xml:space="preserve">NumPy, Pandas, Matplotlib, and Seaborn each play a role in this analysis: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NumPy: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Provides the fast, array-based numerical foundation Pandas is built on, enabling efficient computation over 250,000 rows.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Used for statistical computations (mean, median, std) and log-transforming skewed transaction amounts for readable plots.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Powers the numeric feature matrix used to train and evaluate the machine learning model.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Pandas: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Handles loading, cleaning, and preprocessing of the dataset, including filtering, grouping, and aggregating.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Used to compute fraud rates across transaction type, category, device, network, bank, and state.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One-hot encodes categorical columns (get_dummies()) for the machine learning model.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Matplotlib: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Creates bar charts, line plots, and box plots depicting fraud trends and amount distributions.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Log-scale axis options (paired with NumPy) make skewed or imbalanced data readable.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Seaborn: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Built on Matplotlib, used for count plots, box plots, and the correlation heatmap.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Simplifies visualizing categorical fraud patterns, such as by transaction type or category.</w:t>
      </w:r>
    </w:p>
    <w:p>
      <w:pPr>
        <w:spacing w:after="160"/>
      </w:pPr>
      <w:r>
        <w:t xml:space="preserve">Together, NumPy provides the numerical engine, Pandas handles data wrangling, and Matplotlib/Seaborn create the visuals that reveal fraud patterns in the data.</w:t>
      </w:r>
    </w:p>
    <w:p>
      <w:pPr>
        <w:pStyle w:val="Heading1"/>
        <w:spacing w:after="150" w:before="300"/>
      </w:pPr>
      <w:r>
        <w:rPr>
          <w:b/>
          <w:bCs/>
          <w:color w:val="1a5276"/>
          <w:sz w:val="28"/>
          <w:szCs w:val="28"/>
        </w:rPr>
        <w:t xml:space="preserve">ADVANTAGES</w:t>
      </w:r>
    </w:p>
    <w:p>
      <w:pPr>
        <w:spacing w:after="160"/>
      </w:pPr>
      <w:r>
        <w:t xml:space="preserve">UPI fraud detection analysis using Python offers several advantages: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Versatility: Python integrates easily with data from various payment platforms and formats.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Fast Computation: NumPy's array operations efficiently process large transaction datasets (250,000+ rows).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Clear Visualization: Matplotlib and Seaborn make fraud trends and patterns easy for stakeholders to understand.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Data-Driven Insight: Grouping and aggregating across categories, devices, banks, and time reveals where fraud risk concentrates.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Cost-Effective: All tools used are open-source, avoiding expensive proprietary fraud-analytics software.</w:t>
      </w:r>
    </w:p>
    <w:p>
      <w:pPr>
        <w:pStyle w:val="Heading1"/>
        <w:spacing w:after="150" w:before="300"/>
      </w:pPr>
      <w:r>
        <w:rPr>
          <w:b/>
          <w:bCs/>
          <w:color w:val="1a5276"/>
          <w:sz w:val="28"/>
          <w:szCs w:val="28"/>
        </w:rPr>
        <w:t xml:space="preserve">CONCLUSION</w:t>
      </w:r>
    </w:p>
    <w:p>
      <w:pPr>
        <w:spacing w:after="160"/>
      </w:pPr>
      <w:r>
        <w:t xml:space="preserve">The UPI fraud detection analysis using NumPy, Pandas, Matplotlib, and Seaborn presents a comprehensive, honest approach to understanding fraud in the UPI payments industry: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NumPy's array operations provide the computational backbone for handling large-scale transaction data efficiently.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Pandas' functionality enables extensive exploration, uncovering fraud patterns across transaction type, category, device, network, bank, and location.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Matplotlib and Seaborn deliver clear visualizations that communicate complex fraud data to stakeholders.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analysis honestly shows that fraud rate stays fairly stable across most features, rather than forcing a dramatic pattern that isn't really there.</w:t>
      </w:r>
    </w:p>
    <w:p>
      <w:pPr>
        <w:spacing w:after="160"/>
      </w:pPr>
      <w:r>
        <w:t xml:space="preserve">In summary, this project equips analysts with a transparent, reproducible workflow for exploring UPI transaction data and understanding where and when fraud risk is highest.</w:t>
      </w:r>
    </w:p>
    <w:p>
      <w:pPr>
        <w:pStyle w:val="Heading1"/>
        <w:spacing w:after="150" w:before="300"/>
      </w:pPr>
      <w:r>
        <w:rPr>
          <w:b/>
          <w:bCs/>
          <w:color w:val="1a5276"/>
          <w:sz w:val="28"/>
          <w:szCs w:val="28"/>
        </w:rPr>
        <w:t xml:space="preserve">REFERENCES</w:t>
      </w:r>
    </w:p>
    <w:p>
      <w:pPr>
        <w:spacing w:after="120"/>
      </w:pPr>
      <w:r>
        <w:t xml:space="preserve">Kaggle. (2025). </w:t>
      </w:r>
      <w:hyperlink w:history="1" r:id="rId6_7nped9zkmdvcozkovrh">
        <w:r>
          <w:rPr>
            <w:rStyle w:val="Hyperlink"/>
          </w:rPr>
          <w:t xml:space="preserve">UPI Transactions 2024 Dataset</w:t>
        </w:r>
      </w:hyperlink>
      <w:r>
        <w:t xml:space="preserve">. Retrieved from Kaggle.</w:t>
      </w:r>
    </w:p>
    <w:p>
      <w:pPr>
        <w:spacing w:after="120"/>
      </w:pPr>
      <w:r>
        <w:t xml:space="preserve">Harris, C.R., Millman, K.J., van der Walt, S.J. et al. (2020). </w:t>
      </w:r>
      <w:r>
        <w:rPr>
          <w:b/>
          <w:bCs/>
        </w:rPr>
        <w:t xml:space="preserve">Array programming with NumPy.</w:t>
      </w:r>
      <w:r>
        <w:t xml:space="preserve"> Nature 585, 357–362. Retrieved from </w:t>
      </w:r>
      <w:hyperlink w:history="1" r:id="rIdytm1bucvzsf00w-tky128">
        <w:r>
          <w:rPr>
            <w:rStyle w:val="Hyperlink"/>
          </w:rPr>
          <w:t xml:space="preserve">https://numpy.org/</w:t>
        </w:r>
      </w:hyperlink>
    </w:p>
    <w:p>
      <w:pPr>
        <w:spacing w:after="120"/>
      </w:pPr>
      <w:r>
        <w:t xml:space="preserve">Reback, J., McKinney, W., Jbrockmendel, &amp; L, Perktold, J., Seabold, S., Stéfan van der Walt. (2020). </w:t>
      </w:r>
      <w:r>
        <w:rPr>
          <w:b/>
          <w:bCs/>
        </w:rPr>
        <w:t xml:space="preserve">pandas-dev/pandas: Pandas v1.2.4.</w:t>
      </w:r>
      <w:r>
        <w:t xml:space="preserve"> Zenodo. Retrieved from </w:t>
      </w:r>
      <w:hyperlink w:history="1" r:id="rIdkhwuxqdu4rog9oonwwbtk">
        <w:r>
          <w:rPr>
            <w:rStyle w:val="Hyperlink"/>
          </w:rPr>
          <w:t xml:space="preserve">https://doi.org/10.5281/zenodo.3632209</w:t>
        </w:r>
      </w:hyperlink>
    </w:p>
    <w:p>
      <w:pPr>
        <w:spacing w:after="120"/>
      </w:pPr>
      <w:r>
        <w:t xml:space="preserve">Hunter, J.D. (2007). </w:t>
      </w:r>
      <w:r>
        <w:rPr>
          <w:b/>
          <w:bCs/>
        </w:rPr>
        <w:t xml:space="preserve">Matplotlib: A 2D Graphics Environment.</w:t>
      </w:r>
      <w:r>
        <w:t xml:space="preserve"> Computing in Science &amp; Engineering, 9(3), 90–95. Retrieved from </w:t>
      </w:r>
      <w:hyperlink w:history="1" r:id="rId8gze_hseqzyzt2wfnnqoe">
        <w:r>
          <w:rPr>
            <w:rStyle w:val="Hyperlink"/>
          </w:rPr>
          <w:t xml:space="preserve">https://matplotlib.org/</w:t>
        </w:r>
      </w:hyperlink>
    </w:p>
    <w:p>
      <w:pPr>
        <w:spacing w:after="120"/>
      </w:pPr>
      <w:r>
        <w:t xml:space="preserve">Waskom, M. (2021). </w:t>
      </w:r>
      <w:r>
        <w:rPr>
          <w:b/>
          <w:bCs/>
        </w:rPr>
        <w:t xml:space="preserve">seaborn: statistical data visualization.</w:t>
      </w:r>
      <w:r>
        <w:t xml:space="preserve"> Journal of Open Source Software, 6(60), 3021. Retrieved from </w:t>
      </w:r>
      <w:hyperlink w:history="1" r:id="rId_pvwf13vhaizgvpyamomr">
        <w:r>
          <w:rPr>
            <w:rStyle w:val="Hyperlink"/>
          </w:rPr>
          <w:t xml:space="preserve">https://seaborn.pydata.org/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_7nped9zkmdvcozkovrh" Type="http://schemas.openxmlformats.org/officeDocument/2006/relationships/hyperlink" Target="https://www.kaggle.com/datasets/skullagos5246/upi-transactions-2024-dataset" TargetMode="External"/><Relationship Id="rIdytm1bucvzsf00w-tky128" Type="http://schemas.openxmlformats.org/officeDocument/2006/relationships/hyperlink" Target="https://numpy.org/" TargetMode="External"/><Relationship Id="rIdkhwuxqdu4rog9oonwwbtk" Type="http://schemas.openxmlformats.org/officeDocument/2006/relationships/hyperlink" Target="https://doi.org/10.5281/zenodo.3632209" TargetMode="External"/><Relationship Id="rId8gze_hseqzyzt2wfnnqoe" Type="http://schemas.openxmlformats.org/officeDocument/2006/relationships/hyperlink" Target="https://matplotlib.org/" TargetMode="External"/><Relationship Id="rId_pvwf13vhaizgvpyamomr" Type="http://schemas.openxmlformats.org/officeDocument/2006/relationships/hyperlink" Target="https://seaborn.pydata.org/" TargetMode="External"/><Relationship Id="rId7" Type="http://schemas.openxmlformats.org/officeDocument/2006/relationships/image" Target="media/0132717a31c715ba9440aa6d29b38092990afaa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2026-07-15T11:11:04.767Z</dcterms:created>
  <dcterms:modified xsi:type="dcterms:W3CDTF">2026-07-15T11:11:04.768Z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