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r>
        <w:t xml:space="preserve"> </w:t>
      </w:r>
      <w:hyperlink r:id="rId23">
        <w:r>
          <w:rPr>
            <w:rStyle w:val="Hyperlink"/>
          </w:rPr>
          <w:t xml:space="preserve">https://user-guidance.services.alpha.mojanalytics.xyz/introduction.html#deploy-analytical-tools</w:t>
        </w:r>
      </w:hyperlink>
      <w:r>
        <w:t xml:space="preserve"> </w:t>
      </w:r>
      <w:hyperlink r:id="rId24">
        <w:r>
          <w:rPr>
            <w:rStyle w:val="Hyperlink"/>
          </w:rPr>
          <w:t xml:space="preserve">https://user-guidance.services.alpha.mojanalytics.xyz/introduction.html#open-analytical-tools</w:t>
        </w:r>
      </w:hyperlink>
      <w:r>
        <w:t xml:space="preserve"> </w:t>
      </w:r>
      <w:hyperlink r:id="rId25">
        <w:r>
          <w:rPr>
            <w:rStyle w:val="Hyperlink"/>
          </w:rPr>
          <w:t xml:space="preserve">https://user-guidance.services.alpha.mojanalytics.xyz/introduction.html#configure-git-and-github</w:t>
        </w:r>
      </w:hyperlink>
    </w:p>
    <w:p>
      <w:pPr>
        <w:pStyle w:val="BodyText"/>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8" w:name="exercises"/>
      <w:bookmarkEnd w:id="38"/>
      <w:r>
        <w:t xml:space="preserve">1.7 Exercises</w:t>
      </w:r>
    </w:p>
    <w:p>
      <w:pPr>
        <w:pStyle w:val="Compact"/>
        <w:numPr>
          <w:numId w:val="1005"/>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09"/>
          <w:ilvl w:val="0"/>
        </w:numPr>
      </w:pPr>
      <w:r>
        <w:t xml:space="preserve">Find the mean and median of the AGE variable in the offenders dataset.</w:t>
      </w:r>
    </w:p>
    <w:p>
      <w:pPr>
        <w:pStyle w:val="Compact"/>
        <w:numPr>
          <w:numId w:val="1009"/>
          <w:ilvl w:val="0"/>
        </w:numPr>
      </w:pPr>
      <w:r>
        <w:t xml:space="preserve">Find the max and min for the WEIGHT variable in the offenders dataset.</w:t>
      </w:r>
    </w:p>
    <w:p>
      <w:pPr>
        <w:pStyle w:val="Compact"/>
        <w:numPr>
          <w:numId w:val="1009"/>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grouping-and-summarising-data"/>
      <w:bookmarkEnd w:id="51"/>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2" w:name="filter"/>
      <w:bookmarkEnd w:id="52"/>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3" w:name="select"/>
      <w:bookmarkEnd w:id="53"/>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this to identify offenders who have weight under 170lbs, the mutate function is used to add a variable in to the offenders 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Using select and filter produce a table of offender’s genders who are over 2m tall.</w:t>
      </w:r>
    </w:p>
    <w:p>
      <w:pPr>
        <w:pStyle w:val="Compact"/>
        <w:numPr>
          <w:numId w:val="1011"/>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4"/>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33c9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f305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bf1bc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2020-06-01T06:45:01Z</dcterms:created>
  <dcterms:modified xsi:type="dcterms:W3CDTF">2020-06-01T06:45:01Z</dcterms:modified>
</cp:coreProperties>
</file>