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320" w:lineRule="auto" w:line="240"/>
        <w:jc w:val="center"/>
      </w:pPr>
      <w:r>
        <w:rPr>
          <w:rFonts w:ascii="PingFang SC" w:hAnsi="PingFang SC" w:eastAsia="PingFang SC"/>
          <w:b/>
          <w:color w:val="0F172A"/>
          <w:sz w:val="52"/>
        </w:rPr>
        <w:t>机器人数据采集现状报告</w:t>
      </w:r>
    </w:p>
    <w:p>
      <w:pPr>
        <w:spacing w:before="0" w:after="480" w:lineRule="auto" w:line="336"/>
        <w:jc w:val="center"/>
      </w:pPr>
      <w:r>
        <w:rPr>
          <w:rFonts w:ascii="PingFang SC" w:hAnsi="PingFang SC" w:eastAsia="PingFang SC"/>
          <w:b w:val="0"/>
          <w:color w:val="1E3A5F"/>
          <w:sz w:val="26"/>
        </w:rPr>
        <w:t>具身智能 / Physical AI 数据生态</w:t>
        <w:br/>
        <w:t>硬件选型 · 格式对比 · 外包评估</w:t>
      </w:r>
    </w:p>
    <w:p>
      <w:pPr>
        <w:spacing w:before="0" w:after="120" w:lineRule="auto" w:line="312"/>
        <w:jc w:val="center"/>
      </w:pPr>
      <w:r>
        <w:rPr>
          <w:rFonts w:ascii="PingFang SC" w:hAnsi="PingFang SC" w:eastAsia="PingFang SC"/>
          <w:b w:val="0"/>
          <w:color w:val="666666"/>
          <w:sz w:val="22"/>
        </w:rPr>
        <w:t>生成日期：2026 年 07 月 07 日</w:t>
      </w:r>
    </w:p>
    <w:p>
      <w:pPr>
        <w:spacing w:before="0" w:after="120" w:lineRule="auto" w:line="312"/>
        <w:jc w:val="center"/>
      </w:pPr>
      <w:r>
        <w:rPr>
          <w:rFonts w:ascii="PingFang SC" w:hAnsi="PingFang SC" w:eastAsia="PingFang SC"/>
          <w:b w:val="0"/>
          <w:color w:val="666666"/>
          <w:sz w:val="22"/>
        </w:rPr>
        <w:t>项目上下文：MuJoCo pickcup 抓杯任务</w:t>
      </w:r>
    </w:p>
    <w:p>
      <w:pPr>
        <w:spacing w:before="0" w:after="120" w:lineRule="auto" w:line="312"/>
        <w:jc w:val="center"/>
      </w:pPr>
      <w:r>
        <w:rPr>
          <w:rFonts w:ascii="PingFang SC" w:hAnsi="PingFang SC" w:eastAsia="PingFang SC"/>
          <w:b w:val="0"/>
          <w:color w:val="666666"/>
          <w:sz w:val="22"/>
        </w:rPr>
        <w:t>数据格式：LeRobot v3 · ACT · Residual RL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before="0" w:after="160" w:lineRule="auto" w:line="336"/>
        <w:ind w:firstLine="420"/>
      </w:pPr>
      <w:r>
        <w:rPr>
          <w:rFonts w:ascii="PingFang SC" w:hAnsi="PingFang SC" w:eastAsia="PingFang SC"/>
          <w:b w:val="0"/>
          <w:color w:val="333333"/>
          <w:sz w:val="22"/>
        </w:rPr>
        <w:t>本报告梳理 2025–2026 年机器人（具身智能）数据采集行业现状，涵盖采集方式、主要商业公司与开源生态，并补充 teleop 硬件选型指南、AgiBot World 与 DROID 数据格式差异，以及外包数据采集服务的报价评估框架。报告结合 MuJoCo pickcup 项目（scripted 示教 → LeRobot → ACT → residual RL）说明仿真采集在产业链中的位置。</w:t>
      </w:r>
    </w:p>
    <w:p>
      <w:pPr>
        <w:pStyle w:val="Heading1"/>
      </w:pPr>
      <w:r>
        <w:t>1. 为什么数据是具身智能的核心瓶颈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采集成本高：遥操作站单套约 5 万–15 万美元，需熟练操作员、场地与机器人折旧。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采集效率低：单 teleop 工位常见 &lt;200 demonstrations/天；百万级数据需工厂化运营。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质量难控：动作合理性、传感器时间对齐、成功/失败标注、长尾场景覆盖。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跨平台难复用：不同 embodiment、相机布局、控制接口不统一。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Sim-to-Real 存在 gap：仿真可规模化，但接触动力学、视觉域与真机仍有差异。</w:t>
      </w:r>
    </w:p>
    <w:p>
      <w:pPr>
        <w:spacing w:before="0" w:after="160" w:lineRule="auto" w:line="336"/>
      </w:pPr>
      <w:r>
        <w:rPr>
          <w:rFonts w:ascii="PingFang SC" w:hAnsi="PingFang SC" w:eastAsia="PingFang SC"/>
          <w:b w:val="0"/>
          <w:color w:val="333333"/>
          <w:sz w:val="22"/>
        </w:rPr>
        <w:t>行业共识：大模型时代的「燃料」在具身领域极度稀缺；数据工厂、外包服务与开源百万级数据集成为 2024–2026 年主赛道。</w:t>
      </w:r>
    </w:p>
    <w:p>
      <w:pPr>
        <w:pStyle w:val="Heading1"/>
      </w:pPr>
      <w:r>
        <w:t>2. 主流数据采集方式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36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04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587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587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587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代表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Robot Teleop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人直接控真机，记录 state-action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与部署 embodiment 一致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贵、慢、难 scale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DROID、AgiBot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Human Demo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第一人称视频 / UMI / 手套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场景多样、成本低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需跨 embodiment 迁移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Ego4D、Claru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Simulation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MuJoCo / Isaac 规则或状态机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便宜、可严格判成功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与真机有 gap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 scripted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VR Teleop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VR 控仿真或真机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灵活、部署快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动力学可能不一致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Roborax 等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HITL / RLHF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机器人试 + 人标注纠偏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适合 RL、长尾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运营复杂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Scale 等</w:t>
            </w:r>
          </w:p>
        </w:tc>
      </w:tr>
    </w:tbl>
    <w:p>
      <w:pPr>
        <w:spacing w:before="0" w:after="240" w:lineRule="auto" w:line="240"/>
      </w:pPr>
    </w:p>
    <w:p>
      <w:pPr>
        <w:spacing w:before="0" w:after="160" w:lineRule="auto" w:line="336"/>
      </w:pPr>
      <w:r>
        <w:rPr>
          <w:rFonts w:ascii="PingFang SC" w:hAnsi="PingFang SC" w:eastAsia="PingFang SC"/>
          <w:b w:val="0"/>
          <w:color w:val="333333"/>
          <w:sz w:val="22"/>
        </w:rPr>
        <w:t>行业常采用「三层金字塔」数据策略：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顶层：目标机器人 in-domain teleop（最贵、最有用）。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中层：通用臂 / 异构机 teleop（如 GELLO、Franka）。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底层：人类 egocentric / 可穿戴（规模最大，需迁移学习）。</w:t>
      </w:r>
    </w:p>
    <w:p>
      <w:pPr>
        <w:pStyle w:val="Heading1"/>
      </w:pPr>
      <w:r>
        <w:t>3. 主要数据采集公司与机构</w:t>
      </w:r>
    </w:p>
    <w:p>
      <w:pPr>
        <w:pStyle w:val="Heading2"/>
      </w:pPr>
      <w:r>
        <w:t>3.1 国际数据服务公司（外包 / 平台）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170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98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561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Scale AI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Physical AI 数据引擎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全球采集网络、teleop 站、petabyte 级 ingest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XDOF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数据 pipeline + 工具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2024 成立；GELLO 类 teleop；开源 ABC 数据集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Roborax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BPO 式交付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12 国 41 中心；专用 / 众包 / 混合；4 周上线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Human Data Co.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通用人形数据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UMI、teleop、LeRobot 兼容；HITL 标注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Humanola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Teleop + API 平台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低延迟遥操、多模态处理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Proxy Robotics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Teleop 基础设施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跨洲低延迟；数据进 ML pipeline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Claru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Human demo / 视频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 万+ 采集员；egocentric 多场景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Human Archive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多模态对齐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YC；定制硬件 + 大规模标注</w:t>
            </w:r>
          </w:p>
        </w:tc>
      </w:tr>
    </w:tbl>
    <w:p>
      <w:pPr>
        <w:spacing w:before="0" w:after="240" w:lineRule="auto" w:line="240"/>
      </w:pPr>
    </w:p>
    <w:p>
      <w:pPr>
        <w:pStyle w:val="Heading2"/>
      </w:pPr>
      <w:r>
        <w:t>3.2 中国：本体厂 + 数据工厂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智元 AgiBot：上海张江 ~2000–3000㎡ 采集工厂；开源 AgiBot World（百万级真机轨迹、850TB+）。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国地中心 / 各地人形机器人创新中心：大规模训练场与采集基地。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傅利叶、宇树等：本体 + 遥操能力；行业讨论重点在数据质量评判而非仅数量。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上海 AI Lab、库帕思等：与智元联合做数据与平台。</w:t>
      </w:r>
    </w:p>
    <w:p>
      <w:pPr>
        <w:pStyle w:val="Heading2"/>
      </w:pPr>
      <w:r>
        <w:t>3.3 开源数据集（生态基础设施）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198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55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4762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Open X-Embodiment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100 万+ episodes，22+ 机型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Google DeepMind + 33 机构；RT-X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7.6 万轨迹，564 场景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13 机构统一 Franka + Quest 2 teleop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BridgeData V2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~6 万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Berkeley / Stanford，WidowX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 World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百万级（目标）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智元人形机；家居 / 工业 / 商超等</w:t>
            </w:r>
          </w:p>
        </w:tc>
      </w:tr>
    </w:tbl>
    <w:p>
      <w:pPr>
        <w:spacing w:before="0" w:after="240" w:lineRule="auto" w:line="240"/>
      </w:pPr>
    </w:p>
    <w:p>
      <w:pPr>
        <w:pStyle w:val="Heading2"/>
      </w:pPr>
      <w:r>
        <w:t>3.4 行业趋势（2025–2026）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从实验室小批量 → 工厂化 BPO（Roborax、Scale、XDOF）。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Teleop 仍是 gold standard；egocentric 视频用于预训练 + 少量 in-domain fine-tune。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质量 &gt; 数量：对抗式采集、长尾补采、多轮 QA 成为差异化能力。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格式标准化加速：LeRobot v2/v3、RLDS、HDF5；交付需直接进训练 pipeline。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中国路径：物理数据工厂 + 政府推动 + 开源抢生态；美国路径：startup 卖 data-as-a-service。</w:t>
      </w:r>
    </w:p>
    <w:p>
      <w:pPr>
        <w:pStyle w:val="Heading1"/>
      </w:pPr>
      <w:r>
        <w:t>4. 与 MuJoCo pickcup 项目的对照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170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pickcup 项目</w:t>
            </w:r>
          </w:p>
        </w:tc>
        <w:tc>
          <w:tcPr>
            <w:tcW w:type="dxa" w:w="3912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工业级采集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采集方式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MuJoCo scripted 状态机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真机 teleop 工厂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200 条成功 episode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10⁴–10⁶ 条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观测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8 维 proprio + head_camera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多相机 + 力 / 触觉等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成本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电费 + CPU 训练时间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场地 + 机器人 + 人力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目标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跑通 IL/RL 链路、算法验证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训 VLA / 通用人形</w:t>
            </w:r>
          </w:p>
        </w:tc>
      </w:tr>
    </w:tbl>
    <w:p>
      <w:pPr>
        <w:spacing w:before="0" w:after="240" w:lineRule="auto" w:line="240"/>
      </w:pPr>
    </w:p>
    <w:p>
      <w:pPr>
        <w:spacing w:before="0" w:after="160" w:lineRule="auto" w:line="336"/>
      </w:pPr>
      <w:r>
        <w:rPr>
          <w:rFonts w:ascii="PingFang SC" w:hAnsi="PingFang SC" w:eastAsia="PingFang SC"/>
          <w:b w:val="0"/>
          <w:color w:val="333333"/>
          <w:sz w:val="22"/>
        </w:rPr>
        <w:t>pickcup 使用 LeRobot v3：observation.images.head_camera（640×480, 30fps）、observation.state / action 均为 8 维（腰 + 右臂 + 夹爪，不含杯位姿）。这是产业链中最轻量、最适合原型验证的一层。</w:t>
      </w:r>
    </w:p>
    <w:p>
      <w:r>
        <w:br w:type="page"/>
      </w:r>
    </w:p>
    <w:p>
      <w:pPr>
        <w:pStyle w:val="Heading1"/>
      </w:pPr>
      <w:r>
        <w:t>5. Teleop 硬件选型指南</w:t>
      </w:r>
    </w:p>
    <w:p>
      <w:pPr>
        <w:spacing w:before="0" w:after="160" w:lineRule="auto" w:line="336"/>
      </w:pPr>
      <w:r>
        <w:rPr>
          <w:rFonts w:ascii="PingFang SC" w:hAnsi="PingFang SC" w:eastAsia="PingFang SC"/>
          <w:b w:val="0"/>
          <w:color w:val="333333"/>
          <w:sz w:val="22"/>
        </w:rPr>
        <w:t>选型核心问题：你需要的是「与目标机器人 action 空间对齐的真机轨迹」，还是「大规模人类行为视频」？前者选 leader-follower 或同构 teleop；后者选 UMI / egocentric 可穿戴。</w:t>
      </w:r>
    </w:p>
    <w:p>
      <w:pPr>
        <w:pStyle w:val="Heading2"/>
      </w:pPr>
      <w:r>
        <w:t>5.1 主流方案对比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47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5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13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典型成本</w:t>
            </w:r>
          </w:p>
        </w:tc>
        <w:tc>
          <w:tcPr>
            <w:tcW w:type="dxa" w:w="136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数据质量</w:t>
            </w:r>
          </w:p>
        </w:tc>
        <w:tc>
          <w:tcPr>
            <w:tcW w:type="dxa" w:w="2608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ALOHA / ALOHA 2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双 WidowX leader → ViperX follower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~$20k–30k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高；双臂精细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固定工位 bimanual IL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GELLO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3D 打印同构控制器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~$1k–5k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中高；单臂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实验室 teleop，XDOF 生态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UMI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手持夹爪 + 相机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~$数百–数千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中；需迁移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in-the-wild 人类 demo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Quest 2 + Franka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VR 手柄控臂（DROID）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~$50k+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高；单臂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分布式多场景采集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VR / 外骨骼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非同构映射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视方案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中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人形机、远程 teleop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键盘 / 关节增量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软件 teleop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几乎为 0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低–中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仿真调试（pickcup）</w:t>
            </w:r>
          </w:p>
        </w:tc>
      </w:tr>
    </w:tbl>
    <w:p>
      <w:pPr>
        <w:spacing w:before="0" w:after="240" w:lineRule="auto" w:line="240"/>
      </w:pPr>
    </w:p>
    <w:p>
      <w:pPr>
        <w:pStyle w:val="Heading2"/>
      </w:pPr>
      <w:r>
        <w:t>5.2 选型决策树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目标机器人已确定 + 需要直接 BC/VLA 训练 → leader-follower（ALOHA/GELLO）或 OEM teleop。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需要快速覆盖多场景、预算有限 → UMI / egocentric + 迁移学习；后续补少量 in-domain teleop。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双臂精细操作（折叠、插入）→ ALOHA 2 类 bimanual 工位。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分布式、多地理场景 → DROID 式标准化硬件（Franka + 相机 + Quest）。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人形 / 全尺寸 → VR teleop 或外骨骼；通常外包 Roborax / Proxy / Scale。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仅算法验证 / 无真机 → MuJoCo scripted（pickcup）或 ALOHA 2 仿真采集。</w:t>
      </w:r>
    </w:p>
    <w:p>
      <w:pPr>
        <w:pStyle w:val="Heading2"/>
      </w:pPr>
      <w:r>
        <w:t>5.3 硬件选型检查清单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Action 空间是否与策略输出一致（关节角 vs EEF pose vs delta）？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相机数量、分辨率、内外参标定是否满足 VLA 需求？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控制频率（通常 10–30 Hz）与时间戳对齐方案？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数据导出格式：HDF5 / RLDS / LeRobot v2/v3？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成功 / 失败判定：人工 discard 还是自动检测？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工位吞吐量：目标 episodes/天/站？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维护与备件：长时间采集的可靠性。</w:t>
      </w:r>
    </w:p>
    <w:p>
      <w:pPr>
        <w:pStyle w:val="Heading1"/>
      </w:pPr>
      <w:r>
        <w:t>6. AgiBot World vs DROID 格式差异</w:t>
      </w:r>
    </w:p>
    <w:p>
      <w:pPr>
        <w:pStyle w:val="Heading2"/>
      </w:pPr>
      <w:r>
        <w:t>6.1 数据集概览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170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DROID</w:t>
            </w:r>
          </w:p>
        </w:tc>
        <w:tc>
          <w:tcPr>
            <w:tcW w:type="dxa" w:w="4479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AgiBot World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主导机构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13 北美研究机构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智元 + 上海 AI Lab + 国地中心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统一 Franka Panda 7DoF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智元人形机（多 DOF）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~76k 轨迹，564 场景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百万级轨迹（分批发布）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采集方式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Quest 2 VR teleop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手柄遥操 + 工厂 QA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任务特点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桌面 manipulation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长程任务 60–150s，80+ 技能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开源许可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CC-BY 4.0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研究开源（见各子集）</w:t>
            </w:r>
          </w:p>
        </w:tc>
      </w:tr>
    </w:tbl>
    <w:p>
      <w:pPr>
        <w:spacing w:before="0" w:after="240" w:lineRule="auto" w:line="240"/>
      </w:pPr>
    </w:p>
    <w:p>
      <w:pPr>
        <w:pStyle w:val="Heading2"/>
      </w:pPr>
      <w:r>
        <w:t>6.2 原生存储格式</w:t>
      </w:r>
    </w:p>
    <w:p>
      <w:pPr>
        <w:spacing w:before="40" w:after="200" w:lineRule="auto" w:line="288"/>
        <w:jc w:val="left"/>
      </w:pPr>
      <w:r>
        <w:rPr>
          <w:rFonts w:ascii="PingFang SC" w:hAnsi="PingFang SC" w:eastAsia="PingFang SC"/>
          <w:b/>
          <w:color w:val="666666"/>
          <w:sz w:val="19"/>
        </w:rPr>
        <w:t>DROID（原生）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RLDS / TFRecord 为主；LeRobot 提供 droid_1.0.1（v3 parquet + mp4）转换版。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相机：2× Zed 2 外部 + 1× Zed Mini 腕部；控制 10–15 Hz。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观测：关节状态 + 多路 RGB；动作：相对/绝对 EEF 或 joint。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语言：每 episode 多条 instruction 变体。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特点：跨 13 站点硬件完全一致，场景多样性是核心卖点。</w:t>
      </w:r>
    </w:p>
    <w:p>
      <w:pPr>
        <w:spacing w:before="40" w:after="200" w:lineRule="auto" w:line="288"/>
        <w:jc w:val="left"/>
      </w:pPr>
      <w:r>
        <w:rPr>
          <w:rFonts w:ascii="PingFang SC" w:hAnsi="PingFang SC" w:eastAsia="PingFang SC"/>
          <w:b/>
          <w:color w:val="666666"/>
          <w:sz w:val="19"/>
        </w:rPr>
        <w:t>AgiBot World（原生）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目录：task_id / episode_id / proprio_stats.h5 + task_*.json。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H5 内嵌丰富 proprio：joint、effector、EEF pose/wrench、head、waist 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JSON 含 skill 分段（Pick/Place）、object、帧级 keyframe。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Alpha/Beta 需脚本转 LeRobot；AgiBotWorld2026 已提供 v2.1 结构。</w:t>
      </w:r>
    </w:p>
    <w:p>
      <w:pPr>
        <w:pStyle w:val="Heading2"/>
      </w:pPr>
      <w:r>
        <w:t>6.3 LeRobot 格式对照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136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04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DROID</w:t>
            </w:r>
          </w:p>
        </w:tc>
        <w:tc>
          <w:tcPr>
            <w:tcW w:type="dxa" w:w="204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AgiBot</w:t>
            </w:r>
          </w:p>
        </w:tc>
        <w:tc>
          <w:tcPr>
            <w:tcW w:type="dxa" w:w="204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pickcup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robot_type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franka / OXE tag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unitree_g1_23dof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图像键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exterior_*, wrist_*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observation.images.*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head_camera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state 维度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关节 / EEF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高维（腰+臂+头+手）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8 维 proprio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action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joint 或 EEF delta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全关节目标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8 维关节目标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fps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通常 15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30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30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版本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v2/v3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v2.0–v2.1 / 需转 v3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v3</w:t>
            </w:r>
          </w:p>
        </w:tc>
      </w:tr>
    </w:tbl>
    <w:p>
      <w:pPr>
        <w:spacing w:before="0" w:after="240" w:lineRule="auto" w:line="240"/>
      </w:pPr>
    </w:p>
    <w:p>
      <w:pPr>
        <w:pStyle w:val="Heading2"/>
      </w:pPr>
      <w:r>
        <w:t>6.4 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训练 ACT/π0/GR00T：确认 embodiment tag 与数据集一致，不可混用 action 语义。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AgiBot 原生 H5：需 embodied-data 或官方脚本转 LeRobot。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DROID：优先用 LeRobot droid_1.0.1；注意 video key 与 model config 映射。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迁移到 G1 pickcup：不能零样本部署；仅作 pretrain 或架构参考。</w:t>
      </w:r>
    </w:p>
    <w:p>
      <w:r>
        <w:br w:type="page"/>
      </w:r>
    </w:p>
    <w:p>
      <w:pPr>
        <w:pStyle w:val="Heading1"/>
      </w:pPr>
      <w:r>
        <w:t>7. 外包数据采集报价评估框架</w:t>
      </w:r>
    </w:p>
    <w:p>
      <w:pPr>
        <w:spacing w:before="0" w:after="160" w:lineRule="auto" w:line="336"/>
      </w:pPr>
      <w:r>
        <w:rPr>
          <w:rFonts w:ascii="PingFang SC" w:hAnsi="PingFang SC" w:eastAsia="PingFang SC"/>
          <w:b w:val="0"/>
          <w:color w:val="333333"/>
          <w:sz w:val="22"/>
        </w:rPr>
        <w:t>外包报价差异巨大（从数千美元 pilot 到百万美元年度合同）。评估时应拆分为：数据采集、标注、格式转换、IP 归属、SLA、复采与 exclusivity。</w:t>
      </w:r>
    </w:p>
    <w:p>
      <w:pPr>
        <w:pStyle w:val="Heading2"/>
      </w:pPr>
      <w:r>
        <w:t>7.1 报价模型常见类型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2268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计费方式</w:t>
            </w:r>
          </w:p>
        </w:tc>
        <w:tc>
          <w:tcPr>
            <w:tcW w:type="dxa" w:w="255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典型区间（参考）</w:t>
            </w:r>
          </w:p>
        </w:tc>
        <w:tc>
          <w:tcPr>
            <w:tcW w:type="dxa" w:w="4479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适用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按 demonstration 条数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$10–$80 / 条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teleop 真机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按采集小时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$80–$300 / 小时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BPO 模式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按 episode + QA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含 discard 率溢价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高质量工业场景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Pilot 包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$2.5k–$20k / 200–500 条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验证供应商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年度框架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按 TB 或百万帧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大规模 pretrain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  <w:jc w:val="left"/>
      </w:pPr>
      <w:r>
        <w:rPr>
          <w:rFonts w:ascii="PingFang SC" w:hAnsi="PingFang SC" w:eastAsia="PingFang SC"/>
          <w:b/>
          <w:color w:val="666666"/>
          <w:sz w:val="19"/>
        </w:rPr>
        <w:t>注：以上为 2025–2026 公开市场参考区间，实际需 RFP 询价。</w:t>
      </w:r>
    </w:p>
    <w:p>
      <w:pPr>
        <w:pStyle w:val="Heading2"/>
      </w:pPr>
      <w:r>
        <w:t>7.2 评估维度（RFI/RFP 检查清单）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Embodiment 匹配：是否在目标机器人上采集？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场景覆盖：场景数、物体数、长尾任务比例。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吞吐量：每工位 episodes/天；上线时间线。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QA 流程：discard 率、审核标准、时间对齐校验。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交付格式：LeRobot v2/v3、RLDS、HDF5；是否含 stats.json。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IP 与 exclusivity：数据是否独家？能否开源 / 发论文？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合规：GDPR、数据出境、生物特征脱敏。</w:t>
      </w:r>
    </w:p>
    <w:p>
      <w:pPr>
        <w:pStyle w:val="Heading2"/>
      </w:pPr>
      <w:r>
        <w:t>7.3 性价比计算建议</w:t>
      </w:r>
    </w:p>
    <w:p>
      <w:pPr>
        <w:spacing w:before="0" w:after="160" w:lineRule="auto" w:line="336"/>
        <w:ind w:firstLine="420"/>
      </w:pPr>
      <w:r>
        <w:rPr>
          <w:rFonts w:ascii="PingFang SC" w:hAnsi="PingFang SC" w:eastAsia="PingFang SC"/>
          <w:b w:val="0"/>
          <w:color w:val="333333"/>
          <w:sz w:val="22"/>
        </w:rPr>
        <w:t>有效成本 = 总报价 ÷ (合格 episodes × 平均有效帧数 × 任务覆盖系数)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任务覆盖系数：单场景 0.3–0.5；多场景长尾齐全接近 1.0。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Break-even：&lt;5000 条一次性需求，外包 pilot 通常优于自建 ALOHA。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&gt;100k 条且 embodiment 固定：自建工厂 + 外包 QA 混合更常见。</w:t>
      </w:r>
    </w:p>
    <w:p>
      <w:pPr>
        <w:pStyle w:val="Heading2"/>
      </w:pPr>
      <w:r>
        <w:t>7.4 Red Flags（避坑）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仅承诺「小时数」不承诺合格条数或 success 定义。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无法提供 sample episode 做格式验证。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action/observation 语义文档缺失。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多相机时间戳不同步。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只做 egocentric 视频却按 teleop 价格报价。</w:t>
      </w:r>
    </w:p>
    <w:p>
      <w:pPr>
        <w:pStyle w:val="Heading2"/>
      </w:pPr>
      <w:r>
        <w:t>7.5 推荐采购路径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170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252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3345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预算量级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算法验证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仿真 scripted + 开源小集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$0–1k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PoC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外包 pilot 200–500 条 或 GELLO 自建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$2k–30k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Product baseline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1–5 工位 teleop 或 hybrid 外包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$50k–500k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Foundation pretrain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Scale/XDOF 框架 + OXE/AgiBot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$1M+</w:t>
            </w:r>
          </w:p>
        </w:tc>
      </w:tr>
    </w:tbl>
    <w:p>
      <w:pPr>
        <w:spacing w:before="0" w:after="240" w:lineRule="auto" w:line="240"/>
      </w:pPr>
    </w:p>
    <w:p>
      <w:pPr>
        <w:pStyle w:val="Heading1"/>
      </w:pPr>
      <w:r>
        <w:t>8. 结论与建议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数据采集正从 lab 自给自足变为工厂化、平台化。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Teleop 硬件选型取决于 embodiment 对齐 vs 规模需求。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AgiBot 与 DROID 格式差异大，训练前必须统一 schema。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外包评估应基于合格 episode 有效成本。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pickcup：ACT eval baseline 后再决定是否真机补数据或 residual RL。</w:t>
      </w:r>
    </w:p>
    <w:p>
      <w:pPr>
        <w:pStyle w:val="Heading1"/>
      </w:pPr>
      <w:r>
        <w:t>参考资料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DROID: https://droid-dataset.github.io/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Open X-Embodiment: https://robotics-transformer-x.github.io/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AgiBot World: https://huggingface.co/agibot-world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Scale Physical AI: https://scale.com/physical-ai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Roborax: https://www.roborax.ai/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ALOHA 2: https://aloha-2.github.io/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LeRobot: https://github.com/huggingface/lerobot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本项目 picktask/readme.md</w:t>
      </w:r>
    </w:p>
    <w:sectPr w:rsidR="00FC693F" w:rsidRPr="0006063C" w:rsidSect="00034616">
      <w:pgSz w:w="11906" w:h="16838"/>
      <w:pgMar w:top="141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24"/>
    </w:pPr>
    <w:rPr>
      <w:rFonts w:ascii="PingFang SC" w:hAnsi="PingFang SC" w:eastAsia="PingFang S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Rule="auto" w:line="288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Rule="auto" w:line="288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Rule="auto" w:line="288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D4A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Rule="auto" w:line="312"/>
      <w:contextualSpacing/>
    </w:pPr>
    <w:rPr>
      <w:rFonts w:ascii="PingFang SC" w:hAnsi="PingFang SC" w:eastAsia="PingFang SC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