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Style w:val="MdHeading1"/>
      </w:pPr>
      <w:r>
        <w:t xml:space="preserve">商品买卖合同</w:t>
      </w:r>
    </w:p>
    <w:p>
      <w:pPr>
        <w:pStyle w:val="MdParagraph"/>
      </w:pPr>
      <w:r>
        <w:t xml:space="preserve">甲方：深圳市恒远贸易有限公司（卖方，以下简称"甲方"）</w:t>
      </w:r>
    </w:p>
    <w:p>
      <w:pPr>
        <w:pStyle w:val="MdSpace"/>
      </w:pPr>
    </w:p>
    <w:p>
      <w:pPr>
        <w:pStyle w:val="MdParagraph"/>
      </w:pPr>
      <w:r>
        <w:t xml:space="preserve">乙方：广州市荣兴实业股份有限公司（买方，以下简称"乙方"）</w:t>
      </w:r>
    </w:p>
    <w:p>
      <w:pPr>
        <w:pStyle w:val="MdSpace"/>
      </w:pPr>
    </w:p>
    <w:p>
      <w:pPr>
        <w:pStyle w:val="MdParagraph"/>
      </w:pPr>
      <w:r>
        <w:t xml:space="preserve">甲乙双方经平等协商，依据《中华人民共和国民法典》及相关法律法规，签订本合同。</w:t>
      </w:r>
    </w:p>
    <w:p>
      <w:pPr>
        <w:pStyle w:val="MdSpace"/>
      </w:pPr>
    </w:p>
    <w:p>
      <w:pPr>
        <w:pStyle w:val="Heading2"/>
        <w:pStyle w:val="MdHeading2"/>
      </w:pPr>
      <w:r>
        <w:t xml:space="preserve">第一条 商品基本信息</w:t>
      </w:r>
    </w:p>
    <w:p>
      <w:pPr>
        <w:pStyle w:val="MdParagraph"/>
      </w:pPr>
      <w:r>
        <w:t xml:space="preserve">甲方向乙方出售工业级不锈钢管材（型号：SUS304-DN50，壁厚3mm），规格及数量如下：总计500吨，单价人民币18500元/吨，合同总价款人民币9250000元（大写：玖佰贰拾伍万元整）。商品技术标准须符合GB/T 14976-2012国家标准。</w:t>
      </w:r>
    </w:p>
    <w:p>
      <w:pPr>
        <w:pStyle w:val="MdSpace"/>
      </w:pPr>
    </w:p>
    <w:p>
      <w:pPr>
        <w:pStyle w:val="Heading2"/>
        <w:pStyle w:val="MdHeading2"/>
      </w:pPr>
      <w:r>
        <w:t xml:space="preserve">第二条 交货方式与时间</w:t>
      </w:r>
    </w:p>
    <w:p>
      <w:pPr>
        <w:pStyle w:val="MdParagraph"/>
      </w:pPr>
      <w:r>
        <w:t xml:space="preserve">甲方负责将商品送达至乙方指定仓库（广州市番禺区石楼镇迎宾路工业园C区5号仓）。分批次交货：2024年5月31日前交付250吨，2024年7月31日前交付剩余250吨。每批次交货前3日，甲方应提前通知乙方做好接收准备。</w:t>
      </w:r>
    </w:p>
    <w:p>
      <w:pPr>
        <w:pStyle w:val="MdSpace"/>
      </w:pPr>
    </w:p>
    <w:p>
      <w:pPr>
        <w:pStyle w:val="Heading2"/>
        <w:pStyle w:val="MdHeading2"/>
      </w:pPr>
      <w:r>
        <w:t xml:space="preserve">第三条 付款方式</w:t>
      </w:r>
    </w:p>
    <w:p>
      <w:pPr>
        <w:pStyle w:val="MdParagraph"/>
      </w:pPr>
      <w:r>
        <w:t xml:space="preserve">合同签订后5个工作日内，乙方支付合同总价款30%作为定金，即人民币2775000元；第一批货物验收合格后7日内，乙方支付第二批货款人民币2775000元；第二批货物验收合格后7日内，乙方支付尾款人民币3700000元。逾期付款的，乙方按逾期金额的日万分之五支付违约金。</w:t>
      </w:r>
    </w:p>
    <w:p>
      <w:pPr>
        <w:pStyle w:val="MdSpace"/>
      </w:pPr>
    </w:p>
    <w:p>
      <w:pPr>
        <w:pStyle w:val="Heading2"/>
        <w:pStyle w:val="MdHeading2"/>
      </w:pPr>
      <w:r>
        <w:t xml:space="preserve">第四条 质量保证与验收</w:t>
      </w:r>
    </w:p>
    <w:p>
      <w:pPr>
        <w:pStyle w:val="MdParagraph"/>
      </w:pPr>
      <w:r>
        <w:t xml:space="preserve">商品交付时须附带质量检验报告、材质证明及合格证。乙方收货后7个工作日内完成验收，如发现不符合约定标准的，应立即书面通知甲方；甲方应在收到通知后10日内更换合格产品或退款。乙方未在期限内提出异议，视为验收合格。</w:t>
      </w:r>
    </w:p>
    <w:p>
      <w:pPr>
        <w:pStyle w:val="MdSpace"/>
      </w:pPr>
    </w:p>
    <w:p>
      <w:pPr>
        <w:pStyle w:val="Heading2"/>
        <w:pStyle w:val="MdHeading2"/>
      </w:pPr>
      <w:r>
        <w:t xml:space="preserve">第五条 所有权与风险转移</w:t>
      </w:r>
    </w:p>
    <w:p>
      <w:pPr>
        <w:pStyle w:val="MdParagraph"/>
      </w:pPr>
      <w:r>
        <w:t xml:space="preserve">商品所有权及风险自实际交付至乙方仓库并完成签收时起转移给乙方。在所有权转移前，甲方对商品的灭失、毁损承担责任，但因乙方原因造成的损失除外。</w:t>
      </w:r>
    </w:p>
    <w:p>
      <w:pPr>
        <w:pStyle w:val="MdSpace"/>
      </w:pPr>
    </w:p>
    <w:p>
      <w:pPr>
        <w:pStyle w:val="Heading2"/>
        <w:pStyle w:val="MdHeading2"/>
      </w:pPr>
      <w:r>
        <w:t xml:space="preserve">第六条 违约责任</w:t>
      </w:r>
    </w:p>
    <w:p>
      <w:pPr>
        <w:pStyle w:val="MdParagraph"/>
      </w:pPr>
      <w:r>
        <w:t xml:space="preserve">甲方迟延交货的，每逾期一日按逾期商品货值的千分之二向乙方支付违约金，逾期超过30日乙方有权解除合同并要求甲方承担全部损失。乙方无故拒收或迟延付款超过15日，甲方有权解除合同，并要求乙方赔偿合同总价款20%的违约金及储运费等损失。</w:t>
      </w:r>
    </w:p>
    <w:p>
      <w:pPr>
        <w:pStyle w:val="MdSpace"/>
      </w:pPr>
    </w:p>
    <w:p>
      <w:pPr>
        <w:pStyle w:val="Heading2"/>
        <w:pStyle w:val="MdHeading2"/>
      </w:pPr>
      <w:r>
        <w:t xml:space="preserve">第七条 不可抗力</w:t>
      </w:r>
    </w:p>
    <w:p>
      <w:pPr>
        <w:pStyle w:val="MdParagraph"/>
      </w:pPr>
      <w:r>
        <w:t xml:space="preserve">因地震、洪水、战争、政府政策调整等不可抗力致使合同无法履行的，遭受不可抗力的一方应在5日内书面通知对方，并在15日内提供相关证明文件。双方协商确定延期履行或解除合同，互不追究违约责任。</w:t>
      </w:r>
    </w:p>
    <w:p>
      <w:pPr>
        <w:pStyle w:val="MdSpace"/>
      </w:pPr>
    </w:p>
    <w:p>
      <w:pPr>
        <w:pStyle w:val="Heading2"/>
        <w:pStyle w:val="MdHeading2"/>
      </w:pPr>
      <w:r>
        <w:t xml:space="preserve">第八条 争议解决</w:t>
      </w:r>
    </w:p>
    <w:p>
      <w:pPr>
        <w:pStyle w:val="MdParagraph"/>
      </w:pPr>
      <w:r>
        <w:t xml:space="preserve">本合同项下的争议，首先通过友好协商解决；协商不成的，提交深圳国际仲裁院进行仲裁，仲裁裁决为终局裁决。</w:t>
      </w:r>
    </w:p>
    <w:p>
      <w:pPr>
        <w:pStyle w:val="MdSpace"/>
      </w:pPr>
    </w:p>
    <w:p>
      <w:pPr>
        <w:pStyle w:val="MdParagraph"/>
      </w:pPr>
      <w:r>
        <w:t xml:space="preserve">签订日期：2024年4月15日</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lvl>
    <w:lvl w:ilvl="1" w15:tentative="1">
      <w:start w:val="1"/>
      <w:numFmt w:val="decimal"/>
      <w:lvlText w:val="%1.%2"/>
      <w:lvlJc w:val="start"/>
    </w:lvl>
    <w:lvl w:ilvl="2" w15:tentative="1">
      <w:start w:val="1"/>
      <w:numFmt w:val="decimal"/>
      <w:lvlText w:val="%1.%2.%3"/>
      <w:lvlJc w:val="start"/>
    </w:lvl>
    <w:lvl w:ilvl="3" w15:tentative="1">
      <w:start w:val="1"/>
      <w:numFmt w:val="decimal"/>
      <w:lvlText w:val="%4)"/>
      <w:lvlJc w:val="start"/>
    </w:lvl>
    <w:lvl w:ilvl="4" w15:tentative="1">
      <w:start w:val="1"/>
      <w:numFmt w:val="decimal"/>
      <w:lvlText w:val="%5)"/>
      <w:lvlJc w:val="start"/>
    </w:lvl>
    <w:lvl w:ilvl="5" w15:tentative="1">
      <w:start w:val="1"/>
      <w:numFmt w:val="decimal"/>
      <w:lvlText w:val="%6)"/>
      <w:lvlJc w:val="start"/>
    </w:lvl>
    <w:lvl w:ilvl="6" w15:tentative="1">
      <w:start w:val="1"/>
      <w:numFmt w:val="decimal"/>
      <w:lvlText w:val="%7)"/>
      <w:lvlJc w:val="start"/>
    </w:lvl>
    <w:lvl w:ilvl="7" w15:tentative="1">
      <w:start w:val="1"/>
      <w:numFmt w:val="decimal"/>
      <w:lvlText w:val="%8)"/>
      <w:lvlJc w:val="start"/>
    </w:lvl>
    <w:lvl w:ilvl="8" w15:tentative="1">
      <w:start w:val="1"/>
      <w:numFmt w:val="decimal"/>
      <w:lvlText w:val="%9)"/>
      <w:lvlJc w:val="start"/>
    </w:lvl>
  </w:abstractNum>
  <w:abstractNum w:abstractNumId="3" w15:restartNumberingAfterBreak="0">
    <w:multiLevelType w:val="hybridMultilevel"/>
    <w:lvl w:ilvl="0" w15:tentative="1">
      <w:start w:val="1"/>
      <w:numFmt w:val="bullet"/>
      <w:lvlText w:val="•"/>
      <w:lvlJc w:val="start"/>
    </w:lvl>
    <w:lvl w:ilvl="1" w15:tentative="1">
      <w:start w:val="1"/>
      <w:numFmt w:val="bullet"/>
      <w:lvlText w:val="■"/>
      <w:lvlJc w:val="start"/>
    </w:lvl>
    <w:lvl w:ilvl="2" w15:tentative="1">
      <w:start w:val="1"/>
      <w:numFmt w:val="bullet"/>
      <w:lvlText w:val="▶"/>
      <w:lvlJc w:val="start"/>
    </w:lvl>
    <w:lvl w:ilvl="3" w15:tentative="1">
      <w:start w:val="1"/>
      <w:numFmt w:val="bullet"/>
      <w:lvlText w:val="▲"/>
      <w:lvlJc w:val="start"/>
    </w:lvl>
    <w:lvl w:ilvl="4" w15:tentative="1">
      <w:start w:val="1"/>
      <w:numFmt w:val="bullet"/>
      <w:lvlText w:val="◆"/>
      <w:lvlJc w:val="start"/>
    </w:lvl>
    <w:lvl w:ilvl="5" w15:tentative="1">
      <w:start w:val="1"/>
      <w:numFmt w:val="bullet"/>
      <w:lvlText w:val="●"/>
      <w:lvlJc w:val="start"/>
    </w:lvl>
    <w:lvl w:ilvl="6" w15:tentative="1">
      <w:start w:val="1"/>
      <w:numFmt w:val="bullet"/>
      <w:lvlText w:val="□"/>
      <w:lvlJc w:val="start"/>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4"/>
        <w:szCs w:val="24"/>
      </w:rPr>
    </w:rPrDefault>
    <w:pPrDefault>
      <w:pPr>
        <w:spacing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pPr>
      <w:keepNext/>
      <w:spacing w:after="240" w:before="480"/>
      <w:outlineLvl w:val="0"/>
    </w:pPr>
    <w:rPr>
      <w:b/>
      <w:bCs/>
      <w:color w:val="2F5597"/>
      <w:sz w:val="36"/>
      <w:szCs w:val="36"/>
    </w:rPr>
  </w:style>
  <w:style w:type="paragraph" w:styleId="Heading2">
    <w:name w:val="Heading 2"/>
    <w:basedOn w:val="Normal"/>
    <w:next w:val="Normal"/>
    <w:qFormat/>
    <w:pPr>
      <w:keepNext/>
      <w:spacing w:after="200" w:before="400"/>
      <w:outlineLvl w:val="1"/>
    </w:pPr>
    <w:rPr>
      <w:b/>
      <w:bCs/>
      <w:color w:val="5B9BD5"/>
      <w:sz w:val="32"/>
      <w:szCs w:val="32"/>
    </w:rPr>
  </w:style>
  <w:style w:type="paragraph" w:styleId="Heading3">
    <w:name w:val="Heading 3"/>
    <w:basedOn w:val="Normal"/>
    <w:next w:val="Normal"/>
    <w:qFormat/>
    <w:pPr>
      <w:keepNext/>
      <w:spacing w:after="160" w:before="320"/>
      <w:outlineLvl w:val="2"/>
    </w:pPr>
    <w:rPr>
      <w:b/>
      <w:bCs/>
      <w:color w:val="44546A"/>
      <w:sz w:val="28"/>
      <w:szCs w:val="28"/>
    </w:rPr>
  </w:style>
  <w:style w:type="paragraph" w:styleId="Heading4">
    <w:name w:val="Heading 4"/>
    <w:basedOn w:val="Normal"/>
    <w:next w:val="Normal"/>
    <w:qFormat/>
    <w:pPr>
      <w:keepNext/>
      <w:spacing w:after="140" w:before="280"/>
      <w:outlineLvl w:val="3"/>
    </w:pPr>
    <w:rPr>
      <w:b/>
      <w:bCs/>
      <w:color w:val="44546A"/>
      <w:sz w:val="26"/>
      <w:szCs w:val="26"/>
    </w:rPr>
  </w:style>
  <w:style w:type="paragraph" w:styleId="Heading5">
    <w:name w:val="Heading 5"/>
    <w:basedOn w:val="Normal"/>
    <w:next w:val="Normal"/>
    <w:qFormat/>
    <w:pPr>
      <w:keepNext/>
      <w:spacing w:after="120" w:before="240"/>
      <w:outlineLvl w:val="4"/>
    </w:pPr>
    <w:rPr>
      <w:b/>
      <w:bCs/>
      <w:i/>
      <w:iCs/>
      <w:color w:val="44546A"/>
      <w:sz w:val="24"/>
      <w:szCs w:val="24"/>
    </w:rPr>
  </w:style>
  <w:style w:type="paragraph" w:styleId="Heading6">
    <w:name w:val="Heading 6"/>
    <w:basedOn w:val="Normal"/>
    <w:next w:val="Normal"/>
    <w:qFormat/>
    <w:pPr>
      <w:keepNext/>
      <w:spacing w:after="120" w:before="240"/>
      <w:outlineLvl w:val="5"/>
    </w:pPr>
    <w:rPr>
      <w:b w:val="false"/>
      <w:bCs w:val="false"/>
      <w:i/>
      <w:iCs/>
      <w:color w:val="44546A"/>
      <w:sz w:val="24"/>
      <w:szCs w:val="24"/>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MdSpace">
    <w:name w:val="MdSpace"/>
    <w:basedOn w:val="Normal"/>
    <w:next w:val="Normal"/>
    <w:qFormat/>
    <w:pPr>
      <w:spacing w:after="0" w:before="0"/>
    </w:pPr>
    <w:rPr>
      <w:sz w:val="12"/>
      <w:szCs w:val="12"/>
    </w:rPr>
  </w:style>
  <w:style w:type="paragraph" w:styleId="MdCode">
    <w:name w:val="MdCode"/>
    <w:basedOn w:val="Normal"/>
    <w:next w:val="Normal"/>
    <w:qFormat/>
    <w:pPr>
      <w:pBdr>
        <w:top w:val="single" w:color="A5A5A5" w:sz="1" w:space="8"/>
        <w:bottom w:val="single" w:color="A5A5A5" w:sz="1" w:space="8"/>
        <w:left w:val="single" w:color="A5A5A5" w:sz="1" w:space="8"/>
        <w:right w:val="single" w:color="A5A5A5" w:sz="1" w:space="8"/>
      </w:pBdr>
      <w:shd w:fill="f6f6f7"/>
      <w:spacing w:after="200" w:before="200"/>
    </w:pPr>
    <w:rPr>
      <w:rFonts w:ascii="Courier New" w:cs="Courier New" w:eastAsia="Courier New" w:hAnsi="Courier New"/>
      <w:color w:val="032F62"/>
      <w:sz w:val="22"/>
      <w:szCs w:val="22"/>
    </w:rPr>
  </w:style>
  <w:style w:type="paragraph" w:styleId="MdHr">
    <w:name w:val="MdHr"/>
    <w:basedOn w:val="Normal"/>
    <w:next w:val="Normal"/>
    <w:qFormat/>
    <w:pPr>
      <w:pBdr>
        <w:bottom w:val="single" w:color="D9D9D9" w:sz="1" w:space="1"/>
      </w:pBdr>
      <w:spacing w:after="240" w:before="240"/>
    </w:pPr>
  </w:style>
  <w:style w:type="paragraph" w:styleId="MdBlockquote">
    <w:name w:val="MdBlockquote"/>
    <w:basedOn w:val="Normal"/>
    <w:next w:val="Normal"/>
    <w:qFormat/>
    <w:pPr>
      <w:pBdr>
        <w:left w:val="single" w:color="666666" w:sz="20" w:space="12"/>
      </w:pBdr>
      <w:shd w:fill="F9F9F9"/>
      <w:spacing w:after="200" w:before="200"/>
      <w:ind w:left="360"/>
    </w:pPr>
    <w:rPr>
      <w:i/>
      <w:iCs/>
      <w:color w:val="666666"/>
    </w:rPr>
  </w:style>
  <w:style w:type="paragraph" w:styleId="MdHtml">
    <w:name w:val="MdHtml"/>
    <w:basedOn w:val="Normal"/>
    <w:next w:val="Normal"/>
    <w:qFormat/>
    <w:rPr>
      <w:rFonts w:ascii="Courier New" w:cs="Courier New" w:eastAsia="Courier New" w:hAnsi="Courier New"/>
      <w:color w:val="4472C4"/>
    </w:rPr>
  </w:style>
  <w:style w:type="paragraph" w:styleId="MdDef">
    <w:name w:val="MdDef"/>
    <w:basedOn w:val="Normal"/>
    <w:next w:val="Normal"/>
    <w:qFormat/>
    <w:pPr>
      <w:ind w:left="720" w:hanging="360"/>
    </w:pPr>
  </w:style>
  <w:style w:type="paragraph" w:styleId="MdParagraph">
    <w:name w:val="MdParagraph"/>
    <w:basedOn w:val="Normal"/>
    <w:next w:val="Normal"/>
    <w:qFormat/>
    <w:pPr>
      <w:spacing w:after="120" w:before="120"/>
    </w:pPr>
  </w:style>
  <w:style w:type="paragraph" w:styleId="MdText">
    <w:name w:val="MdText"/>
    <w:basedOn w:val="Normal"/>
    <w:next w:val="Normal"/>
    <w:qFormat/>
  </w:style>
  <w:style w:type="paragraph" w:styleId="MdFootnote">
    <w:name w:val="MdFootnote"/>
    <w:basedOn w:val="Normal"/>
    <w:next w:val="Normal"/>
    <w:qFormat/>
    <w:rPr>
      <w:vertAlign w:val="superscript"/>
    </w:rPr>
  </w:style>
  <w:style w:type="paragraph" w:styleId="MdListItem">
    <w:name w:val="MdListItem"/>
    <w:basedOn w:val="Normal"/>
    <w:next w:val="Normal"/>
    <w:qFormat/>
    <w:pPr>
      <w:spacing w:after="60" w:before="60"/>
      <w:ind w:left="720" w:hanging="360"/>
    </w:pPr>
  </w:style>
  <w:style w:type="paragraph" w:styleId="MdTable">
    <w:name w:val="MdTable"/>
    <w:basedOn w:val="Normal"/>
    <w:next w:val="Normal"/>
    <w:qFormat/>
    <w:pPr>
      <w:spacing w:after="60" w:before="60"/>
    </w:pPr>
  </w:style>
  <w:style w:type="paragraph" w:styleId="MdTableHeader">
    <w:name w:val="MdTableHeader"/>
    <w:basedOn w:val="Normal"/>
    <w:next w:val="Normal"/>
    <w:qFormat/>
    <w:rPr>
      <w:b/>
      <w:bCs/>
    </w:rPr>
  </w:style>
  <w:style w:type="paragraph" w:styleId="MdTableCell">
    <w:name w:val="MdTableCell"/>
    <w:basedOn w:val="Normal"/>
    <w:next w:val="Normal"/>
    <w:qFormat/>
  </w:style>
  <w:style w:type="paragraph" w:styleId="MdHeading1">
    <w:name w:val="MdHeading1"/>
    <w:basedOn w:val="Normal"/>
    <w:next w:val="Normal"/>
    <w:qFormat/>
    <w:pPr>
      <w:keepNext/>
      <w:spacing w:after="240" w:before="480"/>
      <w:outlineLvl w:val="0"/>
    </w:pPr>
    <w:rPr>
      <w:b/>
      <w:bCs/>
      <w:color w:val="2F5597"/>
      <w:sz w:val="36"/>
      <w:szCs w:val="36"/>
    </w:rPr>
  </w:style>
  <w:style w:type="paragraph" w:styleId="MdHeading2">
    <w:name w:val="MdHeading2"/>
    <w:basedOn w:val="Normal"/>
    <w:next w:val="Normal"/>
    <w:qFormat/>
    <w:pPr>
      <w:keepNext/>
      <w:spacing w:after="200" w:before="400"/>
      <w:outlineLvl w:val="1"/>
    </w:pPr>
    <w:rPr>
      <w:b/>
      <w:bCs/>
      <w:color w:val="5B9BD5"/>
      <w:sz w:val="32"/>
      <w:szCs w:val="32"/>
    </w:rPr>
  </w:style>
  <w:style w:type="paragraph" w:styleId="MdHeading3">
    <w:name w:val="MdHeading3"/>
    <w:basedOn w:val="Normal"/>
    <w:next w:val="Normal"/>
    <w:qFormat/>
    <w:pPr>
      <w:keepNext/>
      <w:spacing w:after="160" w:before="320"/>
      <w:outlineLvl w:val="2"/>
    </w:pPr>
    <w:rPr>
      <w:b/>
      <w:bCs/>
      <w:color w:val="44546A"/>
      <w:sz w:val="28"/>
      <w:szCs w:val="28"/>
    </w:rPr>
  </w:style>
  <w:style w:type="paragraph" w:styleId="MdHeading4">
    <w:name w:val="MdHeading4"/>
    <w:basedOn w:val="Normal"/>
    <w:next w:val="Normal"/>
    <w:qFormat/>
    <w:pPr>
      <w:keepNext/>
      <w:spacing w:after="140" w:before="280"/>
      <w:outlineLvl w:val="3"/>
    </w:pPr>
    <w:rPr>
      <w:b/>
      <w:bCs/>
      <w:color w:val="44546A"/>
      <w:sz w:val="26"/>
      <w:szCs w:val="26"/>
    </w:rPr>
  </w:style>
  <w:style w:type="paragraph" w:styleId="MdHeading5">
    <w:name w:val="MdHeading5"/>
    <w:basedOn w:val="Normal"/>
    <w:next w:val="Normal"/>
    <w:qFormat/>
    <w:pPr>
      <w:keepNext/>
      <w:spacing w:after="120" w:before="240"/>
      <w:outlineLvl w:val="4"/>
    </w:pPr>
    <w:rPr>
      <w:b/>
      <w:bCs/>
      <w:i/>
      <w:iCs/>
      <w:color w:val="44546A"/>
      <w:sz w:val="24"/>
      <w:szCs w:val="24"/>
    </w:rPr>
  </w:style>
  <w:style w:type="paragraph" w:styleId="MdHeading6">
    <w:name w:val="MdHeading6"/>
    <w:basedOn w:val="Normal"/>
    <w:next w:val="Normal"/>
    <w:qFormat/>
    <w:pPr>
      <w:keepNext/>
      <w:spacing w:after="120" w:before="240"/>
      <w:outlineLvl w:val="5"/>
    </w:pPr>
    <w:rPr>
      <w:b w:val="false"/>
      <w:bCs w:val="false"/>
      <w:i/>
      <w:iCs/>
      <w:color w:val="44546A"/>
      <w:sz w:val="24"/>
      <w:szCs w:val="24"/>
    </w:rPr>
  </w:style>
  <w:style w:type="character" w:styleId="MdTag">
    <w:name w:val="MdTag"/>
    <w:basedOn w:val="Normal"/>
    <w:next w:val="Normal"/>
    <w:uiPriority w:val="99"/>
    <w:unhideWhenUsed/>
    <w:qFormat/>
    <w:rPr>
      <w:rFonts w:ascii="Courier New" w:cs="Courier New" w:eastAsia="Courier New" w:hAnsi="Courier New"/>
      <w:color w:val="ED7D31"/>
    </w:rPr>
  </w:style>
  <w:style w:type="character" w:styleId="MdLink">
    <w:name w:val="MdLink"/>
    <w:basedOn w:val="Normal"/>
    <w:next w:val="Normal"/>
    <w:uiPriority w:val="99"/>
    <w:unhideWhenUsed/>
    <w:qFormat/>
    <w:rPr>
      <w:color w:val="0563C1"/>
      <w:u w:val="single"/>
    </w:rPr>
  </w:style>
  <w:style w:type="character" w:styleId="MdStrong">
    <w:name w:val="MdStrong"/>
    <w:basedOn w:val="Normal"/>
    <w:next w:val="Normal"/>
    <w:uiPriority w:val="99"/>
    <w:unhideWhenUsed/>
    <w:qFormat/>
    <w:rPr>
      <w:b/>
      <w:bCs/>
    </w:rPr>
  </w:style>
  <w:style w:type="character" w:styleId="MdEm">
    <w:name w:val="MdEm"/>
    <w:basedOn w:val="Normal"/>
    <w:next w:val="Normal"/>
    <w:uiPriority w:val="99"/>
    <w:unhideWhenUsed/>
    <w:qFormat/>
    <w:rPr>
      <w:i/>
      <w:iCs/>
    </w:rPr>
  </w:style>
  <w:style w:type="character" w:styleId="MdCodespan">
    <w:name w:val="MdCodespan"/>
    <w:basedOn w:val="Normal"/>
    <w:next w:val="Normal"/>
    <w:uiPriority w:val="99"/>
    <w:unhideWhenUsed/>
    <w:qFormat/>
    <w:rPr>
      <w:rFonts w:ascii="Courier New" w:cs="Courier New" w:eastAsia="Courier New" w:hAnsi="Courier New"/>
      <w:color w:val="70AD47"/>
    </w:rPr>
  </w:style>
  <w:style w:type="character" w:styleId="MdDel">
    <w:name w:val="MdDel"/>
    <w:basedOn w:val="Normal"/>
    <w:next w:val="Normal"/>
    <w:uiPriority w:val="99"/>
    <w:unhideWhenUsed/>
    <w:qFormat/>
    <w:rPr>
      <w:strike/>
      <w:color w:val="FF0000"/>
    </w:rPr>
  </w:style>
  <w:style w:type="character" w:styleId="MdBr">
    <w:name w:val="MdBr"/>
    <w:basedOn w:val="Normal"/>
    <w:next w:val="Normal"/>
    <w:uiPriority w:val="99"/>
    <w:unhideWhenUsed/>
    <w:qFormat/>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2026-04-18T06:05:36.343Z</dcterms:created>
  <dcterms:modified xsi:type="dcterms:W3CDTF">2026-04-18T06:05:36.343Z</dcterms:modified>
</cp:coreProperties>
</file>

<file path=docProps/custom.xml><?xml version="1.0" encoding="utf-8"?>
<Properties xmlns="http://schemas.openxmlformats.org/officeDocument/2006/custom-properties" xmlns:vt="http://schemas.openxmlformats.org/officeDocument/2006/docPropsVTypes"/>
</file>