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劳动合同</w:t>
      </w:r>
    </w:p>
    <w:p>
      <w:pPr>
        <w:pStyle w:val="MdParagraph"/>
      </w:pPr>
      <w:r>
        <w:t xml:space="preserve">甲方：北京天启科技有限公司（以下简称"甲方"）</w:t>
      </w:r>
    </w:p>
    <w:p>
      <w:pPr>
        <w:pStyle w:val="MdSpace"/>
      </w:pPr>
    </w:p>
    <w:p>
      <w:pPr>
        <w:pStyle w:val="MdParagraph"/>
      </w:pPr>
      <w:r>
        <w:t xml:space="preserve">乙方：张明远（以下简称"乙方"）</w:t>
      </w:r>
    </w:p>
    <w:p>
      <w:pPr>
        <w:pStyle w:val="MdSpace"/>
      </w:pPr>
    </w:p>
    <w:p>
      <w:pPr>
        <w:pStyle w:val="MdParagraph"/>
      </w:pPr>
      <w:r>
        <w:t xml:space="preserve">甲乙双方根据《中华人民共和国劳动合同法》及相关法律法规，经平等协商，自愿订立本合同，共同遵守。</w:t>
      </w:r>
    </w:p>
    <w:p>
      <w:pPr>
        <w:pStyle w:val="MdSpace"/>
      </w:pPr>
    </w:p>
    <w:p>
      <w:pPr>
        <w:pStyle w:val="Heading2"/>
        <w:pStyle w:val="MdHeading2"/>
      </w:pPr>
      <w:r>
        <w:t xml:space="preserve">第一条 工作内容与地点</w:t>
      </w:r>
    </w:p>
    <w:p>
      <w:pPr>
        <w:pStyle w:val="MdParagraph"/>
      </w:pPr>
      <w:r>
        <w:t xml:space="preserve">乙方同意担任甲方软件工程师职位，工作地点为北京市朝阳区望京街道科技园8号楼。因业务需要，甲方可依法调整乙方工作岗位及工作地点，乙方应服从甲方安排。</w:t>
      </w:r>
    </w:p>
    <w:p>
      <w:pPr>
        <w:pStyle w:val="MdSpace"/>
      </w:pPr>
    </w:p>
    <w:p>
      <w:pPr>
        <w:pStyle w:val="Heading2"/>
        <w:pStyle w:val="MdHeading2"/>
      </w:pPr>
      <w:r>
        <w:t xml:space="preserve">第二条 合同期限</w:t>
      </w:r>
    </w:p>
    <w:p>
      <w:pPr>
        <w:pStyle w:val="MdParagraph"/>
      </w:pPr>
      <w:r>
        <w:t xml:space="preserve">本合同期限为三年，自2024年3月1日起至2027年2月28日止，其中包含三个月试用期（2024年3月1日至2024年5月31日）。</w:t>
      </w:r>
    </w:p>
    <w:p>
      <w:pPr>
        <w:pStyle w:val="MdSpace"/>
      </w:pPr>
    </w:p>
    <w:p>
      <w:pPr>
        <w:pStyle w:val="Heading2"/>
        <w:pStyle w:val="MdHeading2"/>
      </w:pPr>
      <w:r>
        <w:t xml:space="preserve">第三条 劳动报酬</w:t>
      </w:r>
    </w:p>
    <w:p>
      <w:pPr>
        <w:pStyle w:val="MdParagraph"/>
      </w:pPr>
      <w:r>
        <w:t xml:space="preserve">试用期月薪为人民币12000元，转正后月薪为人民币16000元，每月25日以银行转账方式支付至乙方指定账户。绩效奖金按年度考核结果单独发放，甲方有权依经营状况调整薪酬结构，但调整后不得低于当地最低工资标准。</w:t>
      </w:r>
    </w:p>
    <w:p>
      <w:pPr>
        <w:pStyle w:val="MdSpace"/>
      </w:pPr>
    </w:p>
    <w:p>
      <w:pPr>
        <w:pStyle w:val="Heading2"/>
        <w:pStyle w:val="MdHeading2"/>
      </w:pPr>
      <w:r>
        <w:t xml:space="preserve">第四条 工作时间</w:t>
      </w:r>
    </w:p>
    <w:p>
      <w:pPr>
        <w:pStyle w:val="MdParagraph"/>
      </w:pPr>
      <w:r>
        <w:t xml:space="preserve">乙方实行标准工时制，每日工作不超过8小时，每周工作不超过40小时。因业务需要加班的，甲方应依法支付加班工资或安排补休。加班费计算基数以乙方月薪为准，法定节假日加班按三倍工资支付。</w:t>
      </w:r>
    </w:p>
    <w:p>
      <w:pPr>
        <w:pStyle w:val="MdSpace"/>
      </w:pPr>
    </w:p>
    <w:p>
      <w:pPr>
        <w:pStyle w:val="Heading2"/>
        <w:pStyle w:val="MdHeading2"/>
      </w:pPr>
      <w:r>
        <w:t xml:space="preserve">第五条 保密义务</w:t>
      </w:r>
    </w:p>
    <w:p>
      <w:pPr>
        <w:pStyle w:val="MdParagraph"/>
      </w:pPr>
      <w:r>
        <w:t xml:space="preserve">乙方在职期间及离职后两年内，不得向任何第三方披露甲方的技术方案、客户信息、商业计划及其他保密信息。乙方违反本条款的，应向甲方赔偿不低于人民币50万元的违约金，并承担因此造成的全部损失。</w:t>
      </w:r>
    </w:p>
    <w:p>
      <w:pPr>
        <w:pStyle w:val="MdSpace"/>
      </w:pPr>
    </w:p>
    <w:p>
      <w:pPr>
        <w:pStyle w:val="Heading2"/>
        <w:pStyle w:val="MdHeading2"/>
      </w:pPr>
      <w:r>
        <w:t xml:space="preserve">第六条 竞业限制</w:t>
      </w:r>
    </w:p>
    <w:p>
      <w:pPr>
        <w:pStyle w:val="MdParagraph"/>
      </w:pPr>
      <w:r>
        <w:t xml:space="preserve">乙方离职后一年内，不得在与甲方存在竞争关系的企业担任技术类职务。甲方在竞业限制期间，每月支付乙方上月工资50%的竞业限制补偿金。乙方违反本条款的，应退还已收取的全部补偿金，并另行支付人民币30万元违约金。</w:t>
      </w:r>
    </w:p>
    <w:p>
      <w:pPr>
        <w:pStyle w:val="MdSpace"/>
      </w:pPr>
    </w:p>
    <w:p>
      <w:pPr>
        <w:pStyle w:val="Heading2"/>
        <w:pStyle w:val="MdHeading2"/>
      </w:pPr>
      <w:r>
        <w:t xml:space="preserve">第七条 违约责任</w:t>
      </w:r>
    </w:p>
    <w:p>
      <w:pPr>
        <w:pStyle w:val="MdParagraph"/>
      </w:pPr>
      <w:r>
        <w:t xml:space="preserve">一方违反本合同约定给对方造成损失的，应依法承担赔偿责任。乙方因个人原因在试用期满前提前解除合同的，应提前3日通知甲方；正式员工提前解除合同的，应提前30日以书面形式通知甲方，否则应承担由此给甲方造成的实际损失。</w:t>
      </w:r>
    </w:p>
    <w:p>
      <w:pPr>
        <w:pStyle w:val="MdSpace"/>
      </w:pPr>
    </w:p>
    <w:p>
      <w:pPr>
        <w:pStyle w:val="Heading2"/>
        <w:pStyle w:val="MdHeading2"/>
      </w:pPr>
      <w:r>
        <w:t xml:space="preserve">第八条 争议解决</w:t>
      </w:r>
    </w:p>
    <w:p>
      <w:pPr>
        <w:pStyle w:val="MdParagraph"/>
      </w:pPr>
      <w:r>
        <w:t xml:space="preserve">本合同履行过程中发生争议，双方应首先协商解决；协商不成的，任何一方可向甲方所在地劳动仲裁委员会申请仲裁；对仲裁裁决不服的，可向人民法院提起诉讼，管辖法院为北京市朝阳区人民法院。</w:t>
      </w:r>
    </w:p>
    <w:p>
      <w:pPr>
        <w:pStyle w:val="MdSpace"/>
      </w:pPr>
    </w:p>
    <w:p>
      <w:pPr>
        <w:pStyle w:val="MdParagraph"/>
      </w:pPr>
      <w:r>
        <w:t xml:space="preserve">签订日期：2024年3月1日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start"/>
    </w:lvl>
    <w:lvl w:ilvl="1" w15:tentative="1">
      <w:start w:val="1"/>
      <w:numFmt w:val="decimal"/>
      <w:lvlText w:val="%1.%2"/>
      <w:lvlJc w:val="start"/>
    </w:lvl>
    <w:lvl w:ilvl="2" w15:tentative="1">
      <w:start w:val="1"/>
      <w:numFmt w:val="decimal"/>
      <w:lvlText w:val="%1.%2.%3"/>
      <w:lvlJc w:val="start"/>
    </w:lvl>
    <w:lvl w:ilvl="3" w15:tentative="1">
      <w:start w:val="1"/>
      <w:numFmt w:val="decimal"/>
      <w:lvlText w:val="%4)"/>
      <w:lvlJc w:val="start"/>
    </w:lvl>
    <w:lvl w:ilvl="4" w15:tentative="1">
      <w:start w:val="1"/>
      <w:numFmt w:val="decimal"/>
      <w:lvlText w:val="%5)"/>
      <w:lvlJc w:val="start"/>
    </w:lvl>
    <w:lvl w:ilvl="5" w15:tentative="1">
      <w:start w:val="1"/>
      <w:numFmt w:val="decimal"/>
      <w:lvlText w:val="%6)"/>
      <w:lvlJc w:val="start"/>
    </w:lvl>
    <w:lvl w:ilvl="6" w15:tentative="1">
      <w:start w:val="1"/>
      <w:numFmt w:val="decimal"/>
      <w:lvlText w:val="%7)"/>
      <w:lvlJc w:val="start"/>
    </w:lvl>
    <w:lvl w:ilvl="7" w15:tentative="1">
      <w:start w:val="1"/>
      <w:numFmt w:val="decimal"/>
      <w:lvlText w:val="%8)"/>
      <w:lvlJc w:val="start"/>
    </w:lvl>
    <w:lvl w:ilvl="8" w15:tentative="1">
      <w:start w:val="1"/>
      <w:numFmt w:val="decimal"/>
      <w:lvlText w:val="%9)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</w:lvl>
    <w:lvl w:ilvl="1" w15:tentative="1">
      <w:start w:val="1"/>
      <w:numFmt w:val="bullet"/>
      <w:lvlText w:val="■"/>
      <w:lvlJc w:val="start"/>
    </w:lvl>
    <w:lvl w:ilvl="2" w15:tentative="1">
      <w:start w:val="1"/>
      <w:numFmt w:val="bullet"/>
      <w:lvlText w:val="▶"/>
      <w:lvlJc w:val="start"/>
    </w:lvl>
    <w:lvl w:ilvl="3" w15:tentative="1">
      <w:start w:val="1"/>
      <w:numFmt w:val="bullet"/>
      <w:lvlText w:val="▲"/>
      <w:lvlJc w:val="start"/>
    </w:lvl>
    <w:lvl w:ilvl="4" w15:tentative="1">
      <w:start w:val="1"/>
      <w:numFmt w:val="bullet"/>
      <w:lvlText w:val="◆"/>
      <w:lvlJc w:val="start"/>
    </w:lvl>
    <w:lvl w:ilvl="5" w15:tentative="1">
      <w:start w:val="1"/>
      <w:numFmt w:val="bullet"/>
      <w:lvlText w:val="●"/>
      <w:lvlJc w:val="start"/>
    </w:lvl>
    <w:lvl w:ilvl="6" w15:tentative="1">
      <w:start w:val="1"/>
      <w:numFmt w:val="bullet"/>
      <w:lvlText w:val="□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240" w:before="480"/>
      <w:outlineLvl w:val="0"/>
    </w:pPr>
    <w:rPr>
      <w:b/>
      <w:bCs/>
      <w:color w:val="2F5597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200" w:before="400"/>
      <w:outlineLvl w:val="1"/>
    </w:pPr>
    <w:rPr>
      <w:b/>
      <w:bCs/>
      <w:color w:val="5B9BD5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after="160" w:before="320"/>
      <w:outlineLvl w:val="2"/>
    </w:pPr>
    <w:rPr>
      <w:b/>
      <w:bCs/>
      <w:color w:val="44546A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after="140" w:before="280"/>
      <w:outlineLvl w:val="3"/>
    </w:pPr>
    <w:rPr>
      <w:b/>
      <w:bCs/>
      <w:color w:val="44546A"/>
      <w:sz w:val="26"/>
      <w:szCs w:val="26"/>
    </w:rPr>
  </w:style>
  <w:style w:type="paragraph" w:styleId="Heading5">
    <w:name w:val="Heading 5"/>
    <w:basedOn w:val="Normal"/>
    <w:next w:val="Normal"/>
    <w:qFormat/>
    <w:pPr>
      <w:keepNext/>
      <w:spacing w:after="120" w:before="240"/>
      <w:outlineLvl w:val="4"/>
    </w:pPr>
    <w:rPr>
      <w:b/>
      <w:bCs/>
      <w:i/>
      <w:iCs/>
      <w:color w:val="44546A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spacing w:after="120" w:before="240"/>
      <w:outlineLvl w:val="5"/>
    </w:pPr>
    <w:rPr>
      <w:b w:val="false"/>
      <w:bCs w:val="false"/>
      <w:i/>
      <w:iCs/>
      <w:color w:val="44546A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after="0" w:before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hd w:fill="f6f6f7"/>
      <w:spacing w:after="200" w:before="200"/>
    </w:pPr>
    <w:rPr>
      <w:rFonts w:ascii="Courier New" w:cs="Courier New" w:eastAsia="Courier New" w:hAnsi="Courier New"/>
      <w:color w:val="032F62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D9D9D9" w:sz="1" w:space="1"/>
      </w:pBdr>
      <w:spacing w:after="240" w:before="240"/>
    </w:pPr>
  </w:style>
  <w:style w:type="paragraph" w:styleId="MdBlockquote">
    <w:name w:val="MdBlockquote"/>
    <w:basedOn w:val="Normal"/>
    <w:next w:val="Normal"/>
    <w:qFormat/>
    <w:pPr>
      <w:pBdr>
        <w:left w:val="single" w:color="666666" w:sz="20" w:space="12"/>
      </w:pBdr>
      <w:shd w:fill="F9F9F9"/>
      <w:spacing w:after="200" w:before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4472C4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after="120" w:before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after="60" w:before="60"/>
      <w:ind w:left="720" w:hanging="360"/>
    </w:pPr>
  </w:style>
  <w:style w:type="paragraph" w:styleId="MdTable">
    <w:name w:val="MdTable"/>
    <w:basedOn w:val="Normal"/>
    <w:next w:val="Normal"/>
    <w:qFormat/>
    <w:pPr>
      <w:spacing w:after="60" w:before="60"/>
    </w:pPr>
  </w:style>
  <w:style w:type="paragraph" w:styleId="MdTableHeader">
    <w:name w:val="MdTableHeader"/>
    <w:basedOn w:val="Normal"/>
    <w:next w:val="Normal"/>
    <w:qFormat/>
    <w:rPr>
      <w:b/>
      <w:bCs/>
    </w:rPr>
  </w:style>
  <w:style w:type="paragraph" w:styleId="MdTableCell">
    <w:name w:val="MdTableCell"/>
    <w:basedOn w:val="Normal"/>
    <w:next w:val="Normal"/>
    <w:qFormat/>
  </w:style>
  <w:style w:type="paragraph" w:styleId="MdHeading1">
    <w:name w:val="MdHeading1"/>
    <w:basedOn w:val="Normal"/>
    <w:next w:val="Normal"/>
    <w:qFormat/>
    <w:pPr>
      <w:keepNext/>
      <w:spacing w:after="240" w:before="480"/>
      <w:outlineLvl w:val="0"/>
    </w:pPr>
    <w:rPr>
      <w:b/>
      <w:bCs/>
      <w:color w:val="2F5597"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after="200" w:before="400"/>
      <w:outlineLvl w:val="1"/>
    </w:pPr>
    <w:rPr>
      <w:b/>
      <w:bCs/>
      <w:color w:val="5B9BD5"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after="160" w:before="320"/>
      <w:outlineLvl w:val="2"/>
    </w:pPr>
    <w:rPr>
      <w:b/>
      <w:bCs/>
      <w:color w:val="44546A"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after="140" w:before="280"/>
      <w:outlineLvl w:val="3"/>
    </w:pPr>
    <w:rPr>
      <w:b/>
      <w:bCs/>
      <w:color w:val="44546A"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after="120" w:before="240"/>
      <w:outlineLvl w:val="4"/>
    </w:pPr>
    <w:rPr>
      <w:b/>
      <w:bCs/>
      <w:i/>
      <w:iCs/>
      <w:color w:val="44546A"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after="120" w:before="240"/>
      <w:outlineLvl w:val="5"/>
    </w:pPr>
    <w:rPr>
      <w:b w:val="false"/>
      <w:bCs w:val="false"/>
      <w:i/>
      <w:iCs/>
      <w:color w:val="44546A"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  <w:color w:val="FF0000"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2026-04-18T06:05:36.316Z</dcterms:created>
  <dcterms:modified xsi:type="dcterms:W3CDTF">2026-04-18T06:05:36.316Z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