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jc w:val="center"/>
        <w:rPr>
          <w:b/>
          <w:sz w:val="44"/>
          <w:szCs w:val="44"/>
        </w:rPr>
      </w:pPr>
    </w:p>
    <w:p>
      <w:pPr>
        <w:ind w:firstLine="880"/>
        <w:jc w:val="center"/>
        <w:rPr>
          <w:b/>
          <w:sz w:val="44"/>
          <w:szCs w:val="44"/>
        </w:rPr>
      </w:pPr>
      <w:r>
        <w:rPr>
          <w:rFonts w:hint="default"/>
          <w:b/>
          <w:sz w:val="44"/>
          <w:szCs w:val="44"/>
        </w:rPr>
        <w:t>金融统计</w:t>
      </w:r>
      <w:r>
        <w:rPr>
          <w:b/>
          <w:sz w:val="44"/>
          <w:szCs w:val="44"/>
        </w:rPr>
        <w:t>操作手册</w:t>
      </w:r>
    </w:p>
    <w:p>
      <w:pPr>
        <w:ind w:firstLine="880"/>
        <w:jc w:val="center"/>
        <w:rPr>
          <w:b/>
          <w:sz w:val="44"/>
          <w:szCs w:val="44"/>
        </w:rPr>
      </w:pPr>
    </w:p>
    <w:p>
      <w:pPr>
        <w:ind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</w:p>
    <w:p>
      <w:pPr>
        <w:ind w:firstLine="440"/>
      </w:pPr>
    </w:p>
    <w:sdt>
      <w:sdtPr>
        <w:rPr>
          <w:rFonts w:ascii="Tahoma" w:hAnsi="Tahoma" w:eastAsia="微软雅黑" w:cstheme="minorBidi"/>
          <w:color w:val="auto"/>
          <w:sz w:val="22"/>
          <w:szCs w:val="22"/>
          <w:lang w:val="zh-CN"/>
        </w:rPr>
        <w:id w:val="2057274721"/>
      </w:sdtPr>
      <w:sdtEndPr>
        <w:rPr>
          <w:rFonts w:ascii="Tahoma" w:hAnsi="Tahoma" w:eastAsia="微软雅黑" w:cstheme="minorBidi"/>
          <w:b/>
          <w:bCs/>
          <w:color w:val="auto"/>
          <w:sz w:val="22"/>
          <w:szCs w:val="22"/>
          <w:lang w:val="zh-CN"/>
        </w:rPr>
      </w:sdtEndPr>
      <w:sdtContent>
        <w:p>
          <w:pPr>
            <w:pStyle w:val="24"/>
            <w:jc w:val="center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_Toc22806 </w:instrText>
          </w:r>
          <w: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_Toc22806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1.1概述</w:t>
          </w:r>
          <w:r>
            <w:tab/>
          </w:r>
          <w:r>
            <w:fldChar w:fldCharType="begin"/>
          </w:r>
          <w:r>
            <w:instrText xml:space="preserve"> PAGEREF _Toc29568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1.2编写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_Toc27138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1.3应用</w:t>
          </w:r>
          <w:r>
            <w:t>操作系统</w:t>
          </w:r>
          <w:r>
            <w:tab/>
          </w:r>
          <w:r>
            <w:fldChar w:fldCharType="begin"/>
          </w:r>
          <w:r>
            <w:instrText xml:space="preserve"> PAGEREF _Toc6253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2使用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_Toc28101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1运行</w:t>
          </w:r>
          <w:r>
            <w:tab/>
          </w:r>
          <w:r>
            <w:fldChar w:fldCharType="begin"/>
          </w:r>
          <w:r>
            <w:instrText xml:space="preserve"> PAGEREF _Toc18599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3排名查看</w:t>
          </w:r>
          <w:r>
            <w:tab/>
          </w:r>
          <w:r>
            <w:fldChar w:fldCharType="begin"/>
          </w:r>
          <w:r>
            <w:instrText xml:space="preserve"> PAGEREF _Toc28979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4数据上传</w:t>
          </w:r>
          <w:r>
            <w:tab/>
          </w:r>
          <w:r>
            <w:fldChar w:fldCharType="begin"/>
          </w:r>
          <w:r>
            <w:instrText xml:space="preserve"> PAGEREF _Toc11814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_Toc27894 </w:instrText>
          </w:r>
          <w:r>
            <w:rPr>
              <w:bCs/>
              <w:lang w:val="zh-CN"/>
            </w:rPr>
            <w:fldChar w:fldCharType="separate"/>
          </w:r>
          <w:r>
            <w:t>4.1</w:t>
          </w:r>
          <w:r>
            <w:rPr>
              <w:rFonts w:hint="eastAsia"/>
            </w:rPr>
            <w:t>操作要点及出错信息说明</w:t>
          </w:r>
          <w:r>
            <w:tab/>
          </w:r>
          <w:r>
            <w:fldChar w:fldCharType="begin"/>
          </w:r>
          <w:r>
            <w:instrText xml:space="preserve"> PAGEREF _Toc27894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5报告下载</w:t>
          </w:r>
          <w:r>
            <w:tab/>
          </w:r>
          <w:r>
            <w:fldChar w:fldCharType="begin"/>
          </w:r>
          <w:r>
            <w:instrText xml:space="preserve"> PAGEREF _Toc17211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/>
    <w:p>
      <w:pPr>
        <w:pStyle w:val="2"/>
      </w:pPr>
      <w:bookmarkStart w:id="0" w:name="_Toc22806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29568"/>
      <w:r>
        <w:rPr>
          <w:rFonts w:hint="eastAsia"/>
        </w:rPr>
        <w:t>1.1概述</w:t>
      </w:r>
      <w:bookmarkEnd w:id="1"/>
    </w:p>
    <w:p>
      <w:pPr>
        <w:ind w:firstLine="440" w:firstLineChars="200"/>
      </w:pPr>
      <w:r>
        <w:rPr>
          <w:rFonts w:hint="default"/>
        </w:rPr>
        <w:t>金融统计</w:t>
      </w:r>
      <w:r>
        <w:rPr>
          <w:rFonts w:hint="eastAsia"/>
        </w:rPr>
        <w:t>项目主要由</w:t>
      </w:r>
      <w:r>
        <w:rPr>
          <w:rFonts w:hint="default"/>
        </w:rPr>
        <w:t>三个</w:t>
      </w:r>
      <w:r>
        <w:rPr>
          <w:rFonts w:hint="eastAsia"/>
          <w:lang w:val="en-US" w:eastAsia="zh-CN"/>
        </w:rPr>
        <w:t>功能</w:t>
      </w:r>
      <w:r>
        <w:rPr>
          <w:rFonts w:hint="default"/>
        </w:rPr>
        <w:t>模块</w:t>
      </w:r>
      <w:r>
        <w:rPr>
          <w:rFonts w:hint="eastAsia"/>
        </w:rPr>
        <w:t>组成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一、南通县市区，银行</w:t>
      </w:r>
      <w:r>
        <w:rPr>
          <w:rFonts w:hint="default"/>
        </w:rPr>
        <w:t>排名</w:t>
      </w:r>
      <w:r>
        <w:rPr>
          <w:rFonts w:hint="eastAsia"/>
          <w:lang w:val="en-US" w:eastAsia="zh-CN"/>
        </w:rPr>
        <w:t>情况</w:t>
      </w:r>
      <w:r>
        <w:rPr>
          <w:rFonts w:hint="eastAsia"/>
        </w:rPr>
        <w:t>（</w:t>
      </w:r>
      <w:r>
        <w:rPr>
          <w:rFonts w:hint="default"/>
        </w:rPr>
        <w:t>余额占比排名,余额环比排名,制造业比重排名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数据上传</w:t>
      </w:r>
      <w:r>
        <w:rPr>
          <w:rFonts w:hint="eastAsia"/>
        </w:rPr>
        <w:t>（</w:t>
      </w:r>
      <w:r>
        <w:rPr>
          <w:rFonts w:hint="default"/>
        </w:rPr>
        <w:t>可以上传各个月份的</w:t>
      </w:r>
      <w:r>
        <w:rPr>
          <w:rFonts w:hint="eastAsia"/>
          <w:lang w:val="en-US" w:eastAsia="zh-CN"/>
        </w:rPr>
        <w:t>基础</w:t>
      </w:r>
      <w:r>
        <w:rPr>
          <w:rFonts w:hint="default"/>
        </w:rPr>
        <w:t>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上传年份的基础数据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数据下载</w:t>
      </w:r>
      <w:r>
        <w:rPr>
          <w:rFonts w:hint="eastAsia"/>
        </w:rPr>
        <w:t>（</w:t>
      </w:r>
      <w:r>
        <w:rPr>
          <w:rFonts w:hint="default"/>
        </w:rPr>
        <w:t>可以下载查看</w:t>
      </w:r>
      <w:r>
        <w:rPr>
          <w:rFonts w:hint="eastAsia"/>
          <w:lang w:val="en-US" w:eastAsia="zh-CN"/>
        </w:rPr>
        <w:t>各</w:t>
      </w:r>
      <w:bookmarkStart w:id="11" w:name="_GoBack"/>
      <w:bookmarkEnd w:id="11"/>
      <w:r>
        <w:rPr>
          <w:rFonts w:hint="default"/>
        </w:rPr>
        <w:t>个月份的排名</w:t>
      </w:r>
      <w:r>
        <w:rPr>
          <w:rFonts w:hint="eastAsia"/>
          <w:lang w:val="en-US" w:eastAsia="zh-CN"/>
        </w:rPr>
        <w:t>excel，以及一键下载数据统计报告</w:t>
      </w:r>
      <w:r>
        <w:rPr>
          <w:rFonts w:hint="eastAsia"/>
        </w:rPr>
        <w:t>）。</w:t>
      </w:r>
    </w:p>
    <w:p>
      <w:pPr>
        <w:pStyle w:val="3"/>
      </w:pPr>
      <w:bookmarkStart w:id="2" w:name="_Toc27138"/>
      <w:r>
        <w:rPr>
          <w:rFonts w:hint="eastAsia"/>
        </w:rPr>
        <w:t>1.2编写</w:t>
      </w:r>
      <w:r>
        <w:t>目的</w:t>
      </w:r>
      <w:bookmarkEnd w:id="2"/>
    </w:p>
    <w:p>
      <w:pPr>
        <w:spacing w:line="240" w:lineRule="atLeast"/>
        <w:ind w:firstLine="440" w:firstLineChars="200"/>
      </w:pPr>
      <w:r>
        <w:rPr>
          <w:rFonts w:hint="eastAsia"/>
        </w:rPr>
        <w:t>通过向</w:t>
      </w:r>
      <w:r>
        <w:rPr>
          <w:rFonts w:hint="default"/>
        </w:rPr>
        <w:t>用户介绍金融统计系统,让他们可以更好的更方便查看统计数据</w:t>
      </w:r>
      <w:r>
        <w:rPr>
          <w:rFonts w:hint="eastAsia"/>
        </w:rPr>
        <w:t>。</w:t>
      </w:r>
      <w:r>
        <w:rPr>
          <w:rFonts w:hint="default"/>
        </w:rPr>
        <w:t>下载和上传统计数据。</w:t>
      </w:r>
    </w:p>
    <w:p>
      <w:pPr>
        <w:pStyle w:val="3"/>
      </w:pPr>
      <w:bookmarkStart w:id="3" w:name="_Toc6253"/>
      <w:r>
        <w:rPr>
          <w:rFonts w:hint="eastAsia"/>
        </w:rPr>
        <w:t>1.3应用</w:t>
      </w:r>
      <w:r>
        <w:t>操作系统</w:t>
      </w:r>
      <w:bookmarkEnd w:id="3"/>
    </w:p>
    <w:p>
      <w:pPr>
        <w:ind w:firstLine="44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</w:t>
      </w:r>
      <w:r>
        <w:rPr>
          <w:rFonts w:ascii="微软雅黑" w:hAnsi="微软雅黑"/>
        </w:rPr>
        <w:t>应用可</w:t>
      </w:r>
      <w:r>
        <w:rPr>
          <w:rFonts w:hint="eastAsia" w:ascii="微软雅黑" w:hAnsi="微软雅黑"/>
        </w:rPr>
        <w:t>在</w:t>
      </w:r>
      <w:r>
        <w:rPr>
          <w:rFonts w:ascii="微软雅黑" w:hAnsi="微软雅黑"/>
        </w:rPr>
        <w:t>主流浏览器中使用,推荐使用谷歌浏览器和火狐浏览器。</w:t>
      </w:r>
    </w:p>
    <w:p>
      <w:pPr>
        <w:ind w:firstLine="440" w:firstLineChars="200"/>
      </w:pPr>
    </w:p>
    <w:p>
      <w:pPr>
        <w:ind w:firstLine="440" w:firstLineChars="200"/>
      </w:pPr>
    </w:p>
    <w:p>
      <w:pPr>
        <w:pStyle w:val="2"/>
      </w:pPr>
      <w:bookmarkStart w:id="4" w:name="_Toc28101"/>
      <w:r>
        <w:rPr>
          <w:rFonts w:hint="eastAsia"/>
        </w:rPr>
        <w:t>2使用</w:t>
      </w:r>
      <w:r>
        <w:t>方法</w:t>
      </w:r>
      <w:bookmarkEnd w:id="4"/>
    </w:p>
    <w:p>
      <w:pPr>
        <w:ind w:firstLine="440" w:firstLineChars="200"/>
      </w:pPr>
    </w:p>
    <w:p>
      <w:pPr>
        <w:pStyle w:val="3"/>
      </w:pPr>
      <w:bookmarkStart w:id="5" w:name="_Toc18599"/>
      <w:r>
        <w:rPr>
          <w:rFonts w:hint="eastAsia"/>
        </w:rPr>
        <w:t>2.</w:t>
      </w:r>
      <w:r>
        <w:t>1运行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/>
        </w:rPr>
        <w:t>用户通过</w:t>
      </w:r>
      <w:r>
        <w:rPr>
          <w:rFonts w:hint="default" w:ascii="微软雅黑" w:hAnsi="微软雅黑"/>
        </w:rPr>
        <w:t>打开浏览器访问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"https://jrjreport.ntrcb.com:8892/balance/area"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https://jrjreport.ntrcb.com:8892/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40" w:firstLineChars="200"/>
        <w:rPr>
          <w:rFonts w:ascii="微软雅黑" w:hAnsi="微软雅黑"/>
        </w:rPr>
      </w:pPr>
      <w:r>
        <w:rPr>
          <w:rFonts w:hint="default" w:ascii="微软雅黑" w:hAnsi="微软雅黑"/>
        </w:rPr>
        <w:t xml:space="preserve">这个地址可以直接访问主页  </w:t>
      </w:r>
      <w:r>
        <w:rPr>
          <w:rFonts w:hint="eastAsia" w:ascii="微软雅黑" w:hAnsi="微软雅黑"/>
        </w:rPr>
        <w:t>进入如下页面：</w:t>
      </w:r>
    </w:p>
    <w:p>
      <w:pPr>
        <w:jc w:val="center"/>
      </w:pPr>
      <w:r>
        <w:drawing>
          <wp:inline distT="0" distB="0" distL="114300" distR="114300">
            <wp:extent cx="5269865" cy="28016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</w:pPr>
    </w:p>
    <w:p>
      <w:pPr>
        <w:jc w:val="center"/>
      </w:pPr>
    </w:p>
    <w:p>
      <w:pPr>
        <w:jc w:val="center"/>
      </w:pPr>
    </w:p>
    <w:p>
      <w:pPr>
        <w:pStyle w:val="2"/>
        <w:rPr>
          <w:rFonts w:hint="default" w:eastAsia="微软雅黑"/>
          <w:lang w:val="en-US" w:eastAsia="zh-CN"/>
        </w:rPr>
      </w:pPr>
      <w:bookmarkStart w:id="6" w:name="_Toc28979"/>
      <w:r>
        <w:rPr>
          <w:rFonts w:hint="eastAsia"/>
          <w:lang w:val="en-US" w:eastAsia="zh-CN"/>
        </w:rPr>
        <w:t>3排名查看</w:t>
      </w:r>
      <w:bookmarkEnd w:id="6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用户</w:t>
      </w:r>
      <w:r>
        <w:rPr>
          <w:rFonts w:hint="default" w:ascii="微软雅黑" w:hAnsi="微软雅黑"/>
        </w:rPr>
        <w:t>不需要登录,可以自己访问页面查看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lang w:val="en-US" w:eastAsia="zh-CN"/>
        </w:rPr>
        <w:t>县市区，银行</w:t>
      </w:r>
      <w:r>
        <w:rPr>
          <w:rFonts w:hint="eastAsia" w:ascii="微软雅黑" w:hAnsi="微软雅黑"/>
          <w:lang w:eastAsia="zh-CN"/>
        </w:rPr>
        <w:t>）</w:t>
      </w:r>
      <w:r>
        <w:rPr>
          <w:rFonts w:hint="default" w:ascii="微软雅黑" w:hAnsi="微软雅黑"/>
        </w:rPr>
        <w:t>排行信息</w:t>
      </w:r>
      <w:r>
        <w:rPr>
          <w:rFonts w:hint="eastAsia" w:ascii="微软雅黑" w:hAnsi="微软雅黑"/>
        </w:rPr>
        <w:t>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一：余额占比排行</w:t>
      </w:r>
    </w:p>
    <w:p/>
    <w:p>
      <w:r>
        <w:drawing>
          <wp:inline distT="0" distB="0" distL="114300" distR="114300">
            <wp:extent cx="5264150" cy="2969260"/>
            <wp:effectExtent l="0" t="0" r="889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二:余额环比排行</w:t>
      </w:r>
    </w:p>
    <w:p>
      <w:r>
        <w:drawing>
          <wp:inline distT="0" distB="0" distL="114300" distR="114300">
            <wp:extent cx="5262880" cy="2964180"/>
            <wp:effectExtent l="0" t="0" r="1016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三：制造业比重排名</w:t>
      </w:r>
    </w:p>
    <w:p>
      <w:r>
        <w:drawing>
          <wp:inline distT="0" distB="0" distL="114300" distR="114300">
            <wp:extent cx="5265420" cy="2973070"/>
            <wp:effectExtent l="0" t="0" r="762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7" w:name="_Toc11814"/>
      <w:r>
        <w:rPr>
          <w:rFonts w:hint="eastAsia"/>
          <w:lang w:val="en-US" w:eastAsia="zh-CN"/>
        </w:rPr>
        <w:t>4数据上传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 w:ascii="微软雅黑" w:hAnsi="微软雅黑"/>
        </w:rPr>
        <w:t>用户可以直接按照月份或者年份上传县市区或者银行机构的数据</w:t>
      </w:r>
      <w:r>
        <w:rPr>
          <w:rFonts w:hint="eastAsia" w:ascii="微软雅黑" w:hAnsi="微软雅黑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9466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27405879"/>
      <w:bookmarkStart w:id="9" w:name="_Toc27894"/>
      <w:r>
        <w:t>4.1</w:t>
      </w:r>
      <w:r>
        <w:rPr>
          <w:rFonts w:hint="eastAsia"/>
        </w:rPr>
        <w:t>操作要点及出错信息说明</w:t>
      </w:r>
      <w:bookmarkEnd w:id="8"/>
      <w:bookmarkEnd w:id="9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1、数据上传需要按照给定的模板上传数据。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2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按年份上传数据，需要上传的是前一年的12月分基础数据</w:t>
      </w:r>
      <w:r>
        <w:rPr>
          <w:rFonts w:hint="eastAsia" w:ascii="微软雅黑" w:hAnsi="微软雅黑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3、</w:t>
      </w:r>
      <w:r>
        <w:rPr>
          <w:rFonts w:hint="eastAsia"/>
          <w:lang w:val="en-US" w:eastAsia="zh-CN"/>
        </w:rPr>
        <w:t>模板中第一行给定的名称不变。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4、上传银行数据的时候：例如平安银行：填写数据给0 即可。</w:t>
      </w:r>
    </w:p>
    <w:p>
      <w:r>
        <w:drawing>
          <wp:inline distT="0" distB="0" distL="114300" distR="114300">
            <wp:extent cx="5273675" cy="1200785"/>
            <wp:effectExtent l="0" t="0" r="14605" b="317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举例:上传202005月份的县市区的数据：excel名称取（202005.xls）取名只是为了不重复。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object>
          <v:shape id="_x0000_i1025" o:spt="75" type="#_x0000_t75" style="height:119.65pt;width:447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8" ShapeID="_x0000_i1025" DrawAspect="Content" ObjectID="_1468075725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上传年份2019的县市区的数据：excel 名称取（2019.xls）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52.85pt;width:277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6" DrawAspect="Content" ObjectID="_1468075726" r:id="rId12">
            <o:LockedField>false</o:LockedField>
          </o:OLEObject>
        </w:object>
      </w:r>
    </w:p>
    <w:p>
      <w:pPr>
        <w:pStyle w:val="2"/>
        <w:rPr>
          <w:rFonts w:hint="eastAsia"/>
          <w:lang w:val="en-US" w:eastAsia="zh-CN"/>
        </w:rPr>
      </w:pPr>
      <w:bookmarkStart w:id="10" w:name="_Toc17211"/>
      <w:r>
        <w:rPr>
          <w:rFonts w:hint="eastAsia"/>
          <w:lang w:val="en-US" w:eastAsia="zh-CN"/>
        </w:rPr>
        <w:t>5报告下载</w:t>
      </w:r>
      <w:bookmarkEnd w:id="10"/>
    </w:p>
    <w:p>
      <w:r>
        <w:drawing>
          <wp:inline distT="0" distB="0" distL="114300" distR="114300">
            <wp:extent cx="5265420" cy="2306320"/>
            <wp:effectExtent l="0" t="0" r="7620" b="1016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点击下载文件即可生成（关于通报xxxx年x月份全市制造业信贷情况的函）的word报告。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F23"/>
    <w:rsid w:val="00005DE2"/>
    <w:rsid w:val="00007C3C"/>
    <w:rsid w:val="0001163A"/>
    <w:rsid w:val="00045D80"/>
    <w:rsid w:val="00054831"/>
    <w:rsid w:val="00074744"/>
    <w:rsid w:val="000816B2"/>
    <w:rsid w:val="00082C0D"/>
    <w:rsid w:val="000B247C"/>
    <w:rsid w:val="000F3848"/>
    <w:rsid w:val="00131098"/>
    <w:rsid w:val="00145E45"/>
    <w:rsid w:val="0017057F"/>
    <w:rsid w:val="001734D3"/>
    <w:rsid w:val="001D2966"/>
    <w:rsid w:val="00236560"/>
    <w:rsid w:val="002451DF"/>
    <w:rsid w:val="00270802"/>
    <w:rsid w:val="00281092"/>
    <w:rsid w:val="00292E67"/>
    <w:rsid w:val="00293A30"/>
    <w:rsid w:val="0029745E"/>
    <w:rsid w:val="002A4C4E"/>
    <w:rsid w:val="002C278E"/>
    <w:rsid w:val="002C58DD"/>
    <w:rsid w:val="002D6B16"/>
    <w:rsid w:val="002F1D12"/>
    <w:rsid w:val="00305C43"/>
    <w:rsid w:val="00320A85"/>
    <w:rsid w:val="00323B43"/>
    <w:rsid w:val="00324E0D"/>
    <w:rsid w:val="00333CFA"/>
    <w:rsid w:val="0035169E"/>
    <w:rsid w:val="00352794"/>
    <w:rsid w:val="0039685B"/>
    <w:rsid w:val="003A5DF7"/>
    <w:rsid w:val="003B64B5"/>
    <w:rsid w:val="003B67F6"/>
    <w:rsid w:val="003B6F2C"/>
    <w:rsid w:val="003D37D8"/>
    <w:rsid w:val="003E52DC"/>
    <w:rsid w:val="003F5CB8"/>
    <w:rsid w:val="004051F4"/>
    <w:rsid w:val="0040706F"/>
    <w:rsid w:val="00426133"/>
    <w:rsid w:val="004358AB"/>
    <w:rsid w:val="00441F94"/>
    <w:rsid w:val="004426FD"/>
    <w:rsid w:val="0044740D"/>
    <w:rsid w:val="004511DA"/>
    <w:rsid w:val="00463FEC"/>
    <w:rsid w:val="00471499"/>
    <w:rsid w:val="00485AF2"/>
    <w:rsid w:val="004A1274"/>
    <w:rsid w:val="004B477B"/>
    <w:rsid w:val="004D04F6"/>
    <w:rsid w:val="004E2878"/>
    <w:rsid w:val="00533891"/>
    <w:rsid w:val="00570B41"/>
    <w:rsid w:val="00587561"/>
    <w:rsid w:val="005B7ABC"/>
    <w:rsid w:val="005C62B5"/>
    <w:rsid w:val="005F36D9"/>
    <w:rsid w:val="00614239"/>
    <w:rsid w:val="00630051"/>
    <w:rsid w:val="0064056D"/>
    <w:rsid w:val="006701CF"/>
    <w:rsid w:val="0067589B"/>
    <w:rsid w:val="00691647"/>
    <w:rsid w:val="006A6F59"/>
    <w:rsid w:val="006C02D5"/>
    <w:rsid w:val="006F08FB"/>
    <w:rsid w:val="00725A60"/>
    <w:rsid w:val="0073078F"/>
    <w:rsid w:val="00735042"/>
    <w:rsid w:val="0074469E"/>
    <w:rsid w:val="00745016"/>
    <w:rsid w:val="007C0470"/>
    <w:rsid w:val="007C1184"/>
    <w:rsid w:val="007E4BE0"/>
    <w:rsid w:val="008142B6"/>
    <w:rsid w:val="00855B26"/>
    <w:rsid w:val="00864E95"/>
    <w:rsid w:val="00870F06"/>
    <w:rsid w:val="00890BB2"/>
    <w:rsid w:val="00893C37"/>
    <w:rsid w:val="00896527"/>
    <w:rsid w:val="008A50FA"/>
    <w:rsid w:val="008B7726"/>
    <w:rsid w:val="008C510D"/>
    <w:rsid w:val="008D181B"/>
    <w:rsid w:val="008D1C53"/>
    <w:rsid w:val="008E0E1C"/>
    <w:rsid w:val="009023E5"/>
    <w:rsid w:val="00910024"/>
    <w:rsid w:val="0091126A"/>
    <w:rsid w:val="00934782"/>
    <w:rsid w:val="00940099"/>
    <w:rsid w:val="00952365"/>
    <w:rsid w:val="00952932"/>
    <w:rsid w:val="00976FFD"/>
    <w:rsid w:val="009B4114"/>
    <w:rsid w:val="009E2838"/>
    <w:rsid w:val="009F676C"/>
    <w:rsid w:val="00A02D49"/>
    <w:rsid w:val="00A05B38"/>
    <w:rsid w:val="00A1590A"/>
    <w:rsid w:val="00A2753A"/>
    <w:rsid w:val="00A35D97"/>
    <w:rsid w:val="00A44CC6"/>
    <w:rsid w:val="00A61606"/>
    <w:rsid w:val="00AA0747"/>
    <w:rsid w:val="00AA0CCB"/>
    <w:rsid w:val="00AB1F4B"/>
    <w:rsid w:val="00AE6A90"/>
    <w:rsid w:val="00AF7DA7"/>
    <w:rsid w:val="00B010CD"/>
    <w:rsid w:val="00B029FA"/>
    <w:rsid w:val="00B118D8"/>
    <w:rsid w:val="00B25D47"/>
    <w:rsid w:val="00B36D95"/>
    <w:rsid w:val="00B43D92"/>
    <w:rsid w:val="00B62FB3"/>
    <w:rsid w:val="00B6326A"/>
    <w:rsid w:val="00B66839"/>
    <w:rsid w:val="00B70E44"/>
    <w:rsid w:val="00B74B40"/>
    <w:rsid w:val="00B9229C"/>
    <w:rsid w:val="00B95FDC"/>
    <w:rsid w:val="00B97721"/>
    <w:rsid w:val="00BA2E17"/>
    <w:rsid w:val="00BB4433"/>
    <w:rsid w:val="00BF1DBE"/>
    <w:rsid w:val="00BF3B46"/>
    <w:rsid w:val="00C11229"/>
    <w:rsid w:val="00C16684"/>
    <w:rsid w:val="00C203D6"/>
    <w:rsid w:val="00C216D9"/>
    <w:rsid w:val="00C333A9"/>
    <w:rsid w:val="00C3776E"/>
    <w:rsid w:val="00C377AF"/>
    <w:rsid w:val="00C415CB"/>
    <w:rsid w:val="00C66BFD"/>
    <w:rsid w:val="00C83385"/>
    <w:rsid w:val="00C94DA0"/>
    <w:rsid w:val="00CA0C00"/>
    <w:rsid w:val="00CA688C"/>
    <w:rsid w:val="00CB1E02"/>
    <w:rsid w:val="00CB39C1"/>
    <w:rsid w:val="00CB773D"/>
    <w:rsid w:val="00CC3F25"/>
    <w:rsid w:val="00CD4AF5"/>
    <w:rsid w:val="00CD708E"/>
    <w:rsid w:val="00CE2B41"/>
    <w:rsid w:val="00CF7292"/>
    <w:rsid w:val="00D00BD8"/>
    <w:rsid w:val="00D06237"/>
    <w:rsid w:val="00D23968"/>
    <w:rsid w:val="00D31D50"/>
    <w:rsid w:val="00D87908"/>
    <w:rsid w:val="00D93C70"/>
    <w:rsid w:val="00DA4A9F"/>
    <w:rsid w:val="00DA5585"/>
    <w:rsid w:val="00DB3C97"/>
    <w:rsid w:val="00DB7EA7"/>
    <w:rsid w:val="00DC4FB6"/>
    <w:rsid w:val="00E207DC"/>
    <w:rsid w:val="00E26284"/>
    <w:rsid w:val="00E338FF"/>
    <w:rsid w:val="00E33C19"/>
    <w:rsid w:val="00E43E01"/>
    <w:rsid w:val="00E45C25"/>
    <w:rsid w:val="00EF404C"/>
    <w:rsid w:val="00EF751F"/>
    <w:rsid w:val="00F03046"/>
    <w:rsid w:val="00F14416"/>
    <w:rsid w:val="00F2608F"/>
    <w:rsid w:val="00F308CE"/>
    <w:rsid w:val="00F320F5"/>
    <w:rsid w:val="00F53133"/>
    <w:rsid w:val="00F73A8C"/>
    <w:rsid w:val="00F835D5"/>
    <w:rsid w:val="00FC335D"/>
    <w:rsid w:val="00FC33A7"/>
    <w:rsid w:val="00FC46D0"/>
    <w:rsid w:val="011F5BB6"/>
    <w:rsid w:val="02A107B7"/>
    <w:rsid w:val="094F4BB1"/>
    <w:rsid w:val="09987F68"/>
    <w:rsid w:val="0ED6365A"/>
    <w:rsid w:val="15566342"/>
    <w:rsid w:val="16A10E15"/>
    <w:rsid w:val="1BFB666F"/>
    <w:rsid w:val="1C6C141B"/>
    <w:rsid w:val="25600EB2"/>
    <w:rsid w:val="258A14FB"/>
    <w:rsid w:val="271905E8"/>
    <w:rsid w:val="28792F28"/>
    <w:rsid w:val="35B24A8D"/>
    <w:rsid w:val="38022779"/>
    <w:rsid w:val="3E9454E3"/>
    <w:rsid w:val="3E9C1DB4"/>
    <w:rsid w:val="46A416B3"/>
    <w:rsid w:val="4986761D"/>
    <w:rsid w:val="52342945"/>
    <w:rsid w:val="54F178E2"/>
    <w:rsid w:val="56F53E00"/>
    <w:rsid w:val="5D2D4D2A"/>
    <w:rsid w:val="5EDF7065"/>
    <w:rsid w:val="62FB07C9"/>
    <w:rsid w:val="67EFA641"/>
    <w:rsid w:val="6BF07851"/>
    <w:rsid w:val="78CC529C"/>
    <w:rsid w:val="7CF46513"/>
    <w:rsid w:val="7CF5A84D"/>
    <w:rsid w:val="7FF90B6A"/>
    <w:rsid w:val="B7DF0ACF"/>
    <w:rsid w:val="FF79F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20" w:lineRule="atLeast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8">
    <w:name w:val="Balloon Text"/>
    <w:basedOn w:val="1"/>
    <w:link w:val="22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spacing w:after="100" w:line="259" w:lineRule="auto"/>
    </w:pPr>
    <w:rPr>
      <w:rFonts w:cs="Times New Roman" w:asciiTheme="minorHAnsi" w:hAnsiTheme="minorHAnsi" w:eastAsiaTheme="minorEastAsia"/>
    </w:rPr>
  </w:style>
  <w:style w:type="paragraph" w:styleId="12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table" w:styleId="14">
    <w:name w:val="Table Grid"/>
    <w:basedOn w:val="13"/>
    <w:qFormat/>
    <w:uiPriority w:val="59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5"/>
    <w:link w:val="10"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15"/>
    <w:link w:val="9"/>
    <w:uiPriority w:val="99"/>
    <w:rPr>
      <w:rFonts w:ascii="Tahoma" w:hAnsi="Tahoma"/>
      <w:sz w:val="18"/>
      <w:szCs w:val="18"/>
    </w:rPr>
  </w:style>
  <w:style w:type="character" w:customStyle="1" w:styleId="19">
    <w:name w:val="标题 1 Char"/>
    <w:basedOn w:val="15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2">
    <w:name w:val="批注框文本 Char"/>
    <w:basedOn w:val="15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5">
    <w:name w:val="文档结构图 Char"/>
    <w:basedOn w:val="15"/>
    <w:link w:val="6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748</Words>
  <Characters>4265</Characters>
  <Lines>35</Lines>
  <Paragraphs>10</Paragraphs>
  <TotalTime>0</TotalTime>
  <ScaleCrop>false</ScaleCrop>
  <LinksUpToDate>false</LinksUpToDate>
  <CharactersWithSpaces>5003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Administrator</dc:creator>
  <cp:lastModifiedBy>people</cp:lastModifiedBy>
  <dcterms:modified xsi:type="dcterms:W3CDTF">2020-07-09T09:17:23Z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