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万马高分子定增项目企业基本面风险分析报告</w:t>
      </w:r>
    </w:p>
    <w:p>
      <w:pPr>
        <w:jc w:val="center"/>
      </w:pPr>
      <w:r>
        <w:rPr>
          <w:b/>
        </w:rPr>
        <w:t>报告日期: 2025-09-25</w:t>
      </w:r>
      <w:r>
        <w:br/>
        <w:t>版本: v1.0</w:t>
      </w:r>
    </w:p>
    <w:p>
      <w:r>
        <w:br w:type="page"/>
      </w:r>
    </w:p>
    <w:p>
      <w:pPr>
        <w:pStyle w:val="Heading1"/>
      </w:pPr>
      <w:r>
        <w:t>第一章 项目概况</w:t>
      </w:r>
    </w:p>
    <w:p>
      <w:pPr>
        <w:pStyle w:val="Heading2"/>
      </w:pPr>
      <w:r>
        <w:t>1.1 项目基本信息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万马高分子定增项目</w:t>
            </w:r>
          </w:p>
        </w:tc>
      </w:tr>
      <w:tr>
        <w:tc>
          <w:tcPr>
            <w:tcW w:type="dxa" w:w="4320"/>
          </w:tcPr>
          <w:p>
            <w:r>
              <w:t>股票代码</w:t>
            </w:r>
          </w:p>
        </w:tc>
        <w:tc>
          <w:tcPr>
            <w:tcW w:type="dxa" w:w="4320"/>
          </w:tcPr>
          <w:p>
            <w:r>
              <w:t>002276.SZ</w:t>
            </w:r>
          </w:p>
        </w:tc>
      </w:tr>
      <w:tr>
        <w:tc>
          <w:tcPr>
            <w:tcW w:type="dxa" w:w="4320"/>
          </w:tcPr>
          <w:p>
            <w:r>
              <w:t>公司名称</w:t>
            </w:r>
          </w:p>
        </w:tc>
        <w:tc>
          <w:tcPr>
            <w:tcW w:type="dxa" w:w="4320"/>
          </w:tcPr>
          <w:p>
            <w:r>
              <w:t>万马股份</w:t>
            </w:r>
          </w:p>
        </w:tc>
      </w:tr>
      <w:tr>
        <w:tc>
          <w:tcPr>
            <w:tcW w:type="dxa" w:w="4320"/>
          </w:tcPr>
          <w:p>
            <w:r>
              <w:t>所属行业</w:t>
            </w:r>
          </w:p>
        </w:tc>
        <w:tc>
          <w:tcPr>
            <w:tcW w:type="dxa" w:w="4320"/>
          </w:tcPr>
          <w:p>
            <w:r>
              <w:t>电气设备</w:t>
            </w:r>
          </w:p>
        </w:tc>
      </w:tr>
      <w:tr>
        <w:tc>
          <w:tcPr>
            <w:tcW w:type="dxa" w:w="4320"/>
          </w:tcPr>
          <w:p>
            <w:r>
              <w:t>上市板块</w:t>
            </w:r>
          </w:p>
        </w:tc>
        <w:tc>
          <w:tcPr>
            <w:tcW w:type="dxa" w:w="4320"/>
          </w:tcPr>
          <w:p>
            <w:r>
              <w:t>主板</w:t>
            </w:r>
          </w:p>
        </w:tc>
      </w:tr>
      <w:tr>
        <w:tc>
          <w:tcPr>
            <w:tcW w:type="dxa" w:w="4320"/>
          </w:tcPr>
          <w:p>
            <w:r>
              <w:t>上市日期</w:t>
            </w:r>
          </w:p>
        </w:tc>
        <w:tc>
          <w:tcPr>
            <w:tcW w:type="dxa" w:w="4320"/>
          </w:tcPr>
          <w:p>
            <w:r>
              <w:t>20090710</w:t>
            </w:r>
          </w:p>
        </w:tc>
      </w:tr>
      <w:tr>
        <w:tc>
          <w:tcPr>
            <w:tcW w:type="dxa" w:w="4320"/>
          </w:tcPr>
          <w:p>
            <w:r>
              <w:t>报告日期</w:t>
            </w:r>
          </w:p>
        </w:tc>
        <w:tc>
          <w:tcPr>
            <w:tcW w:type="dxa" w:w="4320"/>
          </w:tcPr>
          <w:p>
            <w:r>
              <w:t>2025-09-25</w:t>
            </w:r>
          </w:p>
        </w:tc>
      </w:tr>
      <w:tr>
        <w:tc>
          <w:tcPr>
            <w:tcW w:type="dxa" w:w="4320"/>
          </w:tcPr>
          <w:p>
            <w:r>
              <w:t>报告版本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p>
      <w:pPr>
        <w:pStyle w:val="Heading2"/>
      </w:pPr>
      <w:r>
        <w:t>1.2 公司基本情况</w:t>
      </w:r>
    </w:p>
    <w:p>
      <w:r>
        <w:t>万马股份成立于20090710，是一家专业从事</w:t>
        <w:br/>
        <w:t>电气设备行业的上市公司。公司于20090710在</w:t>
        <w:br/>
        <w:t>主板上市，股票代码为002276.SZ。</w:t>
      </w:r>
    </w:p>
    <w:p>
      <w:pPr>
        <w:pStyle w:val="Heading2"/>
      </w:pPr>
      <w:r>
        <w:t>1.3 主营业务情况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业务板块</w:t>
            </w:r>
          </w:p>
        </w:tc>
        <w:tc>
          <w:tcPr>
            <w:tcW w:type="dxa" w:w="2880"/>
          </w:tcPr>
          <w:p>
            <w:r>
              <w:t>营业收入(元)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高分子材料</w:t>
            </w:r>
          </w:p>
        </w:tc>
        <w:tc>
          <w:tcPr>
            <w:tcW w:type="dxa" w:w="2880"/>
          </w:tcPr>
          <w:p>
            <w:r>
              <w:t>2,654,267,152.86</w:t>
            </w:r>
          </w:p>
        </w:tc>
        <w:tc>
          <w:tcPr>
            <w:tcW w:type="dxa" w:w="2880"/>
          </w:tcPr>
          <w:p>
            <w:r>
              <w:t>28.19%</w:t>
            </w:r>
          </w:p>
        </w:tc>
      </w:tr>
      <w:tr>
        <w:tc>
          <w:tcPr>
            <w:tcW w:type="dxa" w:w="2880"/>
          </w:tcPr>
          <w:p>
            <w:r>
              <w:t>通信产品</w:t>
            </w:r>
          </w:p>
        </w:tc>
        <w:tc>
          <w:tcPr>
            <w:tcW w:type="dxa" w:w="2880"/>
          </w:tcPr>
          <w:p>
            <w:r>
              <w:t>157,925,893.03</w:t>
            </w:r>
          </w:p>
        </w:tc>
        <w:tc>
          <w:tcPr>
            <w:tcW w:type="dxa" w:w="2880"/>
          </w:tcPr>
          <w:p>
            <w:r>
              <w:t>1.68%</w:t>
            </w:r>
          </w:p>
        </w:tc>
      </w:tr>
      <w:tr>
        <w:tc>
          <w:tcPr>
            <w:tcW w:type="dxa" w:w="2880"/>
          </w:tcPr>
          <w:p>
            <w:r>
              <w:t>贸易服务及其他</w:t>
            </w:r>
          </w:p>
        </w:tc>
        <w:tc>
          <w:tcPr>
            <w:tcW w:type="dxa" w:w="2880"/>
          </w:tcPr>
          <w:p>
            <w:r>
              <w:t>144,620,114.57</w:t>
            </w:r>
          </w:p>
        </w:tc>
        <w:tc>
          <w:tcPr>
            <w:tcW w:type="dxa" w:w="2880"/>
          </w:tcPr>
          <w:p>
            <w:r>
              <w:t>1.54%</w:t>
            </w:r>
          </w:p>
        </w:tc>
      </w:tr>
      <w:tr>
        <w:tc>
          <w:tcPr>
            <w:tcW w:type="dxa" w:w="2880"/>
          </w:tcPr>
          <w:p>
            <w:r>
              <w:t>贸易及其他</w:t>
            </w:r>
          </w:p>
        </w:tc>
        <w:tc>
          <w:tcPr>
            <w:tcW w:type="dxa" w:w="2880"/>
          </w:tcPr>
          <w:p>
            <w:r>
              <w:t>144,620,114.57</w:t>
            </w:r>
          </w:p>
        </w:tc>
        <w:tc>
          <w:tcPr>
            <w:tcW w:type="dxa" w:w="2880"/>
          </w:tcPr>
          <w:p>
            <w:r>
              <w:t>1.54%</w:t>
            </w:r>
          </w:p>
        </w:tc>
      </w:tr>
      <w:tr>
        <w:tc>
          <w:tcPr>
            <w:tcW w:type="dxa" w:w="2880"/>
          </w:tcPr>
          <w:p>
            <w:r>
              <w:t>电力产品</w:t>
            </w:r>
          </w:p>
        </w:tc>
        <w:tc>
          <w:tcPr>
            <w:tcW w:type="dxa" w:w="2880"/>
          </w:tcPr>
          <w:p>
            <w:r>
              <w:t>6,314,710,825.85</w:t>
            </w:r>
          </w:p>
        </w:tc>
        <w:tc>
          <w:tcPr>
            <w:tcW w:type="dxa" w:w="2880"/>
          </w:tcPr>
          <w:p>
            <w:r>
              <w:t>67.06%</w:t>
            </w:r>
          </w:p>
        </w:tc>
      </w:tr>
    </w:tbl>
    <w:p>
      <w:r>
        <w:t>公司主要业务板块包括高分子材料、通信产品、贸易服务及其他等。</w:t>
      </w:r>
    </w:p>
    <w:p>
      <w:pPr>
        <w:pStyle w:val="Heading2"/>
      </w:pPr>
      <w:r>
        <w:t>1.4 定增项目概况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定增目的</w:t>
            </w:r>
          </w:p>
        </w:tc>
        <w:tc>
          <w:tcPr>
            <w:tcW w:type="dxa" w:w="4320"/>
          </w:tcPr>
          <w:p>
            <w:r>
              <w:t>用于万马高分子材料生产基地建设及补充流动资金</w:t>
            </w:r>
          </w:p>
        </w:tc>
      </w:tr>
      <w:tr>
        <w:tc>
          <w:tcPr>
            <w:tcW w:type="dxa" w:w="4320"/>
          </w:tcPr>
          <w:p>
            <w:r>
              <w:t>拟募集资金</w:t>
            </w:r>
          </w:p>
        </w:tc>
        <w:tc>
          <w:tcPr>
            <w:tcW w:type="dxa" w:w="4320"/>
          </w:tcPr>
          <w:p>
            <w:r>
              <w:t>不超过150,000万元</w:t>
            </w:r>
          </w:p>
        </w:tc>
      </w:tr>
      <w:tr>
        <w:tc>
          <w:tcPr>
            <w:tcW w:type="dxa" w:w="4320"/>
          </w:tcPr>
          <w:p>
            <w:r>
              <w:t>发行价格</w:t>
            </w:r>
          </w:p>
        </w:tc>
        <w:tc>
          <w:tcPr>
            <w:tcW w:type="dxa" w:w="4320"/>
          </w:tcPr>
          <w:p>
            <w:r>
              <w:t>不低于定价基准日前20个交易日均价的80%</w:t>
            </w:r>
          </w:p>
        </w:tc>
      </w:tr>
      <w:tr>
        <w:tc>
          <w:tcPr>
            <w:tcW w:type="dxa" w:w="4320"/>
          </w:tcPr>
          <w:p>
            <w:r>
              <w:t>发行数量</w:t>
            </w:r>
          </w:p>
        </w:tc>
        <w:tc>
          <w:tcPr>
            <w:tcW w:type="dxa" w:w="4320"/>
          </w:tcPr>
          <w:p>
            <w:r>
              <w:t>根据最终发行价格确定</w:t>
            </w:r>
          </w:p>
        </w:tc>
      </w:tr>
    </w:tbl>
    <w:p>
      <w:pPr>
        <w:pStyle w:val="Heading1"/>
      </w:pPr>
      <w:r>
        <w:t>第二章 风险概述</w:t>
      </w:r>
    </w:p>
    <w:p>
      <w:pPr>
        <w:pStyle w:val="Heading2"/>
      </w:pPr>
      <w:r>
        <w:t>2.1 风险评级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评级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综合财务评分</w:t>
            </w:r>
          </w:p>
        </w:tc>
        <w:tc>
          <w:tcPr>
            <w:tcW w:type="dxa" w:w="2880"/>
          </w:tcPr>
          <w:p>
            <w:r>
              <w:t>12.00分 (极差)</w:t>
            </w:r>
          </w:p>
        </w:tc>
        <w:tc>
          <w:tcPr>
            <w:tcW w:type="dxa" w:w="2880"/>
          </w:tcPr>
          <w:p>
            <w:r>
              <w:t>高风险</w:t>
            </w:r>
          </w:p>
        </w:tc>
      </w:tr>
      <w:tr>
        <w:tc>
          <w:tcPr>
            <w:tcW w:type="dxa" w:w="2880"/>
          </w:tcPr>
          <w:p>
            <w:r>
              <w:t>估值风险</w:t>
            </w:r>
          </w:p>
        </w:tc>
        <w:tc>
          <w:tcPr>
            <w:tcW w:type="dxa" w:w="2880"/>
          </w:tcPr>
          <w:p>
            <w:r>
              <w:t>PE:41.3/PB:2.4</w:t>
            </w:r>
          </w:p>
        </w:tc>
        <w:tc>
          <w:tcPr>
            <w:tcW w:type="dxa" w:w="2880"/>
          </w:tcPr>
          <w:p>
            <w:r>
              <w:t>中等风险</w:t>
            </w:r>
          </w:p>
        </w:tc>
      </w:tr>
      <w:tr>
        <w:tc>
          <w:tcPr>
            <w:tcW w:type="dxa" w:w="2880"/>
          </w:tcPr>
          <w:p>
            <w:r>
              <w:t>退出风险</w:t>
            </w:r>
          </w:p>
        </w:tc>
        <w:tc>
          <w:tcPr>
            <w:tcW w:type="dxa" w:w="2880"/>
          </w:tcPr>
          <w:p>
            <w:r>
              <w:t>退出存在不确定性</w:t>
            </w:r>
          </w:p>
        </w:tc>
        <w:tc>
          <w:tcPr>
            <w:tcW w:type="dxa" w:w="2880"/>
          </w:tcPr>
          <w:p>
            <w:r>
              <w:t>较高风险</w:t>
            </w:r>
          </w:p>
        </w:tc>
      </w:tr>
    </w:tbl>
    <w:p>
      <w:pPr>
        <w:pStyle w:val="Heading2"/>
      </w:pPr>
      <w:r>
        <w:t>2.2 主要风险点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风险类型</w:t>
            </w:r>
          </w:p>
        </w:tc>
        <w:tc>
          <w:tcPr>
            <w:tcW w:type="dxa" w:w="2880"/>
          </w:tcPr>
          <w:p>
            <w:r>
              <w:t>风险描述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运营能力</w:t>
            </w:r>
          </w:p>
        </w:tc>
        <w:tc>
          <w:tcPr>
            <w:tcW w:type="dxa" w:w="2880"/>
          </w:tcPr>
          <w:p>
            <w:r>
              <w:t>运营能力评分0.00分，低于行业平均水平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盈利能力</w:t>
            </w:r>
          </w:p>
        </w:tc>
        <w:tc>
          <w:tcPr>
            <w:tcW w:type="dxa" w:w="2880"/>
          </w:tcPr>
          <w:p>
            <w:r>
              <w:t>盈利能力评分26.67分，低于行业平均水平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偿债能力</w:t>
            </w:r>
          </w:p>
        </w:tc>
        <w:tc>
          <w:tcPr>
            <w:tcW w:type="dxa" w:w="2880"/>
          </w:tcPr>
          <w:p>
            <w:r>
              <w:t>偿债能力评分0.00分，低于行业平均水平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成长能力</w:t>
            </w:r>
          </w:p>
        </w:tc>
        <w:tc>
          <w:tcPr>
            <w:tcW w:type="dxa" w:w="2880"/>
          </w:tcPr>
          <w:p>
            <w:r>
              <w:t>成长能力评分20.00分，低于行业平均水平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</w:tbl>
    <w:p>
      <w:pPr>
        <w:pStyle w:val="Heading2"/>
      </w:pPr>
      <w:r>
        <w:t>2.3 风险应对建议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风险类型</w:t>
            </w:r>
          </w:p>
        </w:tc>
        <w:tc>
          <w:tcPr>
            <w:tcW w:type="dxa" w:w="4320"/>
          </w:tcPr>
          <w:p>
            <w:r>
              <w:t>应对建议</w:t>
            </w:r>
          </w:p>
        </w:tc>
      </w:tr>
      <w:tr>
        <w:tc>
          <w:tcPr>
            <w:tcW w:type="dxa" w:w="4320"/>
          </w:tcPr>
          <w:p>
            <w:r>
              <w:t>财务风险</w:t>
            </w:r>
          </w:p>
        </w:tc>
        <w:tc>
          <w:tcPr>
            <w:tcW w:type="dxa" w:w="4320"/>
          </w:tcPr>
          <w:p>
            <w:r>
              <w:t>关注运营能力+盈利能力+偿债能力+成长能力方面，定期跟踪核心财务指标变化</w:t>
            </w:r>
          </w:p>
        </w:tc>
      </w:tr>
      <w:tr>
        <w:tc>
          <w:tcPr>
            <w:tcW w:type="dxa" w:w="4320"/>
          </w:tcPr>
          <w:p>
            <w:r>
              <w:t>估值风险</w:t>
            </w:r>
          </w:p>
        </w:tc>
        <w:tc>
          <w:tcPr>
            <w:tcW w:type="dxa" w:w="4320"/>
          </w:tcPr>
          <w:p>
            <w:r>
              <w:t>当前PE(41.3)偏高，建议审慎评估定增价格，关注市场估值回调风险</w:t>
            </w:r>
          </w:p>
        </w:tc>
      </w:tr>
      <w:tr>
        <w:tc>
          <w:tcPr>
            <w:tcW w:type="dxa" w:w="4320"/>
          </w:tcPr>
          <w:p>
            <w:r>
              <w:t>退出风险</w:t>
            </w:r>
          </w:p>
        </w:tc>
        <w:tc>
          <w:tcPr>
            <w:tcW w:type="dxa" w:w="4320"/>
          </w:tcPr>
          <w:p>
            <w:r>
              <w:t>制定多元化退出策略（二级市场减持、大宗交易、协议转让），分散减持时点降低冲击成本</w:t>
            </w:r>
          </w:p>
        </w:tc>
      </w:tr>
      <w:tr>
        <w:tc>
          <w:tcPr>
            <w:tcW w:type="dxa" w:w="4320"/>
          </w:tcPr>
          <w:p>
            <w:r>
              <w:t>运营风险</w:t>
            </w:r>
          </w:p>
        </w:tc>
        <w:tc>
          <w:tcPr>
            <w:tcW w:type="dxa" w:w="4320"/>
          </w:tcPr>
          <w:p>
            <w:r>
              <w:t>重点关注公司存货周转和应收账款回收情况，防范运营效率下降风险</w:t>
            </w:r>
          </w:p>
        </w:tc>
      </w:tr>
    </w:tbl>
    <w:p>
      <w:pPr>
        <w:pStyle w:val="Heading1"/>
      </w:pPr>
      <w:r>
        <w:t>第三章 财务风险分析</w:t>
      </w:r>
    </w:p>
    <w:p>
      <w:pPr>
        <w:pStyle w:val="Heading2"/>
      </w:pPr>
      <w:r>
        <w:t>3.1 综合财务评分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综合评分</w:t>
            </w:r>
          </w:p>
        </w:tc>
        <w:tc>
          <w:tcPr>
            <w:tcW w:type="dxa" w:w="2880"/>
          </w:tcPr>
          <w:p>
            <w:r>
              <w:t>12.00分</w:t>
            </w:r>
          </w:p>
        </w:tc>
        <w:tc>
          <w:tcPr>
            <w:tcW w:type="dxa" w:w="2880"/>
          </w:tcPr>
          <w:p>
            <w:r>
              <w:t>极差</w:t>
            </w:r>
          </w:p>
        </w:tc>
      </w:tr>
      <w:tr>
        <w:tc>
          <w:tcPr>
            <w:tcW w:type="dxa" w:w="2880"/>
          </w:tcPr>
          <w:p>
            <w:r>
              <w:t>运营能力</w:t>
            </w:r>
          </w:p>
        </w:tc>
        <w:tc>
          <w:tcPr>
            <w:tcW w:type="dxa" w:w="2880"/>
          </w:tcPr>
          <w:p>
            <w:r>
              <w:t>0.00分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盈利能力</w:t>
            </w:r>
          </w:p>
        </w:tc>
        <w:tc>
          <w:tcPr>
            <w:tcW w:type="dxa" w:w="2880"/>
          </w:tcPr>
          <w:p>
            <w:r>
              <w:t>26.67分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偿债能力</w:t>
            </w:r>
          </w:p>
        </w:tc>
        <w:tc>
          <w:tcPr>
            <w:tcW w:type="dxa" w:w="2880"/>
          </w:tcPr>
          <w:p>
            <w:r>
              <w:t>0.00分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成长能力</w:t>
            </w:r>
          </w:p>
        </w:tc>
        <w:tc>
          <w:tcPr>
            <w:tcW w:type="dxa" w:w="2880"/>
          </w:tcPr>
          <w:p>
            <w:r>
              <w:t>20.00分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财务评分采用EFAES评分系统，综合考虑运营能力、盈利能力、偿债能力和成长能力四个维度。</w:t>
        <w:br/>
        <w:br/>
        <w:t>评分标准：</w:t>
        <w:br/>
        <w:t>- 优秀(90-100分)：各项财务指标表现优异，处于行业领先水平</w:t>
        <w:br/>
        <w:t>- 良好(80-89分)：财务指标表现良好，具有较强的竞争力</w:t>
        <w:br/>
        <w:t>- 中等(70-79分)：财务指标表现一般，处于行业中游水平</w:t>
        <w:br/>
        <w:t>- 较差(60-69分)：部分财务指标较弱，需要关注改进</w:t>
        <w:br/>
        <w:t>- 极差(0-59分)：多项财务指标表现较差，存在较大风险</w:t>
        <w:br/>
        <w:br/>
        <w:t>公司当前综合评分为12.00分，评级为"极差"。</w:t>
      </w:r>
    </w:p>
    <w:p>
      <w:pPr>
        <w:pStyle w:val="Heading2"/>
      </w:pPr>
      <w:r>
        <w:t>3.2 运营能力分析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评分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存货周转率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数据缺失</w:t>
            </w:r>
          </w:p>
        </w:tc>
      </w:tr>
      <w:tr>
        <w:tc>
          <w:tcPr>
            <w:tcW w:type="dxa" w:w="2160"/>
          </w:tcPr>
          <w:p>
            <w:r>
              <w:t>应收账款周转率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数据缺失</w:t>
            </w:r>
          </w:p>
        </w:tc>
      </w:tr>
      <w:tr>
        <w:tc>
          <w:tcPr>
            <w:tcW w:type="dxa" w:w="2160"/>
          </w:tcPr>
          <w:p>
            <w:r>
              <w:t>流动资产周转率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数据缺失</w:t>
            </w:r>
          </w:p>
        </w:tc>
      </w:tr>
      <w:tr>
        <w:tc>
          <w:tcPr>
            <w:tcW w:type="dxa" w:w="2160"/>
          </w:tcPr>
          <w:p>
            <w:r>
              <w:t>总资产周转率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数据缺失</w:t>
            </w:r>
          </w:p>
        </w:tc>
      </w:tr>
    </w:tbl>
    <w:p>
      <w:pPr>
        <w:pStyle w:val="Heading2"/>
      </w:pPr>
      <w:r>
        <w:t>3.3 盈利能力分析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评分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销售净利率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数据缺失</w:t>
            </w:r>
          </w:p>
        </w:tc>
      </w:tr>
      <w:tr>
        <w:tc>
          <w:tcPr>
            <w:tcW w:type="dxa" w:w="2160"/>
          </w:tcPr>
          <w:p>
            <w:r>
              <w:t>毛利率</w:t>
            </w:r>
          </w:p>
        </w:tc>
        <w:tc>
          <w:tcPr>
            <w:tcW w:type="dxa" w:w="2160"/>
          </w:tcPr>
          <w:p>
            <w:r>
              <w:t>2011338765.94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净资产收益率</w:t>
            </w:r>
          </w:p>
        </w:tc>
        <w:tc>
          <w:tcPr>
            <w:tcW w:type="dxa" w:w="2160"/>
          </w:tcPr>
          <w:p>
            <w:r>
              <w:t>6.1775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总资产收益率</w:t>
            </w:r>
          </w:p>
        </w:tc>
        <w:tc>
          <w:tcPr>
            <w:tcW w:type="dxa" w:w="2160"/>
          </w:tcPr>
          <w:p>
            <w:r>
              <w:t>2.6858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</w:tbl>
    <w:p>
      <w:pPr>
        <w:pStyle w:val="Heading2"/>
      </w:pPr>
      <w:r>
        <w:t>3.4 偿债能力分析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评分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流动比率</w:t>
            </w:r>
          </w:p>
        </w:tc>
        <w:tc>
          <w:tcPr>
            <w:tcW w:type="dxa" w:w="2160"/>
          </w:tcPr>
          <w:p>
            <w:r>
              <w:t>1.3992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速动比率</w:t>
            </w:r>
          </w:p>
        </w:tc>
        <w:tc>
          <w:tcPr>
            <w:tcW w:type="dxa" w:w="2160"/>
          </w:tcPr>
          <w:p>
            <w:r>
              <w:t>1.2374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资产负债率</w:t>
            </w:r>
          </w:p>
        </w:tc>
        <w:tc>
          <w:tcPr>
            <w:tcW w:type="dxa" w:w="2160"/>
          </w:tcPr>
          <w:p>
            <w:r>
              <w:t>62.2609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利息保障倍数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数据缺失</w:t>
            </w:r>
          </w:p>
        </w:tc>
      </w:tr>
    </w:tbl>
    <w:p>
      <w:pPr>
        <w:pStyle w:val="Heading2"/>
      </w:pPr>
      <w:r>
        <w:t>3.5 成长能力分析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评分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净利润同比增长率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数据缺失</w:t>
            </w:r>
          </w:p>
        </w:tc>
      </w:tr>
      <w:tr>
        <w:tc>
          <w:tcPr>
            <w:tcW w:type="dxa" w:w="2160"/>
          </w:tcPr>
          <w:p>
            <w:r>
              <w:t>营业收入同比增长率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数据缺失</w:t>
            </w:r>
          </w:p>
        </w:tc>
      </w:tr>
      <w:tr>
        <w:tc>
          <w:tcPr>
            <w:tcW w:type="dxa" w:w="2160"/>
          </w:tcPr>
          <w:p>
            <w:r>
              <w:t>净资产同比增长率</w:t>
            </w:r>
          </w:p>
        </w:tc>
        <w:tc>
          <w:tcPr>
            <w:tcW w:type="dxa" w:w="2160"/>
          </w:tcPr>
          <w:p>
            <w:r>
              <w:t>4.5157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</w:tbl>
    <w:p>
      <w:pPr>
        <w:pStyle w:val="Heading2"/>
      </w:pPr>
      <w:r>
        <w:t>3.6 行业对比分析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公司值</w:t>
            </w:r>
          </w:p>
        </w:tc>
        <w:tc>
          <w:tcPr>
            <w:tcW w:type="dxa" w:w="2160"/>
          </w:tcPr>
          <w:p>
            <w:r>
              <w:t>行业中位数</w:t>
            </w:r>
          </w:p>
        </w:tc>
        <w:tc>
          <w:tcPr>
            <w:tcW w:type="dxa" w:w="2160"/>
          </w:tcPr>
          <w:p>
            <w:r>
              <w:t>行业排名</w:t>
            </w:r>
          </w:p>
        </w:tc>
      </w:tr>
      <w:tr>
        <w:tc>
          <w:tcPr>
            <w:tcW w:type="dxa" w:w="2160"/>
          </w:tcPr>
          <w:p>
            <w:r>
              <w:t>净资产收益率</w:t>
            </w:r>
          </w:p>
        </w:tc>
        <w:tc>
          <w:tcPr>
            <w:tcW w:type="dxa" w:w="2160"/>
          </w:tcPr>
          <w:p>
            <w:r>
              <w:t>6.1775</w:t>
            </w:r>
          </w:p>
        </w:tc>
        <w:tc>
          <w:tcPr>
            <w:tcW w:type="dxa" w:w="2160"/>
          </w:tcPr>
          <w:p>
            <w:r>
              <w:t>10.2212</w:t>
            </w:r>
          </w:p>
        </w:tc>
        <w:tc>
          <w:tcPr>
            <w:tcW w:type="dxa" w:w="2160"/>
          </w:tcPr>
          <w:p>
            <w:r>
              <w:t>1/1</w:t>
            </w:r>
          </w:p>
        </w:tc>
      </w:tr>
      <w:tr>
        <w:tc>
          <w:tcPr>
            <w:tcW w:type="dxa" w:w="2160"/>
          </w:tcPr>
          <w:p>
            <w:r>
              <w:t>毛利率</w:t>
            </w:r>
          </w:p>
        </w:tc>
        <w:tc>
          <w:tcPr>
            <w:tcW w:type="dxa" w:w="2160"/>
          </w:tcPr>
          <w:p>
            <w:r>
              <w:t>2011338765.94</w:t>
            </w:r>
          </w:p>
        </w:tc>
        <w:tc>
          <w:tcPr>
            <w:tcW w:type="dxa" w:w="2160"/>
          </w:tcPr>
          <w:p>
            <w:r>
              <w:t>2009902194.64</w:t>
            </w:r>
          </w:p>
        </w:tc>
        <w:tc>
          <w:tcPr>
            <w:tcW w:type="dxa" w:w="2160"/>
          </w:tcPr>
          <w:p>
            <w:r>
              <w:t>1/1</w:t>
            </w:r>
          </w:p>
        </w:tc>
      </w:tr>
      <w:tr>
        <w:tc>
          <w:tcPr>
            <w:tcW w:type="dxa" w:w="2160"/>
          </w:tcPr>
          <w:p>
            <w:r>
              <w:t>流动比率</w:t>
            </w:r>
          </w:p>
        </w:tc>
        <w:tc>
          <w:tcPr>
            <w:tcW w:type="dxa" w:w="2160"/>
          </w:tcPr>
          <w:p>
            <w:r>
              <w:t>1.3992</w:t>
            </w:r>
          </w:p>
        </w:tc>
        <w:tc>
          <w:tcPr>
            <w:tcW w:type="dxa" w:w="2160"/>
          </w:tcPr>
          <w:p>
            <w:r>
              <w:t>1.8546</w:t>
            </w:r>
          </w:p>
        </w:tc>
        <w:tc>
          <w:tcPr>
            <w:tcW w:type="dxa" w:w="2160"/>
          </w:tcPr>
          <w:p>
            <w:r>
              <w:t>1/1</w:t>
            </w:r>
          </w:p>
        </w:tc>
      </w:tr>
      <w:tr>
        <w:tc>
          <w:tcPr>
            <w:tcW w:type="dxa" w:w="2160"/>
          </w:tcPr>
          <w:p>
            <w:r>
              <w:t>资产负债率</w:t>
            </w:r>
          </w:p>
        </w:tc>
        <w:tc>
          <w:tcPr>
            <w:tcW w:type="dxa" w:w="2160"/>
          </w:tcPr>
          <w:p>
            <w:r>
              <w:t>62.2609</w:t>
            </w:r>
          </w:p>
        </w:tc>
        <w:tc>
          <w:tcPr>
            <w:tcW w:type="dxa" w:w="2160"/>
          </w:tcPr>
          <w:p>
            <w:r>
              <w:t>41.7251</w:t>
            </w:r>
          </w:p>
        </w:tc>
        <w:tc>
          <w:tcPr>
            <w:tcW w:type="dxa" w:w="2160"/>
          </w:tcPr>
          <w:p>
            <w:r>
              <w:t>1/1</w:t>
            </w:r>
          </w:p>
        </w:tc>
      </w:tr>
    </w:tbl>
    <w:p>
      <w:pPr>
        <w:pStyle w:val="Heading1"/>
      </w:pPr>
      <w:r>
        <w:t>第四章 估值风险分析</w:t>
      </w:r>
    </w:p>
    <w:p>
      <w:pPr>
        <w:pStyle w:val="Heading2"/>
      </w:pPr>
      <w:r>
        <w:t>4.1 当前估值水平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最新收盘价</w:t>
            </w:r>
          </w:p>
        </w:tc>
        <w:tc>
          <w:tcPr>
            <w:tcW w:type="dxa" w:w="4320"/>
          </w:tcPr>
          <w:p>
            <w:r>
              <w:t>13.53元</w:t>
            </w:r>
          </w:p>
        </w:tc>
      </w:tr>
      <w:tr>
        <w:tc>
          <w:tcPr>
            <w:tcW w:type="dxa" w:w="4320"/>
          </w:tcPr>
          <w:p>
            <w:r>
              <w:t>市盈率(PE)</w:t>
            </w:r>
          </w:p>
        </w:tc>
        <w:tc>
          <w:tcPr>
            <w:tcW w:type="dxa" w:w="4320"/>
          </w:tcPr>
          <w:p>
            <w:r>
              <w:t>41.33</w:t>
            </w:r>
          </w:p>
        </w:tc>
      </w:tr>
      <w:tr>
        <w:tc>
          <w:tcPr>
            <w:tcW w:type="dxa" w:w="4320"/>
          </w:tcPr>
          <w:p>
            <w:r>
              <w:t>市净率(PB)</w:t>
            </w:r>
          </w:p>
        </w:tc>
        <w:tc>
          <w:tcPr>
            <w:tcW w:type="dxa" w:w="4320"/>
          </w:tcPr>
          <w:p>
            <w:r>
              <w:t>2.43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137.23亿元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[暂无数据]</w:t>
            </w:r>
          </w:p>
        </w:tc>
      </w:tr>
    </w:tbl>
    <w:p>
      <w:pPr>
        <w:pStyle w:val="Heading2"/>
      </w:pPr>
      <w:r>
        <w:t>4.2 DCF估值分析</w:t>
      </w:r>
    </w:p>
    <w:p>
      <w:r>
        <w:t>DCF（折现现金流）估值采用以下三种方法进行计算：</w:t>
        <w:br/>
        <w:br/>
        <w:t>1. FCFF法（企业价值）</w:t>
        <w:br/>
        <w:t xml:space="preserve">   公式：EV = Σ FCFF/(1+WACC)^t + TV/(1+WACC)^n</w:t>
        <w:br/>
        <w:t xml:space="preserve">   说明：使用加权平均资本成本(WACC)作为折现率，计算企业整体价值</w:t>
        <w:br/>
        <w:br/>
        <w:t>2. FCFE法（股权价值）</w:t>
        <w:br/>
        <w:t xml:space="preserve">   公式：股权价值 = Σ FCFE/(1+Ke)^t + TV/(1+Ke)^n</w:t>
        <w:br/>
        <w:t xml:space="preserve">   说明：使用权益资本成本(Ke)作为折现率，直接计算股权价值</w:t>
        <w:br/>
        <w:br/>
        <w:t>3. 间接法（股权价值）</w:t>
        <w:br/>
        <w:t xml:space="preserve">   公式：股权价值 = EV - 净债务</w:t>
        <w:br/>
        <w:t xml:space="preserve">   说明：先计算企业价值，再减去净债务得到股权价值</w:t>
        <w:br/>
        <w:br/>
        <w:t>参数设置：</w:t>
        <w:br/>
        <w:t>- 无风险利率：3%（参考10年期国债收益率）</w:t>
        <w:br/>
        <w:t>- 市场风险溢价：6%</w:t>
        <w:br/>
        <w:t>- Beta系数：1.0</w:t>
        <w:br/>
        <w:t>- 永续增长率：3%</w:t>
        <w:br/>
        <w:t>- 预测期：5年</w:t>
      </w:r>
    </w:p>
    <w:p>
      <w:pPr>
        <w:pStyle w:val="Heading3"/>
      </w:pPr>
      <w:r>
        <w:t>4.2.1 DCF参数设置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WACC(加权平均资本成本)</w:t>
            </w:r>
          </w:p>
        </w:tc>
        <w:tc>
          <w:tcPr>
            <w:tcW w:type="dxa" w:w="4320"/>
          </w:tcPr>
          <w:p>
            <w:r>
              <w:t>5.69%</w:t>
            </w:r>
          </w:p>
        </w:tc>
      </w:tr>
      <w:tr>
        <w:tc>
          <w:tcPr>
            <w:tcW w:type="dxa" w:w="4320"/>
          </w:tcPr>
          <w:p>
            <w:r>
              <w:t>Ke(权益资本成本)</w:t>
            </w:r>
          </w:p>
        </w:tc>
        <w:tc>
          <w:tcPr>
            <w:tcW w:type="dxa" w:w="4320"/>
          </w:tcPr>
          <w:p>
            <w:r>
              <w:t>9.00%</w:t>
            </w:r>
          </w:p>
        </w:tc>
      </w:tr>
      <w:tr>
        <w:tc>
          <w:tcPr>
            <w:tcW w:type="dxa" w:w="4320"/>
          </w:tcPr>
          <w:p>
            <w:r>
              <w:t>无风险利率</w:t>
            </w:r>
          </w:p>
        </w:tc>
        <w:tc>
          <w:tcPr>
            <w:tcW w:type="dxa" w:w="4320"/>
          </w:tcPr>
          <w:p>
            <w:r>
              <w:t>3.00%</w:t>
            </w:r>
          </w:p>
        </w:tc>
      </w:tr>
      <w:tr>
        <w:tc>
          <w:tcPr>
            <w:tcW w:type="dxa" w:w="4320"/>
          </w:tcPr>
          <w:p>
            <w:r>
              <w:t>市场风险溢价</w:t>
            </w:r>
          </w:p>
        </w:tc>
        <w:tc>
          <w:tcPr>
            <w:tcW w:type="dxa" w:w="4320"/>
          </w:tcPr>
          <w:p>
            <w:r>
              <w:t>6.00%</w:t>
            </w:r>
          </w:p>
        </w:tc>
      </w:tr>
      <w:tr>
        <w:tc>
          <w:tcPr>
            <w:tcW w:type="dxa" w:w="4320"/>
          </w:tcPr>
          <w:p>
            <w:r>
              <w:t>Beta系数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永续增长率</w:t>
            </w:r>
          </w:p>
        </w:tc>
        <w:tc>
          <w:tcPr>
            <w:tcW w:type="dxa" w:w="4320"/>
          </w:tcPr>
          <w:p>
            <w:r>
              <w:t>3.00%</w:t>
            </w:r>
          </w:p>
        </w:tc>
      </w:tr>
    </w:tbl>
    <w:p>
      <w:pPr>
        <w:pStyle w:val="Heading3"/>
      </w:pPr>
      <w:r>
        <w:t>4.2.2 DCF估值结果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估值方法</w:t>
            </w:r>
          </w:p>
        </w:tc>
        <w:tc>
          <w:tcPr>
            <w:tcW w:type="dxa" w:w="1728"/>
          </w:tcPr>
          <w:p>
            <w:r>
              <w:t>估值结果(万元)</w:t>
            </w:r>
          </w:p>
        </w:tc>
        <w:tc>
          <w:tcPr>
            <w:tcW w:type="dxa" w:w="1728"/>
          </w:tcPr>
          <w:p>
            <w:r>
              <w:t>每股价值(元)</w:t>
            </w:r>
          </w:p>
        </w:tc>
        <w:tc>
          <w:tcPr>
            <w:tcW w:type="dxa" w:w="1728"/>
          </w:tcPr>
          <w:p>
            <w:r>
              <w:t>估值空间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FCFF法(企业价值)</w:t>
            </w:r>
          </w:p>
        </w:tc>
        <w:tc>
          <w:tcPr>
            <w:tcW w:type="dxa" w:w="1728"/>
          </w:tcPr>
          <w:p>
            <w:r>
              <w:t>-6097798920.73</w:t>
            </w:r>
          </w:p>
        </w:tc>
        <w:tc>
          <w:tcPr>
            <w:tcW w:type="dxa" w:w="1728"/>
          </w:tcPr>
          <w:p>
            <w:r>
              <w:t>-601188999.86</w:t>
            </w:r>
          </w:p>
        </w:tc>
        <w:tc>
          <w:tcPr>
            <w:tcW w:type="dxa" w:w="1728"/>
          </w:tcPr>
          <w:p>
            <w:r>
              <w:t>-4443377778.22%</w:t>
            </w:r>
          </w:p>
        </w:tc>
        <w:tc>
          <w:tcPr>
            <w:tcW w:type="dxa" w:w="1728"/>
          </w:tcPr>
          <w:p>
            <w:r>
              <w:t>EV = Σ FCFF/(1+WACC)^t + TV/(1+WACC)^n</w:t>
            </w:r>
          </w:p>
        </w:tc>
      </w:tr>
      <w:tr>
        <w:tc>
          <w:tcPr>
            <w:tcW w:type="dxa" w:w="1728"/>
          </w:tcPr>
          <w:p>
            <w:r>
              <w:t>FCFE法(股权价值)</w:t>
            </w:r>
          </w:p>
        </w:tc>
        <w:tc>
          <w:tcPr>
            <w:tcW w:type="dxa" w:w="1728"/>
          </w:tcPr>
          <w:p>
            <w:r>
              <w:t>-1056115474.97</w:t>
            </w:r>
          </w:p>
        </w:tc>
        <w:tc>
          <w:tcPr>
            <w:tcW w:type="dxa" w:w="1728"/>
          </w:tcPr>
          <w:p>
            <w:r>
              <w:t>-104123637.79</w:t>
            </w:r>
          </w:p>
        </w:tc>
        <w:tc>
          <w:tcPr>
            <w:tcW w:type="dxa" w:w="1728"/>
          </w:tcPr>
          <w:p>
            <w:r>
              <w:t>-769576136.88%</w:t>
            </w:r>
          </w:p>
        </w:tc>
        <w:tc>
          <w:tcPr>
            <w:tcW w:type="dxa" w:w="1728"/>
          </w:tcPr>
          <w:p>
            <w:r>
              <w:t>股权价值 = Σ FCFE/(1+Ke)^t + TV/(1+Ke)^n</w:t>
            </w:r>
          </w:p>
        </w:tc>
      </w:tr>
      <w:tr>
        <w:tc>
          <w:tcPr>
            <w:tcW w:type="dxa" w:w="1728"/>
          </w:tcPr>
          <w:p>
            <w:r>
              <w:t>间接法(股权价值)</w:t>
            </w:r>
          </w:p>
        </w:tc>
        <w:tc>
          <w:tcPr>
            <w:tcW w:type="dxa" w:w="1728"/>
          </w:tcPr>
          <w:p>
            <w:r>
              <w:t>-6097798920.73</w:t>
            </w:r>
          </w:p>
        </w:tc>
        <w:tc>
          <w:tcPr>
            <w:tcW w:type="dxa" w:w="1728"/>
          </w:tcPr>
          <w:p>
            <w:r>
              <w:t>-601188999.86</w:t>
            </w:r>
          </w:p>
        </w:tc>
        <w:tc>
          <w:tcPr>
            <w:tcW w:type="dxa" w:w="1728"/>
          </w:tcPr>
          <w:p>
            <w:r>
              <w:t>-4443377778.22%</w:t>
            </w:r>
          </w:p>
        </w:tc>
        <w:tc>
          <w:tcPr>
            <w:tcW w:type="dxa" w:w="1728"/>
          </w:tcPr>
          <w:p>
            <w:r>
              <w:t>股权价值 = EV - 净债务 (0.00万元)</w:t>
            </w:r>
          </w:p>
        </w:tc>
      </w:tr>
    </w:tbl>
    <w:p>
      <w:pPr>
        <w:pStyle w:val="Heading3"/>
      </w:pPr>
      <w:r>
        <w:t>4.2.3 三种方法对比分析</w:t>
      </w:r>
    </w:p>
    <w:p>
      <w:r>
        <w:t>三种DCF估值方法对比：</w:t>
        <w:br/>
        <w:br/>
        <w:t>方法一(FCFF法)计算结果：企业价值 -609779.89 亿元</w:t>
        <w:br/>
        <w:t>方法二(FCFE法)计算结果：股权价值 -105611.55 亿元</w:t>
        <w:br/>
        <w:t>方法三(间接法)计算结果：股权价值 -609779.89 亿元</w:t>
        <w:br/>
        <w:br/>
        <w:t>三种方法的理论一致性：FCFE = EV - 净债务</w:t>
        <w:br/>
        <w:t>方法二与方法三的差异：0.00%</w:t>
        <w:br/>
        <w:br/>
        <w:t>差异原因分析：</w:t>
        <w:br/>
        <w:t>- FCFF法和FCFE法使用不同的折现率(WACC vs Ke)</w:t>
        <w:br/>
        <w:t>- 间接法通过企业价值减去净债务得到股权价值</w:t>
        <w:br/>
        <w:t>- 三种方法相互验证，可综合判断估值合理性</w:t>
      </w:r>
    </w:p>
    <w:p>
      <w:pPr>
        <w:pStyle w:val="Heading2"/>
      </w:pPr>
      <w:r>
        <w:t>4.3 历史估值对比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年份</w:t>
            </w:r>
          </w:p>
        </w:tc>
        <w:tc>
          <w:tcPr>
            <w:tcW w:type="dxa" w:w="1440"/>
          </w:tcPr>
          <w:p>
            <w:r>
              <w:t>PE均值</w:t>
            </w:r>
          </w:p>
        </w:tc>
        <w:tc>
          <w:tcPr>
            <w:tcW w:type="dxa" w:w="1440"/>
          </w:tcPr>
          <w:p>
            <w:r>
              <w:t>PE中位数</w:t>
            </w:r>
          </w:p>
        </w:tc>
        <w:tc>
          <w:tcPr>
            <w:tcW w:type="dxa" w:w="1440"/>
          </w:tcPr>
          <w:p>
            <w:r>
              <w:t>PE区间</w:t>
            </w:r>
          </w:p>
        </w:tc>
        <w:tc>
          <w:tcPr>
            <w:tcW w:type="dxa" w:w="1440"/>
          </w:tcPr>
          <w:p>
            <w:r>
              <w:t>PB均值</w:t>
            </w:r>
          </w:p>
        </w:tc>
        <w:tc>
          <w:tcPr>
            <w:tcW w:type="dxa" w:w="1440"/>
          </w:tcPr>
          <w:p>
            <w:r>
              <w:t>PB中位数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23.29</w:t>
            </w:r>
          </w:p>
        </w:tc>
        <w:tc>
          <w:tcPr>
            <w:tcW w:type="dxa" w:w="1440"/>
          </w:tcPr>
          <w:p>
            <w:r>
              <w:t>23.12</w:t>
            </w:r>
          </w:p>
        </w:tc>
        <w:tc>
          <w:tcPr>
            <w:tcW w:type="dxa" w:w="1440"/>
          </w:tcPr>
          <w:p>
            <w:r>
              <w:t>17.9-31.5</w:t>
            </w:r>
          </w:p>
        </w:tc>
        <w:tc>
          <w:tcPr>
            <w:tcW w:type="dxa" w:w="1440"/>
          </w:tcPr>
          <w:p>
            <w:r>
              <w:t>2.24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17.47</w:t>
            </w:r>
          </w:p>
        </w:tc>
        <w:tc>
          <w:tcPr>
            <w:tcW w:type="dxa" w:w="1440"/>
          </w:tcPr>
          <w:p>
            <w:r>
              <w:t>16.30</w:t>
            </w:r>
          </w:p>
        </w:tc>
        <w:tc>
          <w:tcPr>
            <w:tcW w:type="dxa" w:w="1440"/>
          </w:tcPr>
          <w:p>
            <w:r>
              <w:t>11.8-28.7</w:t>
            </w:r>
          </w:p>
        </w:tc>
        <w:tc>
          <w:tcPr>
            <w:tcW w:type="dxa" w:w="1440"/>
          </w:tcPr>
          <w:p>
            <w:r>
              <w:t>1.51</w:t>
            </w:r>
          </w:p>
        </w:tc>
        <w:tc>
          <w:tcPr>
            <w:tcW w:type="dxa" w:w="1440"/>
          </w:tcPr>
          <w:p>
            <w:r>
              <w:t>1.51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39.32</w:t>
            </w:r>
          </w:p>
        </w:tc>
        <w:tc>
          <w:tcPr>
            <w:tcW w:type="dxa" w:w="1440"/>
          </w:tcPr>
          <w:p>
            <w:r>
              <w:t>40.57</w:t>
            </w:r>
          </w:p>
        </w:tc>
        <w:tc>
          <w:tcPr>
            <w:tcW w:type="dxa" w:w="1440"/>
          </w:tcPr>
          <w:p>
            <w:r>
              <w:t>23.7-60.1</w:t>
            </w:r>
          </w:p>
        </w:tc>
        <w:tc>
          <w:tcPr>
            <w:tcW w:type="dxa" w:w="1440"/>
          </w:tcPr>
          <w:p>
            <w:r>
              <w:t>2.56</w:t>
            </w:r>
          </w:p>
        </w:tc>
        <w:tc>
          <w:tcPr>
            <w:tcW w:type="dxa" w:w="1440"/>
          </w:tcPr>
          <w:p>
            <w:r>
              <w:t>2.62</w:t>
            </w:r>
          </w:p>
        </w:tc>
      </w:tr>
      <w:tr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32.68</w:t>
            </w:r>
          </w:p>
        </w:tc>
        <w:tc>
          <w:tcPr>
            <w:tcW w:type="dxa" w:w="1440"/>
          </w:tcPr>
          <w:p>
            <w:r>
              <w:t>33.92</w:t>
            </w:r>
          </w:p>
        </w:tc>
        <w:tc>
          <w:tcPr>
            <w:tcW w:type="dxa" w:w="1440"/>
          </w:tcPr>
          <w:p>
            <w:r>
              <w:t>27.7-37.5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</w:tr>
    </w:tbl>
    <w:p>
      <w:r>
        <w:t>当前PE(41.33)处于近3年历史的85.5%分位水平。</w:t>
      </w:r>
    </w:p>
    <w:p>
      <w:r>
        <w:t>当前PB(2.43)处于近3年历史的61.7%分位水平。</w:t>
      </w:r>
    </w:p>
    <w:p>
      <w:pPr>
        <w:pStyle w:val="Heading2"/>
      </w:pPr>
      <w:r>
        <w:t>4.4 估值风险评估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评估维度</w:t>
            </w:r>
          </w:p>
        </w:tc>
        <w:tc>
          <w:tcPr>
            <w:tcW w:type="dxa" w:w="2880"/>
          </w:tcPr>
          <w:p>
            <w:r>
              <w:t>评估结果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当前PE估值</w:t>
            </w:r>
          </w:p>
        </w:tc>
        <w:tc>
          <w:tcPr>
            <w:tcW w:type="dxa" w:w="2880"/>
          </w:tcPr>
          <w:p>
            <w:r>
              <w:t>41.33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DCF估值</w:t>
            </w:r>
          </w:p>
        </w:tc>
        <w:tc>
          <w:tcPr>
            <w:tcW w:type="dxa" w:w="2880"/>
          </w:tcPr>
          <w:p>
            <w:r>
              <w:t>-105611.55亿元</w:t>
            </w:r>
          </w:p>
        </w:tc>
        <w:tc>
          <w:tcPr>
            <w:tcW w:type="dxa" w:w="2880"/>
          </w:tcPr>
          <w:p>
            <w:r>
              <w:t>参考</w:t>
            </w:r>
          </w:p>
        </w:tc>
      </w:tr>
    </w:tbl>
    <w:p>
      <w:pPr>
        <w:pStyle w:val="Heading1"/>
      </w:pPr>
      <w:r>
        <w:t>第五章 退出风险分析</w:t>
      </w:r>
    </w:p>
    <w:p>
      <w:pPr>
        <w:pStyle w:val="Heading2"/>
      </w:pPr>
      <w:r>
        <w:t>5.1 退出方式分析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退出方式</w:t>
            </w:r>
          </w:p>
        </w:tc>
        <w:tc>
          <w:tcPr>
            <w:tcW w:type="dxa" w:w="2160"/>
          </w:tcPr>
          <w:p>
            <w:r>
              <w:t>优点</w:t>
            </w:r>
          </w:p>
        </w:tc>
        <w:tc>
          <w:tcPr>
            <w:tcW w:type="dxa" w:w="2160"/>
          </w:tcPr>
          <w:p>
            <w:r>
              <w:t>缺点</w:t>
            </w:r>
          </w:p>
        </w:tc>
        <w:tc>
          <w:tcPr>
            <w:tcW w:type="dxa" w:w="2160"/>
          </w:tcPr>
          <w:p>
            <w:r>
              <w:t>适用性</w:t>
            </w:r>
          </w:p>
        </w:tc>
      </w:tr>
      <w:tr>
        <w:tc>
          <w:tcPr>
            <w:tcW w:type="dxa" w:w="2160"/>
          </w:tcPr>
          <w:p>
            <w:r>
              <w:t>二级市场减持</w:t>
            </w:r>
          </w:p>
        </w:tc>
        <w:tc>
          <w:tcPr>
            <w:tcW w:type="dxa" w:w="2160"/>
          </w:tcPr>
          <w:p>
            <w:r>
              <w:t>灵活、变现快</w:t>
            </w:r>
          </w:p>
        </w:tc>
        <w:tc>
          <w:tcPr>
            <w:tcW w:type="dxa" w:w="2160"/>
          </w:tcPr>
          <w:p>
            <w:r>
              <w:t>受减持规则限制(每3个月不超过1%)</w:t>
            </w:r>
          </w:p>
        </w:tc>
        <w:tc>
          <w:tcPr>
            <w:tcW w:type="dxa" w:w="2160"/>
          </w:tcPr>
          <w:p>
            <w:r>
              <w:t>主要退出方式</w:t>
            </w:r>
          </w:p>
        </w:tc>
      </w:tr>
      <w:tr>
        <w:tc>
          <w:tcPr>
            <w:tcW w:type="dxa" w:w="2160"/>
          </w:tcPr>
          <w:p>
            <w:r>
              <w:t>大宗交易</w:t>
            </w:r>
          </w:p>
        </w:tc>
        <w:tc>
          <w:tcPr>
            <w:tcW w:type="dxa" w:w="2160"/>
          </w:tcPr>
          <w:p>
            <w:r>
              <w:t>交易量大、对市场冲击小</w:t>
            </w:r>
          </w:p>
        </w:tc>
        <w:tc>
          <w:tcPr>
            <w:tcW w:type="dxa" w:w="2160"/>
          </w:tcPr>
          <w:p>
            <w:r>
              <w:t>需寻找接盘方，可能有折价</w:t>
            </w:r>
          </w:p>
        </w:tc>
        <w:tc>
          <w:tcPr>
            <w:tcW w:type="dxa" w:w="2160"/>
          </w:tcPr>
          <w:p>
            <w:r>
              <w:t>适合大额减持</w:t>
            </w:r>
          </w:p>
        </w:tc>
      </w:tr>
      <w:tr>
        <w:tc>
          <w:tcPr>
            <w:tcW w:type="dxa" w:w="2160"/>
          </w:tcPr>
          <w:p>
            <w:r>
              <w:t>协议转让</w:t>
            </w:r>
          </w:p>
        </w:tc>
        <w:tc>
          <w:tcPr>
            <w:tcW w:type="dxa" w:w="2160"/>
          </w:tcPr>
          <w:p>
            <w:r>
              <w:t>可一次性转让较大比例</w:t>
            </w:r>
          </w:p>
        </w:tc>
        <w:tc>
          <w:tcPr>
            <w:tcW w:type="dxa" w:w="2160"/>
          </w:tcPr>
          <w:p>
            <w:r>
              <w:t>需找到合适受让方，审批流程较长</w:t>
            </w:r>
          </w:p>
        </w:tc>
        <w:tc>
          <w:tcPr>
            <w:tcW w:type="dxa" w:w="2160"/>
          </w:tcPr>
          <w:p>
            <w:r>
              <w:t>适合战略转让</w:t>
            </w:r>
          </w:p>
        </w:tc>
      </w:tr>
      <w:tr>
        <w:tc>
          <w:tcPr>
            <w:tcW w:type="dxa" w:w="2160"/>
          </w:tcPr>
          <w:p>
            <w:r>
              <w:t>定增锁定期满后减持</w:t>
            </w:r>
          </w:p>
        </w:tc>
        <w:tc>
          <w:tcPr>
            <w:tcW w:type="dxa" w:w="2160"/>
          </w:tcPr>
          <w:p>
            <w:r>
              <w:t>定增股份锁定期结束后可灵活安排</w:t>
            </w:r>
          </w:p>
        </w:tc>
        <w:tc>
          <w:tcPr>
            <w:tcW w:type="dxa" w:w="2160"/>
          </w:tcPr>
          <w:p>
            <w:r>
              <w:t>锁定期较长(通常6-18个月)</w:t>
            </w:r>
          </w:p>
        </w:tc>
        <w:tc>
          <w:tcPr>
            <w:tcW w:type="dxa" w:w="2160"/>
          </w:tcPr>
          <w:p>
            <w:r>
              <w:t>定增项目特有</w:t>
            </w:r>
          </w:p>
        </w:tc>
      </w:tr>
    </w:tbl>
    <w:p>
      <w:pPr>
        <w:pStyle w:val="Heading2"/>
      </w:pPr>
      <w:r>
        <w:t>5.2 退出渠道分析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渠道类型</w:t>
            </w:r>
          </w:p>
        </w:tc>
        <w:tc>
          <w:tcPr>
            <w:tcW w:type="dxa" w:w="2880"/>
          </w:tcPr>
          <w:p>
            <w:r>
              <w:t>适用性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A股主板</w:t>
            </w:r>
          </w:p>
        </w:tc>
        <w:tc>
          <w:tcPr>
            <w:tcW w:type="dxa" w:w="2880"/>
          </w:tcPr>
          <w:p>
            <w:r>
              <w:t>适用</w:t>
            </w:r>
          </w:p>
        </w:tc>
        <w:tc>
          <w:tcPr>
            <w:tcW w:type="dxa" w:w="2880"/>
          </w:tcPr>
          <w:p>
            <w:r>
              <w:t>公司上市于主板，可通过二级市场正常减持</w:t>
            </w:r>
          </w:p>
        </w:tc>
      </w:tr>
      <w:tr>
        <w:tc>
          <w:tcPr>
            <w:tcW w:type="dxa" w:w="2880"/>
          </w:tcPr>
          <w:p>
            <w:r>
              <w:t>大宗交易平台</w:t>
            </w:r>
          </w:p>
        </w:tc>
        <w:tc>
          <w:tcPr>
            <w:tcW w:type="dxa" w:w="2880"/>
          </w:tcPr>
          <w:p>
            <w:r>
              <w:t>适用</w:t>
            </w:r>
          </w:p>
        </w:tc>
        <w:tc>
          <w:tcPr>
            <w:tcW w:type="dxa" w:w="2880"/>
          </w:tcPr>
          <w:p>
            <w:r>
              <w:t>适合单笔大额减持，降低对二级市场冲击</w:t>
            </w:r>
          </w:p>
        </w:tc>
      </w:tr>
      <w:tr>
        <w:tc>
          <w:tcPr>
            <w:tcW w:type="dxa" w:w="2880"/>
          </w:tcPr>
          <w:p>
            <w:r>
              <w:t>协议转让</w:t>
            </w:r>
          </w:p>
        </w:tc>
        <w:tc>
          <w:tcPr>
            <w:tcW w:type="dxa" w:w="2880"/>
          </w:tcPr>
          <w:p>
            <w:r>
              <w:t>适用</w:t>
            </w:r>
          </w:p>
        </w:tc>
        <w:tc>
          <w:tcPr>
            <w:tcW w:type="dxa" w:w="2880"/>
          </w:tcPr>
          <w:p>
            <w:r>
              <w:t>需符合5%以上股东减持相关规定</w:t>
            </w:r>
          </w:p>
        </w:tc>
      </w:tr>
      <w:tr>
        <w:tc>
          <w:tcPr>
            <w:tcW w:type="dxa" w:w="2880"/>
          </w:tcPr>
          <w:p>
            <w:r>
              <w:t>非交易过户</w:t>
            </w:r>
          </w:p>
        </w:tc>
        <w:tc>
          <w:tcPr>
            <w:tcW w:type="dxa" w:w="2880"/>
          </w:tcPr>
          <w:p>
            <w:r>
              <w:t>适用</w:t>
            </w:r>
          </w:p>
        </w:tc>
        <w:tc>
          <w:tcPr>
            <w:tcW w:type="dxa" w:w="2880"/>
          </w:tcPr>
          <w:p>
            <w:r>
              <w:t>适用于特定情形下的股份转移</w:t>
            </w:r>
          </w:p>
        </w:tc>
      </w:tr>
    </w:tbl>
    <w:p>
      <w:r>
        <w:t>当前日均换手率6.35%，市场流动性较好。</w:t>
      </w:r>
    </w:p>
    <w:p>
      <w:pPr>
        <w:pStyle w:val="Heading2"/>
      </w:pPr>
      <w:r>
        <w:t>5.3 退出风险评估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风险类型</w:t>
            </w:r>
          </w:p>
        </w:tc>
        <w:tc>
          <w:tcPr>
            <w:tcW w:type="dxa" w:w="2880"/>
          </w:tcPr>
          <w:p>
            <w:r>
              <w:t>评估</w:t>
            </w:r>
          </w:p>
        </w:tc>
        <w:tc>
          <w:tcPr>
            <w:tcW w:type="dxa" w:w="2880"/>
          </w:tcPr>
          <w:p>
            <w:r>
              <w:t>等级</w:t>
            </w:r>
          </w:p>
        </w:tc>
      </w:tr>
      <w:tr>
        <w:tc>
          <w:tcPr>
            <w:tcW w:type="dxa" w:w="2880"/>
          </w:tcPr>
          <w:p>
            <w:r>
              <w:t>锁定期风险</w:t>
            </w:r>
          </w:p>
        </w:tc>
        <w:tc>
          <w:tcPr>
            <w:tcW w:type="dxa" w:w="2880"/>
          </w:tcPr>
          <w:p>
            <w:r>
              <w:t>定增项目存在法定锁定期(通常6个月)，锁定期内无法减持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市场风险</w:t>
            </w:r>
          </w:p>
        </w:tc>
        <w:tc>
          <w:tcPr>
            <w:tcW w:type="dxa" w:w="2880"/>
          </w:tcPr>
          <w:p>
            <w:r>
              <w:t>当前PE(41.3)处于较高水平，未来市场估值回调风险较大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流动性风险</w:t>
            </w:r>
          </w:p>
        </w:tc>
        <w:tc>
          <w:tcPr>
            <w:tcW w:type="dxa" w:w="2880"/>
          </w:tcPr>
          <w:p>
            <w:r>
              <w:t>日均换手率6.35%，流动性良好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价格风险</w:t>
            </w:r>
          </w:p>
        </w:tc>
        <w:tc>
          <w:tcPr>
            <w:tcW w:type="dxa" w:w="2880"/>
          </w:tcPr>
          <w:p>
            <w:r>
              <w:t>当前PE: 41.33，PB: 2.43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>
      <w:r>
        <w:t>退出建议：公司基本面存在风险，建议制定分批退出计划；估值偏高，建议不要集中减持，分散在多个时间窗口。</w:t>
      </w:r>
    </w:p>
    <w:p>
      <w:pPr>
        <w:pStyle w:val="Heading1"/>
      </w:pPr>
      <w:r>
        <w:t>第六章 招引落地</w:t>
      </w:r>
    </w:p>
    <w:p>
      <w:pPr>
        <w:pStyle w:val="Heading2"/>
      </w:pPr>
      <w:r>
        <w:t>6.1 项目背景</w:t>
      </w:r>
    </w:p>
    <w:p>
      <w:r>
        <w:t>万马股份（股票代码：002276.SZ）属于电气设备行业，拟通过定向增发方式募集资金，用于万马高分子材料生产基地建设及补充流动资金。</w:t>
        <w:br/>
        <w:br/>
        <w:t>公司当前综合财务评分为12.00分（极差），财务状况存在一定风险，需审慎评估投资价值。</w:t>
        <w:br/>
        <w:br/>
        <w:t>公司当前总市值约137.23亿元。</w:t>
      </w:r>
    </w:p>
    <w:p>
      <w:pPr>
        <w:pStyle w:val="Heading2"/>
      </w:pPr>
      <w:r>
        <w:t>6.2 合作模式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权益</w:t>
            </w:r>
          </w:p>
        </w:tc>
      </w:tr>
      <w:tr>
        <w:tc>
          <w:tcPr>
            <w:tcW w:type="dxa" w:w="2880"/>
          </w:tcPr>
          <w:p>
            <w:r>
              <w:t>参与定增</w:t>
            </w:r>
          </w:p>
        </w:tc>
        <w:tc>
          <w:tcPr>
            <w:tcW w:type="dxa" w:w="2880"/>
          </w:tcPr>
          <w:p>
            <w:r>
              <w:t>作为战略投资者参与公司定向增发</w:t>
            </w:r>
          </w:p>
        </w:tc>
        <w:tc>
          <w:tcPr>
            <w:tcW w:type="dxa" w:w="2880"/>
          </w:tcPr>
          <w:p>
            <w:r>
              <w:t>获得定增股份，享有锁定期满后的减持权利</w:t>
            </w:r>
          </w:p>
        </w:tc>
      </w:tr>
      <w:tr>
        <w:tc>
          <w:tcPr>
            <w:tcW w:type="dxa" w:w="2880"/>
          </w:tcPr>
          <w:p>
            <w:r>
              <w:t>业绩承诺</w:t>
            </w:r>
          </w:p>
        </w:tc>
        <w:tc>
          <w:tcPr>
            <w:tcW w:type="dxa" w:w="2880"/>
          </w:tcPr>
          <w:p>
            <w:r>
              <w:t>可要求原股东或公司提供业绩承诺</w:t>
            </w:r>
          </w:p>
        </w:tc>
        <w:tc>
          <w:tcPr>
            <w:tcW w:type="dxa" w:w="2880"/>
          </w:tcPr>
          <w:p>
            <w:r>
              <w:t>保障投资回报，降低业绩不达预期风险</w:t>
            </w:r>
          </w:p>
        </w:tc>
      </w:tr>
      <w:tr>
        <w:tc>
          <w:tcPr>
            <w:tcW w:type="dxa" w:w="2880"/>
          </w:tcPr>
          <w:p>
            <w:r>
              <w:t>股份回购</w:t>
            </w:r>
          </w:p>
        </w:tc>
        <w:tc>
          <w:tcPr>
            <w:tcW w:type="dxa" w:w="2880"/>
          </w:tcPr>
          <w:p>
            <w:r>
              <w:t>可约定特定条件下的股份回购条款</w:t>
            </w:r>
          </w:p>
        </w:tc>
        <w:tc>
          <w:tcPr>
            <w:tcW w:type="dxa" w:w="2880"/>
          </w:tcPr>
          <w:p>
            <w:r>
              <w:t>提供退出保障，降低投资损失风险</w:t>
            </w:r>
          </w:p>
        </w:tc>
      </w:tr>
      <w:tr>
        <w:tc>
          <w:tcPr>
            <w:tcW w:type="dxa" w:w="2880"/>
          </w:tcPr>
          <w:p>
            <w:r>
              <w:t>对赌条款</w:t>
            </w:r>
          </w:p>
        </w:tc>
        <w:tc>
          <w:tcPr>
            <w:tcW w:type="dxa" w:w="2880"/>
          </w:tcPr>
          <w:p>
            <w:r>
              <w:t>设定业绩对赌条件，未达标时原股东进行补偿</w:t>
            </w:r>
          </w:p>
        </w:tc>
        <w:tc>
          <w:tcPr>
            <w:tcW w:type="dxa" w:w="2880"/>
          </w:tcPr>
          <w:p>
            <w:r>
              <w:t>强化投资保障，降低财务风险</w:t>
            </w:r>
          </w:p>
        </w:tc>
      </w:tr>
    </w:tbl>
    <w:p>
      <w:pPr>
        <w:pStyle w:val="Heading2"/>
      </w:pPr>
      <w:r>
        <w:t>6.3 落地条件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条件类型</w:t>
            </w:r>
          </w:p>
        </w:tc>
        <w:tc>
          <w:tcPr>
            <w:tcW w:type="dxa" w:w="4320"/>
          </w:tcPr>
          <w:p>
            <w:r>
              <w:t>具体要求</w:t>
            </w:r>
          </w:p>
        </w:tc>
      </w:tr>
      <w:tr>
        <w:tc>
          <w:tcPr>
            <w:tcW w:type="dxa" w:w="4320"/>
          </w:tcPr>
          <w:p>
            <w:r>
              <w:t>资金条件</w:t>
            </w:r>
          </w:p>
        </w:tc>
        <w:tc>
          <w:tcPr>
            <w:tcW w:type="dxa" w:w="4320"/>
          </w:tcPr>
          <w:p>
            <w:r>
              <w:t>按时足额缴纳认购款项</w:t>
            </w:r>
          </w:p>
        </w:tc>
      </w:tr>
      <w:tr>
        <w:tc>
          <w:tcPr>
            <w:tcW w:type="dxa" w:w="4320"/>
          </w:tcPr>
          <w:p>
            <w:r>
              <w:t>资质条件</w:t>
            </w:r>
          </w:p>
        </w:tc>
        <w:tc>
          <w:tcPr>
            <w:tcW w:type="dxa" w:w="4320"/>
          </w:tcPr>
          <w:p>
            <w:r>
              <w:t>符合上市公司定向增发的投资者适当性要求</w:t>
            </w:r>
          </w:p>
        </w:tc>
      </w:tr>
      <w:tr>
        <w:tc>
          <w:tcPr>
            <w:tcW w:type="dxa" w:w="4320"/>
          </w:tcPr>
          <w:p>
            <w:r>
              <w:t>合规条件</w:t>
            </w:r>
          </w:p>
        </w:tc>
        <w:tc>
          <w:tcPr>
            <w:tcW w:type="dxa" w:w="4320"/>
          </w:tcPr>
          <w:p>
            <w:r>
              <w:t>完成监管部门要求的审批程序（证监会注册等）</w:t>
            </w:r>
          </w:p>
        </w:tc>
      </w:tr>
      <w:tr>
        <w:tc>
          <w:tcPr>
            <w:tcW w:type="dxa" w:w="4320"/>
          </w:tcPr>
          <w:p>
            <w:r>
              <w:t>协议条件</w:t>
            </w:r>
          </w:p>
        </w:tc>
        <w:tc>
          <w:tcPr>
            <w:tcW w:type="dxa" w:w="4320"/>
          </w:tcPr>
          <w:p>
            <w:r>
              <w:t>签署股份认购协议及相关配套协议</w:t>
            </w:r>
          </w:p>
        </w:tc>
      </w:tr>
      <w:tr>
        <w:tc>
          <w:tcPr>
            <w:tcW w:type="dxa" w:w="4320"/>
          </w:tcPr>
          <w:p>
            <w:r>
              <w:t>估值条件</w:t>
            </w:r>
          </w:p>
        </w:tc>
        <w:tc>
          <w:tcPr>
            <w:tcW w:type="dxa" w:w="4320"/>
          </w:tcPr>
          <w:p>
            <w:r>
              <w:t>定增发行价格应合理（当前二级市场PE约41.3倍），折价率需在合理范围内</w:t>
            </w:r>
          </w:p>
        </w:tc>
      </w:tr>
    </w:tbl>
    <w:p>
      <w:pPr>
        <w:pStyle w:val="Heading2"/>
      </w:pPr>
      <w:r>
        <w:t>6.4 风险保障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保障措施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股份锁定</w:t>
            </w:r>
          </w:p>
        </w:tc>
        <w:tc>
          <w:tcPr>
            <w:tcW w:type="dxa" w:w="4320"/>
          </w:tcPr>
          <w:p>
            <w:r>
              <w:t>定增股份按监管要求进行锁定（通常6个月），锁定期内不可减持</w:t>
            </w:r>
          </w:p>
        </w:tc>
      </w:tr>
      <w:tr>
        <w:tc>
          <w:tcPr>
            <w:tcW w:type="dxa" w:w="4320"/>
          </w:tcPr>
          <w:p>
            <w:r>
              <w:t>信息披露</w:t>
            </w:r>
          </w:p>
        </w:tc>
        <w:tc>
          <w:tcPr>
            <w:tcW w:type="dxa" w:w="4320"/>
          </w:tcPr>
          <w:p>
            <w:r>
              <w:t>要求公司按监管要求及时、准确、完整披露定期报告和临时公告</w:t>
            </w:r>
          </w:p>
        </w:tc>
      </w:tr>
      <w:tr>
        <w:tc>
          <w:tcPr>
            <w:tcW w:type="dxa" w:w="4320"/>
          </w:tcPr>
          <w:p>
            <w:r>
              <w:t>业绩监控</w:t>
            </w:r>
          </w:p>
        </w:tc>
        <w:tc>
          <w:tcPr>
            <w:tcW w:type="dxa" w:w="4320"/>
          </w:tcPr>
          <w:p>
            <w:r>
              <w:t>定期跟踪公司经营状况和业绩表现，关注核心财务指标变化</w:t>
            </w:r>
          </w:p>
        </w:tc>
      </w:tr>
      <w:tr>
        <w:tc>
          <w:tcPr>
            <w:tcW w:type="dxa" w:w="4320"/>
          </w:tcPr>
          <w:p>
            <w:r>
              <w:t>退出预案</w:t>
            </w:r>
          </w:p>
        </w:tc>
        <w:tc>
          <w:tcPr>
            <w:tcW w:type="dxa" w:w="4320"/>
          </w:tcPr>
          <w:p>
            <w:r>
              <w:t>制定多元化退出策略（二级市场+大宗交易+协议转让），分散减持时点</w:t>
            </w:r>
          </w:p>
        </w:tc>
      </w:tr>
      <w:tr>
        <w:tc>
          <w:tcPr>
            <w:tcW w:type="dxa" w:w="4320"/>
          </w:tcPr>
          <w:p>
            <w:r>
              <w:t>运营效率预警</w:t>
            </w:r>
          </w:p>
        </w:tc>
        <w:tc>
          <w:tcPr>
            <w:tcW w:type="dxa" w:w="4320"/>
          </w:tcPr>
          <w:p>
            <w:r>
              <w:t>运营效率评分仅0.0分，建议设置专项监控指标，出现恶化趋势时及时预警</w:t>
            </w:r>
          </w:p>
        </w:tc>
      </w:tr>
      <w:tr>
        <w:tc>
          <w:tcPr>
            <w:tcW w:type="dxa" w:w="4320"/>
          </w:tcPr>
          <w:p>
            <w:r>
              <w:t>盈利能力预警</w:t>
            </w:r>
          </w:p>
        </w:tc>
        <w:tc>
          <w:tcPr>
            <w:tcW w:type="dxa" w:w="4320"/>
          </w:tcPr>
          <w:p>
            <w:r>
              <w:t>盈利能力评分仅26.7分，建议设置专项监控指标，出现恶化趋势时及时预警</w:t>
            </w:r>
          </w:p>
        </w:tc>
      </w:tr>
      <w:tr>
        <w:tc>
          <w:tcPr>
            <w:tcW w:type="dxa" w:w="4320"/>
          </w:tcPr>
          <w:p>
            <w:r>
              <w:t>偿债能力预警</w:t>
            </w:r>
          </w:p>
        </w:tc>
        <w:tc>
          <w:tcPr>
            <w:tcW w:type="dxa" w:w="4320"/>
          </w:tcPr>
          <w:p>
            <w:r>
              <w:t>偿债能力评分仅0.0分，建议设置专项监控指标，出现恶化趋势时及时预警</w:t>
            </w:r>
          </w:p>
        </w:tc>
      </w:tr>
      <w:tr>
        <w:tc>
          <w:tcPr>
            <w:tcW w:type="dxa" w:w="4320"/>
          </w:tcPr>
          <w:p>
            <w:r>
              <w:t>成长能力预警</w:t>
            </w:r>
          </w:p>
        </w:tc>
        <w:tc>
          <w:tcPr>
            <w:tcW w:type="dxa" w:w="4320"/>
          </w:tcPr>
          <w:p>
            <w:r>
              <w:t>成长能力评分仅20.0分，建议设置专项监控指标，出现恶化趋势时及时预警</w:t>
            </w:r>
          </w:p>
        </w:tc>
      </w:tr>
    </w:tbl>
    <w:p>
      <w:r>
        <w:t>综合提示：公司财务评分12.0分，处于较低水平，建议在投资协议中强化保障条款，包括但不限于业绩承诺、股份回购、对赌安排等。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