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定增项目风险分析报告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公司名称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光弘科技 (300735.SZ)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报告日期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2026年03月07日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发行日期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2026年03月07日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20.25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发行类型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折价发行（安全边际/溢价率: 20.01%）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录</w:t>
      </w:r>
    </w:p>
    <w:p>
      <w:r>
        <w:rPr>
          <w:rFonts w:ascii="宋体" w:hAnsi="宋体" w:eastAsia="宋体"/>
          <w:sz w:val="22"/>
        </w:rPr>
        <w:t>一、项目概况</w:t>
      </w:r>
    </w:p>
    <w:p>
      <w:r>
        <w:rPr>
          <w:rFonts w:ascii="宋体" w:hAnsi="宋体" w:eastAsia="宋体"/>
          <w:sz w:val="22"/>
        </w:rPr>
        <w:t>二、敏感性分析</w:t>
      </w:r>
    </w:p>
    <w:p>
      <w:r>
        <w:rPr>
          <w:rFonts w:ascii="宋体" w:hAnsi="宋体" w:eastAsia="宋体"/>
          <w:sz w:val="22"/>
        </w:rPr>
        <w:t>三、压力测试</w:t>
      </w:r>
    </w:p>
    <w:p>
      <w:r>
        <w:rPr>
          <w:rFonts w:ascii="宋体" w:hAnsi="宋体" w:eastAsia="宋体"/>
          <w:sz w:val="22"/>
        </w:rPr>
        <w:t>四、DCF估值分析</w:t>
      </w:r>
    </w:p>
    <w:p>
      <w:r>
        <w:rPr>
          <w:rFonts w:ascii="宋体" w:hAnsi="宋体" w:eastAsia="宋体"/>
          <w:sz w:val="22"/>
        </w:rPr>
        <w:t>五、蒙特卡洛模拟</w:t>
      </w:r>
    </w:p>
    <w:p>
      <w:r>
        <w:rPr>
          <w:rFonts w:ascii="宋体" w:hAnsi="宋体" w:eastAsia="宋体"/>
          <w:sz w:val="22"/>
        </w:rPr>
        <w:t>六、VaR风险度量</w:t>
      </w:r>
    </w:p>
    <w:p>
      <w:r>
        <w:rPr>
          <w:rFonts w:ascii="宋体" w:hAnsi="宋体" w:eastAsia="宋体"/>
          <w:sz w:val="22"/>
        </w:rPr>
        <w:t>七、综合评估</w:t>
      </w:r>
    </w:p>
    <w:p>
      <w:r>
        <w:rPr>
          <w:rFonts w:ascii="宋体" w:hAnsi="宋体" w:eastAsia="宋体"/>
          <w:sz w:val="22"/>
        </w:rPr>
        <w:t>八、投资建议与风险提示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一、项目概况</w:t>
      </w:r>
    </w:p>
    <w:p>
      <w:pPr>
        <w:pStyle w:val="Heading2"/>
      </w:pPr>
      <w:r>
        <w:rPr>
          <w:rFonts w:ascii="黑体" w:hAnsi="黑体" w:eastAsia="黑体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股票代码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300735.SZ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公司名称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光弘科技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20.25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发行数量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5,000,000 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锁定期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 个月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融资金额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1.01 亿元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MA30价格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25.31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折价发行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安全边际/溢价率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20.01%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1.2 市场数据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平均价格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24.15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价格标准差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6.74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30日波动率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33.96%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60日波动率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30.63%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60日年化收益率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-18.75%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MA30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25.31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MA60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25.17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MA120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26.88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Tushare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二、敏感性分析</w:t>
      </w:r>
    </w:p>
    <w:p>
      <w:r>
        <w:rPr>
          <w:rFonts w:ascii="宋体" w:hAnsi="宋体" w:eastAsia="宋体"/>
          <w:sz w:val="22"/>
        </w:rPr>
        <w:t>本章节分析在不同波动率和漂移率假设下，定增项目的盈利概率变化情况。</w:t>
      </w:r>
    </w:p>
    <w:p>
      <w:pPr>
        <w:pStyle w:val="Heading2"/>
      </w:pPr>
      <w:r>
        <w:rPr>
          <w:rFonts w:ascii="黑体" w:hAnsi="黑体" w:eastAsia="黑体"/>
        </w:rPr>
        <w:t>2.1 不同波动率下的盈利概率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波动率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盈利概率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98.8%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25%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96.4%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93.2%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35%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90.0%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86.9%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45%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84.0%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50%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81.5%</w:t>
            </w:r>
          </w:p>
        </w:tc>
      </w:tr>
    </w:tbl>
    <w:p>
      <w:r>
        <w:rPr>
          <w:rFonts w:ascii="宋体" w:hAnsi="宋体" w:eastAsia="宋体"/>
          <w:sz w:val="22"/>
        </w:rPr>
        <w:t>图表 1: 敏感性分析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66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nsitivity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2"/>
        </w:rPr>
        <w:t>分析结论：</w:t>
      </w:r>
    </w:p>
    <w:p>
      <w:r>
        <w:rPr>
          <w:rFonts w:ascii="宋体" w:hAnsi="宋体" w:eastAsia="宋体"/>
          <w:sz w:val="22"/>
        </w:rPr>
        <w:t>• 在当前市场波动率（30.6%）下，项目盈利概率约 90.0%</w:t>
      </w:r>
    </w:p>
    <w:p>
      <w:r>
        <w:rPr>
          <w:rFonts w:ascii="宋体" w:hAnsi="宋体" w:eastAsia="宋体"/>
          <w:sz w:val="22"/>
        </w:rPr>
        <w:t>• 波动率越高，盈利概率的不确定性越大</w:t>
      </w:r>
    </w:p>
    <w:p>
      <w:r>
        <w:rPr>
          <w:rFonts w:ascii="宋体" w:hAnsi="宋体" w:eastAsia="宋体"/>
          <w:sz w:val="22"/>
        </w:rPr>
        <w:t>• 折价发行为投资者提供了一定的安全边际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三、压力测试</w:t>
      </w:r>
    </w:p>
    <w:p>
      <w:r>
        <w:rPr>
          <w:rFonts w:ascii="宋体" w:hAnsi="宋体" w:eastAsia="宋体"/>
          <w:sz w:val="22"/>
        </w:rPr>
        <w:t>本章节模拟极端市场情况下的定增项目表现。</w:t>
      </w:r>
    </w:p>
    <w:p>
      <w:pPr>
        <w:pStyle w:val="Heading2"/>
      </w:pPr>
      <w:r>
        <w:rPr>
          <w:rFonts w:ascii="黑体" w:hAnsi="黑体" w:eastAsia="黑体"/>
        </w:rPr>
        <w:t>3.1 压力情景分析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情景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模拟价格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收益率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基准情景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23.88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+18.0%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正常市场环境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熊市情景 -20%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19.10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-5.6%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市场大幅下跌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熊市情景 -30%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16.72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-17.4%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极端下跌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牛市情景 +20%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28.66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+41.5%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市场上涨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牛市情景 +30%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31.04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+53.3%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大幅上涨</w:t>
            </w:r>
          </w:p>
        </w:tc>
      </w:tr>
    </w:tbl>
    <w:p>
      <w:r>
        <w:rPr>
          <w:rFonts w:ascii="宋体" w:hAnsi="宋体" w:eastAsia="宋体"/>
          <w:sz w:val="22"/>
        </w:rPr>
        <w:t>图表 2: 压力测试分析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3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ress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2"/>
        </w:rPr>
        <w:t>压力测试结论：</w:t>
      </w:r>
    </w:p>
    <w:p>
      <w:r>
        <w:rPr>
          <w:rFonts w:ascii="宋体" w:hAnsi="宋体" w:eastAsia="宋体"/>
          <w:sz w:val="22"/>
        </w:rPr>
        <w:t>• 在熊市情景下，项目可能出现较大亏损</w:t>
      </w:r>
    </w:p>
    <w:p>
      <w:r>
        <w:rPr>
          <w:rFonts w:ascii="宋体" w:hAnsi="宋体" w:eastAsia="宋体"/>
          <w:sz w:val="22"/>
        </w:rPr>
        <w:t>• 折价发行提供了一定的下行保护</w:t>
      </w:r>
    </w:p>
    <w:p>
      <w:r>
        <w:rPr>
          <w:rFonts w:ascii="宋体" w:hAnsi="宋体" w:eastAsia="宋体"/>
          <w:sz w:val="22"/>
        </w:rPr>
        <w:t>• 需要密切关注市场动态，做好风险管理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四、DCF估值分析</w:t>
      </w:r>
    </w:p>
    <w:p>
      <w:r>
        <w:rPr>
          <w:rFonts w:ascii="宋体" w:hAnsi="宋体" w:eastAsia="宋体"/>
          <w:sz w:val="22"/>
        </w:rPr>
        <w:t>本章节使用现金流折现模型评估公司的内在价值。</w:t>
      </w:r>
    </w:p>
    <w:p>
      <w:pPr>
        <w:pStyle w:val="Heading2"/>
      </w:pPr>
      <w:r>
        <w:rPr>
          <w:rFonts w:ascii="黑体" w:hAnsi="黑体" w:eastAsia="黑体"/>
        </w:rPr>
        <w:t>4.1 估值敏感性分析</w:t>
      </w:r>
    </w:p>
    <w:p>
      <w:r>
        <w:rPr>
          <w:rFonts w:ascii="宋体" w:hAnsi="宋体" w:eastAsia="宋体"/>
          <w:sz w:val="22"/>
        </w:rPr>
        <w:t>图表 3: DCF估值敏感性分析矩阵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55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cf_valu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2"/>
        </w:rPr>
        <w:t>分析说明：</w:t>
      </w:r>
    </w:p>
    <w:p>
      <w:r>
        <w:rPr>
          <w:rFonts w:ascii="宋体" w:hAnsi="宋体" w:eastAsia="宋体"/>
          <w:sz w:val="22"/>
        </w:rPr>
        <w:t>• 横轴：WACC（加权平均资本成本），代表折现率</w:t>
      </w:r>
    </w:p>
    <w:p>
      <w:r>
        <w:rPr>
          <w:rFonts w:ascii="宋体" w:hAnsi="宋体" w:eastAsia="宋体"/>
          <w:sz w:val="22"/>
        </w:rPr>
        <w:t>• 纵轴：永续增长率，代表终值假设</w:t>
      </w:r>
    </w:p>
    <w:p>
      <w:r>
        <w:rPr>
          <w:rFonts w:ascii="宋体" w:hAnsi="宋体" w:eastAsia="宋体"/>
          <w:sz w:val="22"/>
        </w:rPr>
        <w:t>• 颜色：绿色表示估值高于当前价，红色表示估值低于当前价</w:t>
      </w:r>
    </w:p>
    <w:p>
      <w:r>
        <w:rPr>
          <w:rFonts w:ascii="宋体" w:hAnsi="宋体" w:eastAsia="宋体"/>
          <w:sz w:val="22"/>
        </w:rPr>
        <w:t>• 中心点：当前股价 23.88 元/股</w:t>
      </w:r>
    </w:p>
    <w:p>
      <w:pPr>
        <w:pStyle w:val="Heading2"/>
      </w:pPr>
      <w:r>
        <w:rPr>
          <w:rFonts w:ascii="黑体" w:hAnsi="黑体" w:eastAsia="黑体"/>
        </w:rPr>
        <w:t>4.2 估值参数与结论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WACC（加权平均资本成本）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8.11%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永续增长率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预测期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10年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DCF内在价值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23.28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当前价格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20.25 元/股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4.2 估值结论</w:t>
      </w:r>
    </w:p>
    <w:p>
      <w:r>
        <w:rPr>
          <w:rFonts w:ascii="宋体" w:hAnsi="宋体" w:eastAsia="宋体"/>
          <w:sz w:val="22"/>
        </w:rPr>
        <w:t>• DCF内在价值: 23.28 元/股</w:t>
      </w:r>
    </w:p>
    <w:p>
      <w:r>
        <w:rPr>
          <w:rFonts w:ascii="宋体" w:hAnsi="宋体" w:eastAsia="宋体"/>
          <w:sz w:val="22"/>
        </w:rPr>
        <w:t>• 相对市价安全边际: -2.5%</w:t>
      </w:r>
    </w:p>
    <w:p>
      <w:r>
        <w:rPr>
          <w:rFonts w:ascii="宋体" w:hAnsi="宋体" w:eastAsia="宋体"/>
          <w:sz w:val="22"/>
        </w:rPr>
        <w:t>• 相对发行价安全边际: +15.0%</w:t>
      </w:r>
    </w:p>
    <w:p>
      <w:r>
        <w:rPr>
          <w:rFonts w:ascii="宋体" w:hAnsi="宋体" w:eastAsia="宋体"/>
          <w:sz w:val="22"/>
        </w:rPr>
        <w:t>• 估值结论: DCF估值显示，相比发行价有一定安全边际，估值相对合理。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五、蒙特卡洛模拟</w:t>
      </w:r>
    </w:p>
    <w:p>
      <w:r>
        <w:rPr>
          <w:rFonts w:ascii="宋体" w:hAnsi="宋体" w:eastAsia="宋体"/>
          <w:sz w:val="22"/>
        </w:rPr>
        <w:t>本章节使用蒙特卡洛方法模拟未来股价路径，评估收益分布。</w:t>
      </w:r>
    </w:p>
    <w:p>
      <w:pPr>
        <w:pStyle w:val="Heading2"/>
      </w:pPr>
      <w:r>
        <w:rPr>
          <w:rFonts w:ascii="黑体" w:hAnsi="黑体" w:eastAsia="黑体"/>
        </w:rPr>
        <w:t>5.1 模拟参数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模拟次数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10,000次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锁定期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 个月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初始价格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23.88 元/股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年化波动率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30.6%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年化漂移率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-18.8%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发行价格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20.25 元/股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5.2 模拟结果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盈利概率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63.7%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预期收益率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收益率中位数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7.8%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5%分位数（最差情况）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-24.0%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95%分位数（较好情况）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53.0%</w:t>
            </w:r>
          </w:p>
        </w:tc>
      </w:tr>
    </w:tbl>
    <w:p>
      <w:r>
        <w:rPr>
          <w:rFonts w:ascii="宋体" w:hAnsi="宋体" w:eastAsia="宋体"/>
          <w:sz w:val="22"/>
        </w:rPr>
        <w:t>图表 4: 蒙特卡洛模拟结果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766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e_car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2"/>
        </w:rPr>
        <w:t>蒙特卡洛模拟结论：</w:t>
      </w:r>
    </w:p>
    <w:p>
      <w:r>
        <w:rPr>
          <w:rFonts w:ascii="宋体" w:hAnsi="宋体" w:eastAsia="宋体"/>
          <w:sz w:val="22"/>
        </w:rPr>
        <w:t>• 在 5,000 次模拟中，约 63.7% 的场景实现盈利</w:t>
      </w:r>
    </w:p>
    <w:p>
      <w:r>
        <w:rPr>
          <w:rFonts w:ascii="宋体" w:hAnsi="宋体" w:eastAsia="宋体"/>
          <w:sz w:val="22"/>
        </w:rPr>
        <w:t>• 预期收益率约 10.2%</w:t>
      </w:r>
    </w:p>
    <w:p>
      <w:r>
        <w:rPr>
          <w:rFonts w:ascii="宋体" w:hAnsi="宋体" w:eastAsia="宋体"/>
          <w:sz w:val="22"/>
        </w:rPr>
        <w:t>• 95%的置信区间内，亏损可能不超过 24.0%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六、VaR风险度量</w:t>
      </w:r>
    </w:p>
    <w:p>
      <w:r>
        <w:rPr>
          <w:rFonts w:ascii="宋体" w:hAnsi="宋体" w:eastAsia="宋体"/>
          <w:sz w:val="22"/>
        </w:rPr>
        <w:t>本章节使用VaR（风险价值）和CVaR（条件风险价值）度量下行风险。</w:t>
      </w:r>
    </w:p>
    <w:p>
      <w:pPr>
        <w:pStyle w:val="Heading2"/>
      </w:pPr>
      <w:r>
        <w:rPr>
          <w:rFonts w:ascii="黑体" w:hAnsi="黑体" w:eastAsia="黑体"/>
        </w:rPr>
        <w:t>6.1 风险指标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风险指标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95% VaR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24.0%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有95%的概率，亏损不超过此值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99% VaR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35.3%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有99%的概率，亏损不超过此值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95% CVaR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30.9%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在最差5%情况下的平均损失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最大回撤（预估）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61.3%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基于波动率的估算</w:t>
            </w:r>
          </w:p>
        </w:tc>
      </w:tr>
    </w:tbl>
    <w:p>
      <w:r>
        <w:rPr>
          <w:rFonts w:ascii="宋体" w:hAnsi="宋体" w:eastAsia="宋体"/>
          <w:sz w:val="22"/>
        </w:rPr>
        <w:t>图表 5: VaR风险度量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9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r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9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2"/>
        </w:rPr>
        <w:t>风险度量结论：</w:t>
      </w:r>
    </w:p>
    <w:p>
      <w:r>
        <w:rPr>
          <w:rFonts w:ascii="宋体" w:hAnsi="宋体" w:eastAsia="宋体"/>
          <w:sz w:val="22"/>
        </w:rPr>
        <w:t>• 95%置信水平下，最大可能亏损约 24.0%</w:t>
      </w:r>
    </w:p>
    <w:p>
      <w:r>
        <w:rPr>
          <w:rFonts w:ascii="宋体" w:hAnsi="宋体" w:eastAsia="宋体"/>
          <w:sz w:val="22"/>
        </w:rPr>
        <w:t>• 极端情况下（1%概率），亏损可能达到 35.3%</w:t>
      </w:r>
    </w:p>
    <w:p>
      <w:r>
        <w:rPr>
          <w:rFonts w:ascii="宋体" w:hAnsi="宋体" w:eastAsia="宋体"/>
          <w:sz w:val="22"/>
        </w:rPr>
        <w:t>• CVaR显示，在最差情况下平均损失约 30.9%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七、综合评估</w:t>
      </w:r>
    </w:p>
    <w:p>
      <w:pPr>
        <w:pStyle w:val="Heading2"/>
      </w:pPr>
      <w:r>
        <w:rPr>
          <w:rFonts w:ascii="黑体" w:hAnsi="黑体" w:eastAsia="黑体"/>
        </w:rPr>
        <w:t>7.1 风险评分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评估维度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盈利概率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20/30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发行折价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20/20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锁定期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20/20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10/20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VaR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10/15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总分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80/100</w:t>
            </w:r>
          </w:p>
        </w:tc>
      </w:tr>
    </w:tbl>
    <w:p>
      <w:r>
        <w:rPr>
          <w:rFonts w:ascii="宋体" w:hAnsi="宋体" w:eastAsia="宋体"/>
          <w:sz w:val="22"/>
        </w:rPr>
        <w:t>图表 6: 风险评分雷达图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35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dar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3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2"/>
        </w:rPr>
        <w:t>综合风险评分: 80/100 分</w:t>
      </w:r>
    </w:p>
    <w:p>
      <w:pPr>
        <w:pStyle w:val="Heading2"/>
      </w:pPr>
      <w:r>
        <w:rPr>
          <w:rFonts w:ascii="黑体" w:hAnsi="黑体" w:eastAsia="黑体"/>
        </w:rPr>
        <w:t>7.2 各维度评估</w:t>
      </w:r>
    </w:p>
    <w:p>
      <w:r>
        <w:rPr>
          <w:rFonts w:ascii="宋体" w:hAnsi="宋体" w:eastAsia="宋体"/>
          <w:sz w:val="22"/>
        </w:rPr>
        <w:t>1. 盈利概率（20/30分）</w:t>
      </w:r>
    </w:p>
    <w:p>
      <w:r>
        <w:rPr>
          <w:rFonts w:ascii="宋体" w:hAnsi="宋体" w:eastAsia="宋体"/>
          <w:sz w:val="22"/>
        </w:rPr>
        <w:t xml:space="preserve">   ⚠️ 盈利概率中等，需谨慎评估</w:t>
      </w:r>
    </w:p>
    <w:p>
      <w:r>
        <w:rPr>
          <w:rFonts w:ascii="宋体" w:hAnsi="宋体" w:eastAsia="宋体"/>
          <w:sz w:val="22"/>
        </w:rPr>
        <w:t>2. 发行折价（20/20分）</w:t>
      </w:r>
    </w:p>
    <w:p>
      <w:r>
        <w:rPr>
          <w:rFonts w:ascii="宋体" w:hAnsi="宋体" w:eastAsia="宋体"/>
          <w:sz w:val="22"/>
        </w:rPr>
        <w:t xml:space="preserve">   ✅ 折价发行，安全边际充足（20.0%）</w:t>
      </w:r>
    </w:p>
    <w:p>
      <w:r>
        <w:rPr>
          <w:rFonts w:ascii="宋体" w:hAnsi="宋体" w:eastAsia="宋体"/>
          <w:sz w:val="22"/>
        </w:rPr>
        <w:t>3. 锁定期（20/20分）</w:t>
      </w:r>
    </w:p>
    <w:p>
      <w:r>
        <w:rPr>
          <w:rFonts w:ascii="宋体" w:hAnsi="宋体" w:eastAsia="宋体"/>
          <w:sz w:val="22"/>
        </w:rPr>
        <w:t xml:space="preserve">   锁定期 6 个月，相对较短</w:t>
      </w:r>
    </w:p>
    <w:p>
      <w:r>
        <w:rPr>
          <w:rFonts w:ascii="宋体" w:hAnsi="宋体" w:eastAsia="宋体"/>
          <w:sz w:val="22"/>
        </w:rPr>
        <w:t>4. 波动率（10/15分）</w:t>
      </w:r>
    </w:p>
    <w:p>
      <w:r>
        <w:rPr>
          <w:rFonts w:ascii="宋体" w:hAnsi="宋体" w:eastAsia="宋体"/>
          <w:sz w:val="22"/>
        </w:rPr>
        <w:t xml:space="preserve">   年化波动率 30.6%，相对可控</w:t>
      </w:r>
    </w:p>
    <w:p>
      <w:r>
        <w:rPr>
          <w:rFonts w:ascii="宋体" w:hAnsi="宋体" w:eastAsia="宋体"/>
          <w:sz w:val="22"/>
        </w:rPr>
        <w:t>5. 风险价值（10/15分）</w:t>
      </w:r>
    </w:p>
    <w:p>
      <w:r>
        <w:rPr>
          <w:rFonts w:ascii="宋体" w:hAnsi="宋体" w:eastAsia="宋体"/>
          <w:sz w:val="22"/>
        </w:rPr>
        <w:t xml:space="preserve">   95% VaR 为 24.0%，风险可控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八、投资建议与风险提示</w:t>
      </w:r>
    </w:p>
    <w:p>
      <w:pPr>
        <w:pStyle w:val="Heading2"/>
      </w:pPr>
      <w:r>
        <w:rPr>
          <w:rFonts w:ascii="黑体" w:hAnsi="黑体" w:eastAsia="黑体"/>
        </w:rPr>
        <w:t>8.1 投资建议</w:t>
      </w:r>
    </w:p>
    <w:p>
      <w:r>
        <w:rPr>
          <w:rFonts w:ascii="宋体" w:hAnsi="宋体" w:eastAsia="宋体"/>
          <w:b/>
          <w:sz w:val="24"/>
        </w:rPr>
        <w:t>总体建议: 🟢 建议投资</w:t>
      </w:r>
    </w:p>
    <w:p>
      <w:r>
        <w:rPr>
          <w:rFonts w:ascii="宋体" w:hAnsi="宋体" w:eastAsia="宋体"/>
          <w:sz w:val="22"/>
        </w:rPr>
        <w:t>说明: 项目整体风险收益比良好，各项指标表现优秀，建议积极参与。</w:t>
      </w:r>
    </w:p>
    <w:p>
      <w:r>
        <w:rPr>
          <w:rFonts w:ascii="宋体" w:hAnsi="宋体" w:eastAsia="宋体"/>
          <w:sz w:val="22"/>
        </w:rPr>
        <w:t>建议行动:</w:t>
      </w:r>
    </w:p>
    <w:p>
      <w:r>
        <w:rPr>
          <w:rFonts w:ascii="宋体" w:hAnsi="宋体" w:eastAsia="宋体"/>
          <w:sz w:val="22"/>
        </w:rPr>
        <w:t xml:space="preserve">  • 可以按计划参与定增</w:t>
      </w:r>
    </w:p>
    <w:p>
      <w:r>
        <w:rPr>
          <w:rFonts w:ascii="宋体" w:hAnsi="宋体" w:eastAsia="宋体"/>
          <w:sz w:val="22"/>
        </w:rPr>
        <w:t xml:space="preserve">  • 建议关注锁定期内的市场动态</w:t>
      </w:r>
    </w:p>
    <w:p>
      <w:r>
        <w:rPr>
          <w:rFonts w:ascii="宋体" w:hAnsi="宋体" w:eastAsia="宋体"/>
          <w:sz w:val="22"/>
        </w:rPr>
        <w:t xml:space="preserve">  • 可考虑适当杠杆</w:t>
      </w:r>
    </w:p>
    <w:p>
      <w:pPr>
        <w:pStyle w:val="Heading2"/>
      </w:pPr>
      <w:r>
        <w:rPr>
          <w:rFonts w:ascii="黑体" w:hAnsi="黑体" w:eastAsia="黑体"/>
        </w:rPr>
        <w:t>8.2 核心指标汇总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风险评分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80/100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盈利概率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63.7%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发行类型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折价发行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安全边际/溢价率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20.01%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预期收益率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10.2%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95% VaR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24.0%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波动率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30.6%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DCF内在价值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23.28 元/股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8.3 主要风险提示</w:t>
      </w:r>
    </w:p>
    <w:p>
      <w:r>
        <w:rPr>
          <w:rFonts w:ascii="宋体" w:hAnsi="宋体" w:eastAsia="宋体"/>
          <w:sz w:val="22"/>
        </w:rPr>
        <w:t>• 市场风险: 当前波动率 30.6%，市场波动可能导致实际收益偏离预期</w:t>
      </w:r>
    </w:p>
    <w:p>
      <w:r>
        <w:rPr>
          <w:rFonts w:ascii="宋体" w:hAnsi="宋体" w:eastAsia="宋体"/>
          <w:sz w:val="22"/>
        </w:rPr>
        <w:t>• 流动性风险: 6个月锁定期内无法交易，需承担期间价格波动</w:t>
      </w:r>
    </w:p>
    <w:p>
      <w:r>
        <w:rPr>
          <w:rFonts w:ascii="宋体" w:hAnsi="宋体" w:eastAsia="宋体"/>
          <w:sz w:val="22"/>
        </w:rPr>
        <w:t>• 估值风险: DCF估值基于多个假设，实际业绩可能偏离预测</w:t>
      </w:r>
    </w:p>
    <w:p>
      <w:r>
        <w:rPr>
          <w:rFonts w:ascii="宋体" w:hAnsi="宋体" w:eastAsia="宋体"/>
          <w:sz w:val="22"/>
        </w:rPr>
        <w:t>• VaR风险: 95%置信水平下最大可能亏损 24.0%</w:t>
      </w:r>
    </w:p>
    <w:p>
      <w:r>
        <w:rPr>
          <w:rFonts w:ascii="宋体" w:hAnsi="宋体" w:eastAsia="宋体"/>
          <w:sz w:val="22"/>
        </w:rPr>
        <w:t>• 行业风险: 需关注行业政策变化和竞争格局</w:t>
      </w:r>
    </w:p>
    <w:p>
      <w:pPr>
        <w:pStyle w:val="Heading2"/>
      </w:pPr>
      <w:r>
        <w:rPr>
          <w:rFonts w:ascii="黑体" w:hAnsi="黑体" w:eastAsia="黑体"/>
        </w:rPr>
        <w:t>8.4 免责声明</w:t>
      </w:r>
    </w:p>
    <w:p>
      <w:r>
        <w:rPr>
          <w:rFonts w:ascii="宋体" w:hAnsi="宋体" w:eastAsia="宋体"/>
          <w:sz w:val="18"/>
        </w:rPr>
        <w:br/>
        <w:t xml:space="preserve">    本报告由自动化分析系统生成，仅供参考使用，不构成投资建议。</w:t>
        <w:br/>
        <w:br/>
        <w:t xml:space="preserve">    1. 本报告基于历史数据和公开信息进行分析，不保证数据的准确性和完整性；</w:t>
        <w:br/>
        <w:t xml:space="preserve">    2. 市场有风险，投资需谨慎。本报告中的任何分析观点不代表未来表现；</w:t>
        <w:br/>
        <w:t xml:space="preserve">    3. 本报告提到的任何证券或投资标的，仅为分析示例，不构成推荐；</w:t>
        <w:br/>
        <w:t xml:space="preserve">    4. 投资者应根据自身情况独立判断，自行承担投资风险；</w:t>
        <w:br/>
        <w:t xml:space="preserve">    5. 本报告的知识产权归分析团队所有，未经许可不得转载或使用。</w:t>
        <w:br/>
        <w:br/>
        <w:t xml:space="preserve">    报告生成时间: 2026-03-07 17:57:57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