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9FD" w:rsidRDefault="00B459FD" w:rsidP="00FD3E27">
      <w:pPr>
        <w:pStyle w:val="Heading2"/>
        <w:jc w:val="center"/>
        <w:rPr>
          <w:lang w:eastAsia="zh-CN"/>
        </w:rPr>
      </w:pPr>
      <w:bookmarkStart w:id="0" w:name="Title"/>
      <w:bookmarkEnd w:id="0"/>
    </w:p>
    <w:p w:rsidR="00D217D1" w:rsidRPr="00911E98" w:rsidRDefault="00D217D1" w:rsidP="00164F3C">
      <w:pPr>
        <w:pStyle w:val="Heading2"/>
      </w:pPr>
      <w:r w:rsidRPr="00911E98">
        <w:t>History</w:t>
      </w:r>
    </w:p>
    <w:tbl>
      <w:tblPr>
        <w:tblStyle w:val="TableGrid"/>
        <w:tblW w:w="10109" w:type="dxa"/>
        <w:tblLayout w:type="fixed"/>
        <w:tblLook w:val="01E0"/>
      </w:tblPr>
      <w:tblGrid>
        <w:gridCol w:w="1608"/>
        <w:gridCol w:w="1200"/>
        <w:gridCol w:w="700"/>
        <w:gridCol w:w="6601"/>
      </w:tblGrid>
      <w:tr w:rsidR="00D217D1" w:rsidRPr="00911E98" w:rsidTr="00052050">
        <w:tc>
          <w:tcPr>
            <w:tcW w:w="1608" w:type="dxa"/>
          </w:tcPr>
          <w:p w:rsidR="00D217D1" w:rsidRPr="00911E98" w:rsidRDefault="00D217D1" w:rsidP="00052050">
            <w:pPr>
              <w:rPr>
                <w:b/>
                <w:sz w:val="20"/>
                <w:szCs w:val="20"/>
              </w:rPr>
            </w:pPr>
            <w:r w:rsidRPr="00911E98">
              <w:rPr>
                <w:b/>
                <w:sz w:val="20"/>
                <w:szCs w:val="20"/>
              </w:rPr>
              <w:t>Author</w:t>
            </w:r>
          </w:p>
        </w:tc>
        <w:tc>
          <w:tcPr>
            <w:tcW w:w="1200" w:type="dxa"/>
          </w:tcPr>
          <w:p w:rsidR="00D217D1" w:rsidRPr="00911E98" w:rsidRDefault="00D217D1" w:rsidP="00052050">
            <w:pPr>
              <w:rPr>
                <w:b/>
                <w:sz w:val="20"/>
                <w:szCs w:val="20"/>
              </w:rPr>
            </w:pPr>
            <w:r w:rsidRPr="00911E98">
              <w:rPr>
                <w:b/>
                <w:sz w:val="20"/>
                <w:szCs w:val="20"/>
              </w:rPr>
              <w:t>Date</w:t>
            </w:r>
          </w:p>
        </w:tc>
        <w:tc>
          <w:tcPr>
            <w:tcW w:w="700" w:type="dxa"/>
          </w:tcPr>
          <w:p w:rsidR="00D217D1" w:rsidRPr="00911E98" w:rsidRDefault="00D217D1" w:rsidP="00052050">
            <w:pPr>
              <w:rPr>
                <w:b/>
                <w:sz w:val="20"/>
                <w:szCs w:val="20"/>
              </w:rPr>
            </w:pPr>
            <w:r w:rsidRPr="00911E98">
              <w:rPr>
                <w:b/>
                <w:sz w:val="20"/>
                <w:szCs w:val="20"/>
              </w:rPr>
              <w:t>V</w:t>
            </w:r>
          </w:p>
        </w:tc>
        <w:tc>
          <w:tcPr>
            <w:tcW w:w="6601" w:type="dxa"/>
          </w:tcPr>
          <w:p w:rsidR="00D217D1" w:rsidRPr="00911E98" w:rsidRDefault="00D217D1" w:rsidP="00052050">
            <w:pPr>
              <w:rPr>
                <w:b/>
                <w:sz w:val="20"/>
                <w:szCs w:val="20"/>
              </w:rPr>
            </w:pPr>
            <w:r w:rsidRPr="00911E98">
              <w:rPr>
                <w:b/>
                <w:sz w:val="20"/>
                <w:szCs w:val="20"/>
              </w:rPr>
              <w:t>Description</w:t>
            </w:r>
          </w:p>
        </w:tc>
      </w:tr>
      <w:tr w:rsidR="00EA11A4" w:rsidRPr="00911E98" w:rsidTr="00620F01">
        <w:trPr>
          <w:trHeight w:val="323"/>
        </w:trPr>
        <w:tc>
          <w:tcPr>
            <w:tcW w:w="1608" w:type="dxa"/>
          </w:tcPr>
          <w:p w:rsidR="00EA11A4" w:rsidRPr="00946EC2" w:rsidRDefault="00EA11A4" w:rsidP="00525933">
            <w:pPr>
              <w:rPr>
                <w:sz w:val="20"/>
                <w:szCs w:val="20"/>
                <w:lang w:eastAsia="zh-CN"/>
              </w:rPr>
            </w:pPr>
            <w:bookmarkStart w:id="1" w:name="Author"/>
            <w:bookmarkEnd w:id="1"/>
          </w:p>
        </w:tc>
        <w:tc>
          <w:tcPr>
            <w:tcW w:w="1200" w:type="dxa"/>
          </w:tcPr>
          <w:p w:rsidR="00EA11A4" w:rsidRPr="00B14DF1" w:rsidRDefault="00EA11A4" w:rsidP="00E50ACE">
            <w:pPr>
              <w:rPr>
                <w:rFonts w:eastAsiaTheme="minorEastAsia"/>
                <w:sz w:val="20"/>
                <w:szCs w:val="20"/>
                <w:lang w:eastAsia="zh-CN"/>
              </w:rPr>
            </w:pPr>
            <w:bookmarkStart w:id="2" w:name="Date"/>
            <w:bookmarkEnd w:id="2"/>
          </w:p>
        </w:tc>
        <w:tc>
          <w:tcPr>
            <w:tcW w:w="700" w:type="dxa"/>
          </w:tcPr>
          <w:p w:rsidR="00EA11A4" w:rsidRPr="00946EC2" w:rsidRDefault="00EA11A4" w:rsidP="00525933">
            <w:pPr>
              <w:rPr>
                <w:sz w:val="20"/>
                <w:szCs w:val="20"/>
                <w:lang w:eastAsia="zh-CN"/>
              </w:rPr>
            </w:pPr>
            <w:r>
              <w:rPr>
                <w:rFonts w:hint="eastAsia"/>
                <w:sz w:val="20"/>
                <w:szCs w:val="20"/>
                <w:lang w:eastAsia="zh-CN"/>
              </w:rPr>
              <w:t>1.0</w:t>
            </w:r>
          </w:p>
        </w:tc>
        <w:tc>
          <w:tcPr>
            <w:tcW w:w="6601" w:type="dxa"/>
          </w:tcPr>
          <w:p w:rsidR="00EA11A4" w:rsidRPr="00D5438D" w:rsidRDefault="00AB5083" w:rsidP="000F06B1">
            <w:pPr>
              <w:ind w:left="79"/>
              <w:rPr>
                <w:sz w:val="20"/>
                <w:szCs w:val="20"/>
                <w:lang w:eastAsia="zh-CN"/>
              </w:rPr>
            </w:pPr>
            <w:r>
              <w:rPr>
                <w:sz w:val="20"/>
                <w:szCs w:val="20"/>
                <w:lang w:eastAsia="zh-CN"/>
              </w:rPr>
              <w:t>Initial Document.</w:t>
            </w:r>
          </w:p>
        </w:tc>
      </w:tr>
    </w:tbl>
    <w:p w:rsidR="00D217D1" w:rsidRPr="00911E98" w:rsidRDefault="00D217D1" w:rsidP="00D217D1">
      <w:bookmarkStart w:id="3" w:name="_Toc141006895"/>
    </w:p>
    <w:p w:rsidR="00D217D1" w:rsidRPr="00911E98" w:rsidRDefault="00D217D1" w:rsidP="00D217D1">
      <w:pPr>
        <w:rPr>
          <w:i/>
        </w:rPr>
      </w:pPr>
      <w:r w:rsidRPr="00911E98">
        <w:rPr>
          <w:b/>
          <w:i/>
          <w:highlight w:val="yellow"/>
        </w:rPr>
        <w:t>Important Note</w:t>
      </w:r>
      <w:r w:rsidRPr="00911E98">
        <w:rPr>
          <w:i/>
        </w:rPr>
        <w:t>: these instructions are used to move a package from one OVSC instance to another one after the package is made available on MDEV (e.g. move from MDEV to Staging). Instructions must be clear enough so that they can be executed by somebody not aware of the details of the package.</w:t>
      </w:r>
    </w:p>
    <w:p w:rsidR="00D217D1" w:rsidRPr="00911E98" w:rsidRDefault="00D217D1" w:rsidP="00D217D1">
      <w:pPr>
        <w:rPr>
          <w:i/>
        </w:rPr>
      </w:pPr>
      <w:r w:rsidRPr="00911E98">
        <w:rPr>
          <w:i/>
        </w:rPr>
        <w:t>When later moving this package to other instances, these instructions will be executed as follows:</w:t>
      </w:r>
    </w:p>
    <w:p w:rsidR="00D217D1" w:rsidRPr="00911E98" w:rsidRDefault="00D217D1" w:rsidP="00D217D1">
      <w:pPr>
        <w:numPr>
          <w:ilvl w:val="0"/>
          <w:numId w:val="2"/>
        </w:numPr>
        <w:rPr>
          <w:i/>
        </w:rPr>
      </w:pPr>
      <w:r w:rsidRPr="00911E98">
        <w:rPr>
          <w:i/>
        </w:rPr>
        <w:t>the unload script(s) is executed on the source OVSC instance (i.e. an unload file is created)</w:t>
      </w:r>
    </w:p>
    <w:p w:rsidR="00D217D1" w:rsidRPr="00911E98" w:rsidRDefault="00D217D1" w:rsidP="00D217D1">
      <w:pPr>
        <w:numPr>
          <w:ilvl w:val="0"/>
          <w:numId w:val="2"/>
        </w:numPr>
        <w:rPr>
          <w:i/>
        </w:rPr>
      </w:pPr>
      <w:r w:rsidRPr="00911E98">
        <w:rPr>
          <w:i/>
        </w:rPr>
        <w:t>“Manual instructions before importing unload file” are executed on the target instance</w:t>
      </w:r>
    </w:p>
    <w:p w:rsidR="00D217D1" w:rsidRPr="00911E98" w:rsidRDefault="00D217D1" w:rsidP="00D217D1">
      <w:pPr>
        <w:numPr>
          <w:ilvl w:val="0"/>
          <w:numId w:val="2"/>
        </w:numPr>
        <w:rPr>
          <w:i/>
        </w:rPr>
      </w:pPr>
      <w:r w:rsidRPr="00911E98">
        <w:rPr>
          <w:i/>
        </w:rPr>
        <w:t>The unload file(s) are imported in the target OVSC instance</w:t>
      </w:r>
    </w:p>
    <w:p w:rsidR="00D217D1" w:rsidRPr="00911E98" w:rsidRDefault="00D217D1" w:rsidP="00D217D1">
      <w:pPr>
        <w:numPr>
          <w:ilvl w:val="0"/>
          <w:numId w:val="2"/>
        </w:numPr>
        <w:rPr>
          <w:i/>
        </w:rPr>
      </w:pPr>
      <w:r w:rsidRPr="00911E98">
        <w:rPr>
          <w:i/>
        </w:rPr>
        <w:t>“Manual instructions after importing unload file” are executed on the target instance</w:t>
      </w:r>
    </w:p>
    <w:p w:rsidR="00D217D1" w:rsidRPr="00911E98" w:rsidRDefault="00D217D1" w:rsidP="00D217D1">
      <w:pPr>
        <w:pStyle w:val="Heading2"/>
      </w:pPr>
      <w:r w:rsidRPr="00911E98">
        <w:t xml:space="preserve">1. Manual instructions before </w:t>
      </w:r>
      <w:bookmarkEnd w:id="3"/>
      <w:r w:rsidRPr="00911E98">
        <w:t>importing unload file</w:t>
      </w:r>
    </w:p>
    <w:p w:rsidR="00D217D1" w:rsidRPr="00911E98" w:rsidRDefault="00D217D1" w:rsidP="00D217D1"/>
    <w:tbl>
      <w:tblPr>
        <w:tblStyle w:val="TableGrid"/>
        <w:tblW w:w="10019" w:type="dxa"/>
        <w:tblLayout w:type="fixed"/>
        <w:tblLook w:val="01E0"/>
      </w:tblPr>
      <w:tblGrid>
        <w:gridCol w:w="856"/>
        <w:gridCol w:w="2312"/>
        <w:gridCol w:w="6851"/>
      </w:tblGrid>
      <w:tr w:rsidR="00D217D1" w:rsidRPr="00911E98" w:rsidTr="00052050">
        <w:tc>
          <w:tcPr>
            <w:tcW w:w="856" w:type="dxa"/>
            <w:shd w:val="clear" w:color="auto" w:fill="E0E0E0"/>
          </w:tcPr>
          <w:p w:rsidR="00D217D1" w:rsidRPr="00911E98" w:rsidRDefault="00D217D1" w:rsidP="00052050">
            <w:pPr>
              <w:rPr>
                <w:b/>
              </w:rPr>
            </w:pPr>
            <w:r w:rsidRPr="00911E98">
              <w:rPr>
                <w:b/>
              </w:rPr>
              <w:t>Task</w:t>
            </w:r>
          </w:p>
        </w:tc>
        <w:tc>
          <w:tcPr>
            <w:tcW w:w="2312" w:type="dxa"/>
            <w:shd w:val="clear" w:color="auto" w:fill="E0E0E0"/>
          </w:tcPr>
          <w:p w:rsidR="00D217D1" w:rsidRPr="00911E98" w:rsidRDefault="00D217D1" w:rsidP="00052050">
            <w:pPr>
              <w:rPr>
                <w:b/>
              </w:rPr>
            </w:pPr>
            <w:r w:rsidRPr="00911E98">
              <w:rPr>
                <w:b/>
              </w:rPr>
              <w:t>Target Element (table, form, other object)</w:t>
            </w:r>
          </w:p>
        </w:tc>
        <w:tc>
          <w:tcPr>
            <w:tcW w:w="6851" w:type="dxa"/>
            <w:shd w:val="clear" w:color="auto" w:fill="E0E0E0"/>
          </w:tcPr>
          <w:p w:rsidR="00D217D1" w:rsidRPr="00911E98" w:rsidRDefault="00D217D1" w:rsidP="00052050">
            <w:pPr>
              <w:rPr>
                <w:b/>
              </w:rPr>
            </w:pPr>
            <w:r w:rsidRPr="00911E98">
              <w:rPr>
                <w:b/>
              </w:rPr>
              <w:t>Action</w:t>
            </w:r>
          </w:p>
        </w:tc>
      </w:tr>
      <w:tr w:rsidR="00D217D1" w:rsidRPr="00911E98" w:rsidTr="00052050">
        <w:tc>
          <w:tcPr>
            <w:tcW w:w="856" w:type="dxa"/>
          </w:tcPr>
          <w:p w:rsidR="00D217D1" w:rsidRPr="00911E98" w:rsidRDefault="00D217D1" w:rsidP="00052050">
            <w:pPr>
              <w:rPr>
                <w:lang w:eastAsia="zh-CN"/>
              </w:rPr>
            </w:pPr>
          </w:p>
        </w:tc>
        <w:tc>
          <w:tcPr>
            <w:tcW w:w="2312" w:type="dxa"/>
          </w:tcPr>
          <w:p w:rsidR="00D217D1" w:rsidRPr="00F23694" w:rsidRDefault="00D217D1" w:rsidP="00052050">
            <w:pPr>
              <w:rPr>
                <w:i/>
              </w:rPr>
            </w:pPr>
          </w:p>
        </w:tc>
        <w:tc>
          <w:tcPr>
            <w:tcW w:w="6851" w:type="dxa"/>
          </w:tcPr>
          <w:p w:rsidR="00D217D1" w:rsidRPr="00F23694" w:rsidRDefault="00D217D1" w:rsidP="00052050">
            <w:pPr>
              <w:rPr>
                <w:color w:val="FF0000"/>
              </w:rPr>
            </w:pPr>
          </w:p>
        </w:tc>
      </w:tr>
    </w:tbl>
    <w:p w:rsidR="00D217D1" w:rsidRPr="00911E98" w:rsidRDefault="00D217D1" w:rsidP="00D217D1"/>
    <w:p w:rsidR="00D217D1" w:rsidRPr="00911E98" w:rsidRDefault="00D217D1" w:rsidP="00D217D1">
      <w:pPr>
        <w:pStyle w:val="Heading2"/>
      </w:pPr>
      <w:bookmarkStart w:id="4" w:name="_Toc141006896"/>
      <w:r w:rsidRPr="00911E98">
        <w:t xml:space="preserve">2. Unload </w:t>
      </w:r>
      <w:bookmarkEnd w:id="4"/>
      <w:r w:rsidRPr="00911E98">
        <w:t>scripts</w:t>
      </w:r>
      <w:r w:rsidRPr="00911E98">
        <w:rPr>
          <w:color w:val="0000FF"/>
          <w:u w:val="single"/>
        </w:rPr>
        <w:t xml:space="preserve"> </w:t>
      </w:r>
    </w:p>
    <w:p w:rsidR="00D217D1" w:rsidRPr="00911E98" w:rsidRDefault="00D217D1" w:rsidP="00D217D1"/>
    <w:tbl>
      <w:tblPr>
        <w:tblStyle w:val="TableGrid"/>
        <w:tblW w:w="10019" w:type="dxa"/>
        <w:tblLayout w:type="fixed"/>
        <w:tblLook w:val="01E0"/>
      </w:tblPr>
      <w:tblGrid>
        <w:gridCol w:w="1791"/>
        <w:gridCol w:w="8228"/>
      </w:tblGrid>
      <w:tr w:rsidR="00D217D1" w:rsidRPr="00911E98" w:rsidTr="00052050">
        <w:tc>
          <w:tcPr>
            <w:tcW w:w="1791" w:type="dxa"/>
          </w:tcPr>
          <w:p w:rsidR="00D217D1" w:rsidRPr="00911E98" w:rsidRDefault="00D217D1" w:rsidP="00052050">
            <w:r w:rsidRPr="00911E98">
              <w:t xml:space="preserve">“Structure” </w:t>
            </w:r>
            <w:r w:rsidRPr="00911E98">
              <w:rPr>
                <w:b/>
                <w:color w:val="0000FF"/>
                <w:u w:val="single"/>
              </w:rPr>
              <w:t>Unload Script</w:t>
            </w:r>
            <w:r w:rsidRPr="00911E98">
              <w:t xml:space="preserve"> file name</w:t>
            </w:r>
            <w:r w:rsidRPr="00911E98">
              <w:br/>
              <w:t>(used to create a new unload file from the MDE to be subsequently applied to Staging and Production)</w:t>
            </w:r>
          </w:p>
        </w:tc>
        <w:tc>
          <w:tcPr>
            <w:tcW w:w="8228" w:type="dxa"/>
          </w:tcPr>
          <w:p w:rsidR="00306B28" w:rsidRDefault="00E11147" w:rsidP="00E11147">
            <w:pPr>
              <w:rPr>
                <w:b/>
                <w:lang w:eastAsia="zh-CN"/>
              </w:rPr>
            </w:pPr>
            <w:r w:rsidRPr="00991494">
              <w:rPr>
                <w:b/>
              </w:rPr>
              <w:t>Unload script Name</w:t>
            </w:r>
            <w:r>
              <w:t>:</w:t>
            </w:r>
            <w:r w:rsidRPr="00013A2B">
              <w:rPr>
                <w:rFonts w:hint="eastAsia"/>
                <w:b/>
              </w:rPr>
              <w:t xml:space="preserve"> </w:t>
            </w:r>
            <w:bookmarkStart w:id="5" w:name="UnlName"/>
            <w:bookmarkEnd w:id="5"/>
          </w:p>
          <w:p w:rsidR="00E11147" w:rsidRPr="00991494" w:rsidRDefault="00E11147" w:rsidP="00E11147">
            <w:pPr>
              <w:rPr>
                <w:i/>
                <w:sz w:val="20"/>
                <w:szCs w:val="20"/>
              </w:rPr>
            </w:pPr>
            <w:r w:rsidRPr="00991494">
              <w:rPr>
                <w:i/>
                <w:sz w:val="20"/>
                <w:szCs w:val="20"/>
              </w:rPr>
              <w:t xml:space="preserve">Note: </w:t>
            </w:r>
            <w:proofErr w:type="gramStart"/>
            <w:r w:rsidRPr="00991494">
              <w:rPr>
                <w:i/>
                <w:sz w:val="20"/>
                <w:szCs w:val="20"/>
              </w:rPr>
              <w:t>this unload</w:t>
            </w:r>
            <w:proofErr w:type="gramEnd"/>
            <w:r w:rsidRPr="00991494">
              <w:rPr>
                <w:i/>
                <w:sz w:val="20"/>
                <w:szCs w:val="20"/>
              </w:rPr>
              <w:t xml:space="preserve"> script will have to be loaded in MDEV as part of moving the package to MDEV.</w:t>
            </w:r>
          </w:p>
          <w:p w:rsidR="00E11147" w:rsidRPr="00991494" w:rsidRDefault="00E11147" w:rsidP="00E11147">
            <w:pPr>
              <w:rPr>
                <w:i/>
                <w:sz w:val="20"/>
                <w:szCs w:val="20"/>
              </w:rPr>
            </w:pPr>
            <w:r w:rsidRPr="00991494">
              <w:rPr>
                <w:i/>
                <w:sz w:val="20"/>
                <w:szCs w:val="20"/>
              </w:rPr>
              <w:t>The unload script shouldn’t contain:</w:t>
            </w:r>
          </w:p>
          <w:p w:rsidR="00E11147" w:rsidRPr="00991494" w:rsidRDefault="00E11147" w:rsidP="00E11147">
            <w:pPr>
              <w:numPr>
                <w:ilvl w:val="0"/>
                <w:numId w:val="1"/>
              </w:numPr>
              <w:rPr>
                <w:i/>
                <w:sz w:val="20"/>
                <w:szCs w:val="20"/>
              </w:rPr>
            </w:pPr>
            <w:proofErr w:type="spellStart"/>
            <w:proofErr w:type="gramStart"/>
            <w:r w:rsidRPr="00991494">
              <w:rPr>
                <w:i/>
                <w:sz w:val="20"/>
                <w:szCs w:val="20"/>
              </w:rPr>
              <w:t>dbdict</w:t>
            </w:r>
            <w:proofErr w:type="spellEnd"/>
            <w:proofErr w:type="gramEnd"/>
            <w:r w:rsidRPr="00991494">
              <w:rPr>
                <w:i/>
                <w:sz w:val="20"/>
                <w:szCs w:val="20"/>
              </w:rPr>
              <w:t xml:space="preserve"> definitions (for existing tables) as instances are using Oracle instead of P4. </w:t>
            </w:r>
            <w:r w:rsidRPr="00991494">
              <w:rPr>
                <w:b/>
                <w:i/>
                <w:sz w:val="20"/>
                <w:szCs w:val="20"/>
              </w:rPr>
              <w:t>Update to existing tables must be documented as manual instructions</w:t>
            </w:r>
            <w:r w:rsidRPr="00991494">
              <w:rPr>
                <w:i/>
                <w:sz w:val="20"/>
                <w:szCs w:val="20"/>
              </w:rPr>
              <w:t>.</w:t>
            </w:r>
          </w:p>
          <w:p w:rsidR="00E11147" w:rsidRPr="00991494" w:rsidRDefault="00E11147" w:rsidP="00E11147">
            <w:pPr>
              <w:numPr>
                <w:ilvl w:val="0"/>
                <w:numId w:val="1"/>
              </w:numPr>
              <w:rPr>
                <w:i/>
                <w:sz w:val="20"/>
                <w:szCs w:val="20"/>
              </w:rPr>
            </w:pPr>
            <w:r w:rsidRPr="00991494">
              <w:rPr>
                <w:i/>
                <w:sz w:val="20"/>
                <w:szCs w:val="20"/>
              </w:rPr>
              <w:t>The definition of the unload script itself</w:t>
            </w:r>
          </w:p>
          <w:p w:rsidR="00E11147" w:rsidRPr="00991494" w:rsidRDefault="00E11147" w:rsidP="00E11147">
            <w:pPr>
              <w:numPr>
                <w:ilvl w:val="0"/>
                <w:numId w:val="1"/>
              </w:numPr>
              <w:rPr>
                <w:i/>
                <w:sz w:val="20"/>
                <w:szCs w:val="20"/>
              </w:rPr>
            </w:pPr>
            <w:r w:rsidRPr="00991494">
              <w:rPr>
                <w:i/>
                <w:sz w:val="20"/>
                <w:szCs w:val="20"/>
              </w:rPr>
              <w:t>test data (use line below to load test data to be used in Staging only)</w:t>
            </w:r>
          </w:p>
          <w:p w:rsidR="00E11147" w:rsidRPr="00991494" w:rsidRDefault="00E11147" w:rsidP="00E11147">
            <w:pPr>
              <w:rPr>
                <w:i/>
              </w:rPr>
            </w:pPr>
          </w:p>
          <w:p w:rsidR="00E11147" w:rsidRPr="00991494" w:rsidRDefault="00E11147" w:rsidP="005C7836">
            <w:pPr>
              <w:ind w:right="811"/>
            </w:pPr>
            <w:r w:rsidRPr="00991494">
              <w:rPr>
                <w:b/>
              </w:rPr>
              <w:t>Unload script</w:t>
            </w:r>
            <w:r w:rsidRPr="00991494">
              <w:t xml:space="preserve"> </w:t>
            </w:r>
            <w:r w:rsidRPr="00991494">
              <w:rPr>
                <w:b/>
              </w:rPr>
              <w:t>unload file</w:t>
            </w:r>
            <w:r w:rsidRPr="00991494">
              <w:t>(</w:t>
            </w:r>
            <w:r w:rsidRPr="00991494">
              <w:rPr>
                <w:i/>
                <w:sz w:val="20"/>
                <w:szCs w:val="20"/>
              </w:rPr>
              <w:t xml:space="preserve">embed, e.g. using copy and paste from Windows Explorer to Word,  the unload script defined as an unload file, e.g. </w:t>
            </w:r>
            <w:proofErr w:type="spellStart"/>
            <w:r w:rsidRPr="00991494">
              <w:rPr>
                <w:i/>
                <w:sz w:val="20"/>
                <w:szCs w:val="20"/>
              </w:rPr>
              <w:t>MS.PackageXYZ.Unload.Script.unl</w:t>
            </w:r>
            <w:proofErr w:type="spellEnd"/>
            <w:r w:rsidRPr="00991494">
              <w:t>):</w:t>
            </w:r>
          </w:p>
          <w:p w:rsidR="007315D3" w:rsidRPr="00991494" w:rsidRDefault="007315D3" w:rsidP="00E11147">
            <w:pPr>
              <w:rPr>
                <w:lang w:eastAsia="zh-CN"/>
              </w:rPr>
            </w:pPr>
            <w:bookmarkStart w:id="6" w:name="FileObject"/>
            <w:bookmarkEnd w:id="6"/>
          </w:p>
          <w:p w:rsidR="00E11147" w:rsidRDefault="00E11147" w:rsidP="00E11147">
            <w:pPr>
              <w:rPr>
                <w:b/>
                <w:lang w:eastAsia="zh-CN"/>
              </w:rPr>
            </w:pPr>
            <w:r w:rsidRPr="00991494">
              <w:rPr>
                <w:b/>
              </w:rPr>
              <w:t>Screen s</w:t>
            </w:r>
            <w:r>
              <w:rPr>
                <w:b/>
              </w:rPr>
              <w:t>hot of unload script definition</w:t>
            </w:r>
            <w:r>
              <w:rPr>
                <w:rFonts w:hint="eastAsia"/>
                <w:b/>
                <w:lang w:eastAsia="zh-CN"/>
              </w:rPr>
              <w:t>:</w:t>
            </w:r>
          </w:p>
          <w:p w:rsidR="00D217D1" w:rsidRPr="004B6685" w:rsidRDefault="00D217D1" w:rsidP="00052050">
            <w:pPr>
              <w:rPr>
                <w:sz w:val="21"/>
                <w:szCs w:val="21"/>
                <w:lang w:eastAsia="zh-CN"/>
              </w:rPr>
            </w:pPr>
            <w:bookmarkStart w:id="7" w:name="ScreenShot"/>
            <w:bookmarkEnd w:id="7"/>
          </w:p>
          <w:p w:rsidR="00A95B66" w:rsidRPr="00F23458" w:rsidRDefault="00A95B66" w:rsidP="00052050">
            <w:pPr>
              <w:rPr>
                <w:lang w:eastAsia="zh-CN"/>
              </w:rPr>
            </w:pPr>
          </w:p>
        </w:tc>
      </w:tr>
      <w:tr w:rsidR="00D217D1" w:rsidRPr="00911E98" w:rsidTr="00052050">
        <w:trPr>
          <w:trHeight w:val="351"/>
        </w:trPr>
        <w:tc>
          <w:tcPr>
            <w:tcW w:w="1791" w:type="dxa"/>
          </w:tcPr>
          <w:p w:rsidR="00D217D1" w:rsidRPr="00911E98" w:rsidRDefault="00D217D1" w:rsidP="00052050">
            <w:r w:rsidRPr="00911E98">
              <w:t xml:space="preserve">“Data” </w:t>
            </w:r>
            <w:r w:rsidRPr="00911E98">
              <w:rPr>
                <w:b/>
                <w:color w:val="0000FF"/>
                <w:u w:val="single"/>
              </w:rPr>
              <w:t>Unload Script</w:t>
            </w:r>
            <w:r w:rsidRPr="00911E98">
              <w:t xml:space="preserve"> file name</w:t>
            </w:r>
          </w:p>
          <w:p w:rsidR="00D217D1" w:rsidRPr="00911E98" w:rsidRDefault="00D217D1" w:rsidP="00052050">
            <w:r w:rsidRPr="00911E98">
              <w:lastRenderedPageBreak/>
              <w:t xml:space="preserve">(used </w:t>
            </w:r>
            <w:r w:rsidRPr="00911E98">
              <w:rPr>
                <w:u w:val="single"/>
              </w:rPr>
              <w:t>only</w:t>
            </w:r>
            <w:r w:rsidRPr="00911E98">
              <w:t xml:space="preserve"> as test data in testing environments; they won’t be moved to Production)</w:t>
            </w:r>
          </w:p>
        </w:tc>
        <w:tc>
          <w:tcPr>
            <w:tcW w:w="8228" w:type="dxa"/>
          </w:tcPr>
          <w:p w:rsidR="00D217D1" w:rsidRPr="008D2CE9" w:rsidRDefault="00D217D1" w:rsidP="00052050">
            <w:pPr>
              <w:rPr>
                <w:b/>
                <w:i/>
                <w:color w:val="FF0000"/>
                <w:lang w:eastAsia="zh-CN"/>
              </w:rPr>
            </w:pPr>
          </w:p>
        </w:tc>
      </w:tr>
    </w:tbl>
    <w:p w:rsidR="00D217D1" w:rsidRPr="00911E98" w:rsidRDefault="00D217D1" w:rsidP="00D217D1"/>
    <w:p w:rsidR="00D217D1" w:rsidRPr="00911E98" w:rsidRDefault="00D217D1" w:rsidP="00D217D1">
      <w:pPr>
        <w:pStyle w:val="Heading2"/>
      </w:pPr>
      <w:bookmarkStart w:id="8" w:name="_Toc141006897"/>
      <w:r w:rsidRPr="00911E98">
        <w:t xml:space="preserve">3. Manual instructions after </w:t>
      </w:r>
      <w:bookmarkEnd w:id="8"/>
      <w:r w:rsidRPr="00911E98">
        <w:t>importing unload file</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17"/>
        <w:gridCol w:w="3251"/>
        <w:gridCol w:w="5963"/>
      </w:tblGrid>
      <w:tr w:rsidR="0044032E" w:rsidRPr="00911E98" w:rsidTr="0085650F">
        <w:tc>
          <w:tcPr>
            <w:tcW w:w="817" w:type="dxa"/>
          </w:tcPr>
          <w:p w:rsidR="0044032E" w:rsidRPr="00911E98" w:rsidRDefault="0044032E" w:rsidP="00295946">
            <w:r w:rsidRPr="00911E98">
              <w:t>Task</w:t>
            </w:r>
          </w:p>
        </w:tc>
        <w:tc>
          <w:tcPr>
            <w:tcW w:w="3251" w:type="dxa"/>
          </w:tcPr>
          <w:p w:rsidR="0044032E" w:rsidRPr="00911E98" w:rsidRDefault="0044032E" w:rsidP="00295946">
            <w:r w:rsidRPr="00911E98">
              <w:t>Target Element</w:t>
            </w:r>
          </w:p>
          <w:p w:rsidR="0044032E" w:rsidRPr="00911E98" w:rsidRDefault="0044032E" w:rsidP="00295946">
            <w:r w:rsidRPr="00911E98">
              <w:t>(table, form, other object)</w:t>
            </w:r>
          </w:p>
        </w:tc>
        <w:tc>
          <w:tcPr>
            <w:tcW w:w="5963" w:type="dxa"/>
          </w:tcPr>
          <w:p w:rsidR="0044032E" w:rsidRPr="00911E98" w:rsidRDefault="0044032E" w:rsidP="00295946">
            <w:r w:rsidRPr="00911E98">
              <w:t>Action</w:t>
            </w:r>
          </w:p>
        </w:tc>
      </w:tr>
      <w:tr w:rsidR="0085650F" w:rsidRPr="00911E98" w:rsidTr="0085650F">
        <w:tc>
          <w:tcPr>
            <w:tcW w:w="817" w:type="dxa"/>
          </w:tcPr>
          <w:p w:rsidR="0085650F" w:rsidRPr="00911E98" w:rsidRDefault="0085650F" w:rsidP="00295946"/>
        </w:tc>
        <w:tc>
          <w:tcPr>
            <w:tcW w:w="3251" w:type="dxa"/>
          </w:tcPr>
          <w:p w:rsidR="0085650F" w:rsidRPr="00911E98" w:rsidRDefault="0085650F" w:rsidP="00295946"/>
        </w:tc>
        <w:tc>
          <w:tcPr>
            <w:tcW w:w="5963" w:type="dxa"/>
          </w:tcPr>
          <w:p w:rsidR="0085650F" w:rsidRPr="00911E98" w:rsidRDefault="0085650F" w:rsidP="00000386"/>
        </w:tc>
      </w:tr>
    </w:tbl>
    <w:p w:rsidR="00D217D1" w:rsidRPr="00911E98" w:rsidRDefault="00D217D1" w:rsidP="00D217D1">
      <w:pPr>
        <w:rPr>
          <w:lang w:eastAsia="zh-CN"/>
        </w:rPr>
      </w:pPr>
    </w:p>
    <w:p w:rsidR="00D217D1" w:rsidRDefault="00D217D1" w:rsidP="00D217D1">
      <w:pPr>
        <w:pStyle w:val="Heading2"/>
      </w:pPr>
      <w:r>
        <w:t>4. Production data migration instructions</w:t>
      </w:r>
    </w:p>
    <w:p w:rsidR="00D217D1" w:rsidRPr="00AB4C8F" w:rsidRDefault="00D217D1" w:rsidP="00D217D1">
      <w:pPr>
        <w:rPr>
          <w:i/>
        </w:rPr>
      </w:pPr>
      <w:r w:rsidRPr="00AB4C8F">
        <w:rPr>
          <w:i/>
        </w:rPr>
        <w:t xml:space="preserve">Note: these instructions should be executed to update </w:t>
      </w:r>
      <w:r>
        <w:rPr>
          <w:i/>
        </w:rPr>
        <w:t xml:space="preserve">production </w:t>
      </w:r>
      <w:r w:rsidRPr="00AB4C8F">
        <w:rPr>
          <w:i/>
        </w:rPr>
        <w:t xml:space="preserve">data on the target OVSC instance (e.g. to update existing customer data, tickets…) if this package requires it (e.g. </w:t>
      </w:r>
      <w:r>
        <w:rPr>
          <w:i/>
        </w:rPr>
        <w:t xml:space="preserve">to </w:t>
      </w:r>
      <w:r w:rsidRPr="00AB4C8F">
        <w:rPr>
          <w:i/>
        </w:rPr>
        <w:t xml:space="preserve">store a default value in a new </w:t>
      </w:r>
      <w:proofErr w:type="spellStart"/>
      <w:r w:rsidRPr="00AB4C8F">
        <w:rPr>
          <w:i/>
        </w:rPr>
        <w:t>dbdict</w:t>
      </w:r>
      <w:proofErr w:type="spellEnd"/>
      <w:r w:rsidRPr="00AB4C8F">
        <w:rPr>
          <w:i/>
        </w:rPr>
        <w:t xml:space="preserve"> field created as part of this pa</w:t>
      </w:r>
      <w:r>
        <w:rPr>
          <w:i/>
        </w:rPr>
        <w:t>c</w:t>
      </w:r>
      <w:r w:rsidRPr="00AB4C8F">
        <w:rPr>
          <w:i/>
        </w:rPr>
        <w:t>kage…)</w:t>
      </w:r>
    </w:p>
    <w:p w:rsidR="00D217D1" w:rsidRPr="00C81A92" w:rsidRDefault="00D217D1" w:rsidP="00D217D1"/>
    <w:tbl>
      <w:tblPr>
        <w:tblStyle w:val="TableGrid"/>
        <w:tblW w:w="0" w:type="auto"/>
        <w:tblLook w:val="01E0"/>
      </w:tblPr>
      <w:tblGrid>
        <w:gridCol w:w="723"/>
        <w:gridCol w:w="2037"/>
        <w:gridCol w:w="6816"/>
      </w:tblGrid>
      <w:tr w:rsidR="00D217D1" w:rsidRPr="00AB4C8F" w:rsidTr="0076397F">
        <w:tc>
          <w:tcPr>
            <w:tcW w:w="723" w:type="dxa"/>
            <w:shd w:val="clear" w:color="auto" w:fill="E0E0E0"/>
          </w:tcPr>
          <w:p w:rsidR="00D217D1" w:rsidRPr="00AB4C8F" w:rsidRDefault="00D217D1" w:rsidP="00052050">
            <w:pPr>
              <w:rPr>
                <w:b/>
              </w:rPr>
            </w:pPr>
            <w:r w:rsidRPr="00AB4C8F">
              <w:rPr>
                <w:b/>
              </w:rPr>
              <w:t>Task</w:t>
            </w:r>
          </w:p>
        </w:tc>
        <w:tc>
          <w:tcPr>
            <w:tcW w:w="2037" w:type="dxa"/>
            <w:shd w:val="clear" w:color="auto" w:fill="E0E0E0"/>
          </w:tcPr>
          <w:p w:rsidR="00D217D1" w:rsidRPr="006F54EC" w:rsidRDefault="00D217D1" w:rsidP="00052050">
            <w:pPr>
              <w:rPr>
                <w:b/>
              </w:rPr>
            </w:pPr>
            <w:r w:rsidRPr="006F54EC">
              <w:rPr>
                <w:b/>
              </w:rPr>
              <w:t>Target Element (table, form, other object)</w:t>
            </w:r>
          </w:p>
        </w:tc>
        <w:tc>
          <w:tcPr>
            <w:tcW w:w="6816" w:type="dxa"/>
            <w:shd w:val="clear" w:color="auto" w:fill="E0E0E0"/>
          </w:tcPr>
          <w:p w:rsidR="00D217D1" w:rsidRPr="00AB4C8F" w:rsidRDefault="00D217D1" w:rsidP="00052050">
            <w:pPr>
              <w:rPr>
                <w:b/>
              </w:rPr>
            </w:pPr>
            <w:r w:rsidRPr="00AB4C8F">
              <w:rPr>
                <w:b/>
              </w:rPr>
              <w:t>Action</w:t>
            </w:r>
          </w:p>
        </w:tc>
      </w:tr>
      <w:tr w:rsidR="0076397F" w:rsidRPr="00C81A92" w:rsidTr="0076397F">
        <w:tc>
          <w:tcPr>
            <w:tcW w:w="723" w:type="dxa"/>
          </w:tcPr>
          <w:p w:rsidR="0076397F" w:rsidRPr="00AB4C8F" w:rsidRDefault="0076397F" w:rsidP="001B2960">
            <w:r w:rsidRPr="00AB4C8F">
              <w:t>1</w:t>
            </w:r>
          </w:p>
        </w:tc>
        <w:tc>
          <w:tcPr>
            <w:tcW w:w="2037" w:type="dxa"/>
          </w:tcPr>
          <w:p w:rsidR="0076397F" w:rsidRPr="003C3CAF" w:rsidRDefault="0076397F" w:rsidP="001B2960">
            <w:r w:rsidRPr="003C3CAF">
              <w:t>Name of table, as defined in OVS</w:t>
            </w:r>
            <w:r>
              <w:t>M</w:t>
            </w:r>
            <w:r w:rsidRPr="003C3CAF">
              <w:t xml:space="preserve"> (exact same spelling)</w:t>
            </w:r>
          </w:p>
        </w:tc>
        <w:tc>
          <w:tcPr>
            <w:tcW w:w="6816" w:type="dxa"/>
          </w:tcPr>
          <w:p w:rsidR="0076397F" w:rsidRPr="00E3317F" w:rsidRDefault="0076397F" w:rsidP="001B2960">
            <w:pPr>
              <w:rPr>
                <w:lang w:val="fr-FR"/>
              </w:rPr>
            </w:pPr>
            <w:r w:rsidRPr="00AB4C8F">
              <w:t xml:space="preserve">One line </w:t>
            </w:r>
            <w:r w:rsidRPr="00E3317F">
              <w:rPr>
                <w:lang w:val="fr-FR"/>
              </w:rPr>
              <w:t>per action</w:t>
            </w:r>
          </w:p>
        </w:tc>
      </w:tr>
    </w:tbl>
    <w:p w:rsidR="00D217D1" w:rsidRPr="00126005" w:rsidRDefault="00D217D1" w:rsidP="00D217D1"/>
    <w:p w:rsidR="0076397F" w:rsidRDefault="0076397F" w:rsidP="0076397F">
      <w:pPr>
        <w:pStyle w:val="Heading2"/>
        <w:ind w:left="1296"/>
      </w:pPr>
    </w:p>
    <w:p w:rsidR="0076397F" w:rsidRDefault="0076397F" w:rsidP="0076397F">
      <w:pPr>
        <w:pStyle w:val="Heading2"/>
        <w:ind w:left="1296"/>
      </w:pPr>
      <w:r>
        <w:t>4.1 Data migration verification</w:t>
      </w:r>
    </w:p>
    <w:p w:rsidR="0076397F" w:rsidRDefault="0076397F" w:rsidP="0076397F">
      <w:pPr>
        <w:rPr>
          <w:i/>
        </w:rPr>
      </w:pPr>
      <w:r w:rsidRPr="00AB4C8F">
        <w:rPr>
          <w:i/>
        </w:rPr>
        <w:t xml:space="preserve">Note: </w:t>
      </w:r>
      <w:r>
        <w:rPr>
          <w:i/>
        </w:rPr>
        <w:t>T</w:t>
      </w:r>
      <w:r w:rsidRPr="00AB4C8F">
        <w:rPr>
          <w:i/>
        </w:rPr>
        <w:t xml:space="preserve">hese instructions should be executed to </w:t>
      </w:r>
      <w:r>
        <w:rPr>
          <w:i/>
        </w:rPr>
        <w:t xml:space="preserve">verify production </w:t>
      </w:r>
      <w:r w:rsidRPr="00AB4C8F">
        <w:rPr>
          <w:i/>
        </w:rPr>
        <w:t xml:space="preserve">data </w:t>
      </w:r>
      <w:r>
        <w:rPr>
          <w:i/>
        </w:rPr>
        <w:t xml:space="preserve">update was successful. </w:t>
      </w:r>
    </w:p>
    <w:p w:rsidR="0076397F" w:rsidRPr="00AB4C8F" w:rsidRDefault="0076397F" w:rsidP="0076397F">
      <w:pPr>
        <w:rPr>
          <w:i/>
        </w:rPr>
      </w:pPr>
      <w:r>
        <w:rPr>
          <w:i/>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3"/>
        <w:gridCol w:w="2037"/>
        <w:gridCol w:w="6816"/>
      </w:tblGrid>
      <w:tr w:rsidR="0076397F" w:rsidRPr="00E3317F" w:rsidTr="001B2960">
        <w:tc>
          <w:tcPr>
            <w:tcW w:w="723" w:type="dxa"/>
            <w:shd w:val="clear" w:color="auto" w:fill="E0E0E0"/>
          </w:tcPr>
          <w:p w:rsidR="0076397F" w:rsidRPr="00E3317F" w:rsidRDefault="0076397F" w:rsidP="001B2960">
            <w:pPr>
              <w:rPr>
                <w:b/>
              </w:rPr>
            </w:pPr>
            <w:r w:rsidRPr="00E3317F">
              <w:rPr>
                <w:b/>
              </w:rPr>
              <w:t>Task</w:t>
            </w:r>
          </w:p>
        </w:tc>
        <w:tc>
          <w:tcPr>
            <w:tcW w:w="2116" w:type="dxa"/>
            <w:shd w:val="clear" w:color="auto" w:fill="E0E0E0"/>
          </w:tcPr>
          <w:p w:rsidR="0076397F" w:rsidRPr="00E3317F" w:rsidRDefault="0076397F" w:rsidP="001B2960">
            <w:pPr>
              <w:rPr>
                <w:b/>
              </w:rPr>
            </w:pPr>
            <w:r w:rsidRPr="00E3317F">
              <w:rPr>
                <w:b/>
              </w:rPr>
              <w:t>Target Element (table, form, other object)</w:t>
            </w:r>
          </w:p>
        </w:tc>
        <w:tc>
          <w:tcPr>
            <w:tcW w:w="7299" w:type="dxa"/>
            <w:shd w:val="clear" w:color="auto" w:fill="E0E0E0"/>
          </w:tcPr>
          <w:p w:rsidR="0076397F" w:rsidRPr="00E3317F" w:rsidRDefault="0076397F" w:rsidP="001B2960">
            <w:pPr>
              <w:rPr>
                <w:b/>
              </w:rPr>
            </w:pPr>
            <w:r w:rsidRPr="00E3317F">
              <w:rPr>
                <w:b/>
              </w:rPr>
              <w:t>Action</w:t>
            </w:r>
          </w:p>
        </w:tc>
      </w:tr>
      <w:tr w:rsidR="0076397F" w:rsidRPr="00E3317F" w:rsidTr="001B2960">
        <w:tc>
          <w:tcPr>
            <w:tcW w:w="723" w:type="dxa"/>
          </w:tcPr>
          <w:p w:rsidR="0076397F" w:rsidRPr="00AB4C8F" w:rsidRDefault="0076397F" w:rsidP="001B2960">
            <w:r w:rsidRPr="00AB4C8F">
              <w:t>1</w:t>
            </w:r>
          </w:p>
        </w:tc>
        <w:tc>
          <w:tcPr>
            <w:tcW w:w="2116" w:type="dxa"/>
          </w:tcPr>
          <w:p w:rsidR="0076397F" w:rsidRPr="003C3CAF" w:rsidRDefault="0076397F" w:rsidP="001B2960">
            <w:r w:rsidRPr="003C3CAF">
              <w:t>Name of table, as defined in OVS</w:t>
            </w:r>
            <w:r>
              <w:t>M</w:t>
            </w:r>
            <w:r w:rsidRPr="003C3CAF">
              <w:t xml:space="preserve"> (exact same spelling)</w:t>
            </w:r>
          </w:p>
        </w:tc>
        <w:tc>
          <w:tcPr>
            <w:tcW w:w="7299" w:type="dxa"/>
          </w:tcPr>
          <w:p w:rsidR="0076397F" w:rsidRPr="00E3317F" w:rsidRDefault="0076397F" w:rsidP="001B2960">
            <w:pPr>
              <w:rPr>
                <w:lang w:val="fr-FR"/>
              </w:rPr>
            </w:pPr>
            <w:r w:rsidRPr="00AB4C8F">
              <w:t xml:space="preserve">One line </w:t>
            </w:r>
            <w:r w:rsidRPr="00E3317F">
              <w:rPr>
                <w:lang w:val="fr-FR"/>
              </w:rPr>
              <w:t>per action</w:t>
            </w:r>
          </w:p>
        </w:tc>
      </w:tr>
    </w:tbl>
    <w:p w:rsidR="002C5AD5" w:rsidRDefault="002C5AD5"/>
    <w:sectPr w:rsidR="002C5AD5" w:rsidSect="002C5A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SimSun">
    <w:altName w:val="Tahoma"/>
    <w:panose1 w:val="02010600030101010101"/>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67046"/>
    <w:multiLevelType w:val="hybridMultilevel"/>
    <w:tmpl w:val="BAE8D992"/>
    <w:lvl w:ilvl="0" w:tplc="0409000F">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nsid w:val="01DD3B60"/>
    <w:multiLevelType w:val="hybridMultilevel"/>
    <w:tmpl w:val="8DD6B97E"/>
    <w:lvl w:ilvl="0" w:tplc="0409000F">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nsid w:val="13D21FFC"/>
    <w:multiLevelType w:val="hybridMultilevel"/>
    <w:tmpl w:val="3714554A"/>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FAF130C"/>
    <w:multiLevelType w:val="hybridMultilevel"/>
    <w:tmpl w:val="901051C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0F40081"/>
    <w:multiLevelType w:val="hybridMultilevel"/>
    <w:tmpl w:val="EF645734"/>
    <w:lvl w:ilvl="0" w:tplc="4E78C2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useFELayout/>
  </w:compat>
  <w:rsids>
    <w:rsidRoot w:val="00D217D1"/>
    <w:rsid w:val="00000386"/>
    <w:rsid w:val="000134D8"/>
    <w:rsid w:val="00021700"/>
    <w:rsid w:val="000371E5"/>
    <w:rsid w:val="00041432"/>
    <w:rsid w:val="00044479"/>
    <w:rsid w:val="00050D90"/>
    <w:rsid w:val="000565F4"/>
    <w:rsid w:val="000638CB"/>
    <w:rsid w:val="000A6E23"/>
    <w:rsid w:val="000B4B31"/>
    <w:rsid w:val="000C129C"/>
    <w:rsid w:val="000F06B1"/>
    <w:rsid w:val="000F1FDE"/>
    <w:rsid w:val="000F3AF4"/>
    <w:rsid w:val="001020CA"/>
    <w:rsid w:val="00106A95"/>
    <w:rsid w:val="00112D31"/>
    <w:rsid w:val="00130E11"/>
    <w:rsid w:val="00133834"/>
    <w:rsid w:val="00137356"/>
    <w:rsid w:val="001376BD"/>
    <w:rsid w:val="00146969"/>
    <w:rsid w:val="001500C0"/>
    <w:rsid w:val="00161BF3"/>
    <w:rsid w:val="00164F3C"/>
    <w:rsid w:val="00166191"/>
    <w:rsid w:val="00166A1A"/>
    <w:rsid w:val="00174C2D"/>
    <w:rsid w:val="00175E65"/>
    <w:rsid w:val="00197961"/>
    <w:rsid w:val="001B04AD"/>
    <w:rsid w:val="001B37E8"/>
    <w:rsid w:val="001B3FB5"/>
    <w:rsid w:val="001C7B06"/>
    <w:rsid w:val="001E1086"/>
    <w:rsid w:val="001E3168"/>
    <w:rsid w:val="001F1E9E"/>
    <w:rsid w:val="00205335"/>
    <w:rsid w:val="00205779"/>
    <w:rsid w:val="00206EB7"/>
    <w:rsid w:val="00211755"/>
    <w:rsid w:val="00252956"/>
    <w:rsid w:val="002660B8"/>
    <w:rsid w:val="0028374B"/>
    <w:rsid w:val="002B137F"/>
    <w:rsid w:val="002B5323"/>
    <w:rsid w:val="002C15CA"/>
    <w:rsid w:val="002C412D"/>
    <w:rsid w:val="002C5AD5"/>
    <w:rsid w:val="002D2F2C"/>
    <w:rsid w:val="002D672C"/>
    <w:rsid w:val="002E0155"/>
    <w:rsid w:val="002F00E2"/>
    <w:rsid w:val="002F6423"/>
    <w:rsid w:val="0030114A"/>
    <w:rsid w:val="003026C9"/>
    <w:rsid w:val="00306B28"/>
    <w:rsid w:val="00313708"/>
    <w:rsid w:val="00317F81"/>
    <w:rsid w:val="00325BB1"/>
    <w:rsid w:val="0032684A"/>
    <w:rsid w:val="00332459"/>
    <w:rsid w:val="00334D5D"/>
    <w:rsid w:val="0034771B"/>
    <w:rsid w:val="0035034A"/>
    <w:rsid w:val="00350830"/>
    <w:rsid w:val="00360624"/>
    <w:rsid w:val="00360E1A"/>
    <w:rsid w:val="00394DC0"/>
    <w:rsid w:val="003A3C7B"/>
    <w:rsid w:val="003B17E3"/>
    <w:rsid w:val="003B3C87"/>
    <w:rsid w:val="003D30A7"/>
    <w:rsid w:val="003E4203"/>
    <w:rsid w:val="003E46BB"/>
    <w:rsid w:val="003F3F15"/>
    <w:rsid w:val="003F57BC"/>
    <w:rsid w:val="00427517"/>
    <w:rsid w:val="004314E1"/>
    <w:rsid w:val="00431D34"/>
    <w:rsid w:val="004359E9"/>
    <w:rsid w:val="0044032E"/>
    <w:rsid w:val="0045073F"/>
    <w:rsid w:val="00456C0E"/>
    <w:rsid w:val="004714F7"/>
    <w:rsid w:val="00482079"/>
    <w:rsid w:val="00492CBC"/>
    <w:rsid w:val="00493BAB"/>
    <w:rsid w:val="00494898"/>
    <w:rsid w:val="004A339C"/>
    <w:rsid w:val="004B35E9"/>
    <w:rsid w:val="004B53FB"/>
    <w:rsid w:val="004B5DB2"/>
    <w:rsid w:val="004B6685"/>
    <w:rsid w:val="004C4BBD"/>
    <w:rsid w:val="004D2D78"/>
    <w:rsid w:val="004D72FC"/>
    <w:rsid w:val="004F22FA"/>
    <w:rsid w:val="0050054D"/>
    <w:rsid w:val="005041EE"/>
    <w:rsid w:val="00513037"/>
    <w:rsid w:val="00514981"/>
    <w:rsid w:val="00537374"/>
    <w:rsid w:val="005747E9"/>
    <w:rsid w:val="005837DC"/>
    <w:rsid w:val="005A0868"/>
    <w:rsid w:val="005B1BAB"/>
    <w:rsid w:val="005B46F5"/>
    <w:rsid w:val="005C08F4"/>
    <w:rsid w:val="005C0DDC"/>
    <w:rsid w:val="005C255D"/>
    <w:rsid w:val="005C4A90"/>
    <w:rsid w:val="005C56AE"/>
    <w:rsid w:val="005C7836"/>
    <w:rsid w:val="005D4DE5"/>
    <w:rsid w:val="005E0E03"/>
    <w:rsid w:val="005E19F1"/>
    <w:rsid w:val="005E3A2E"/>
    <w:rsid w:val="005F2A90"/>
    <w:rsid w:val="00603B4C"/>
    <w:rsid w:val="006144A3"/>
    <w:rsid w:val="00620F01"/>
    <w:rsid w:val="00623A2B"/>
    <w:rsid w:val="00631C7A"/>
    <w:rsid w:val="006522C2"/>
    <w:rsid w:val="006558EB"/>
    <w:rsid w:val="00664FCD"/>
    <w:rsid w:val="00680162"/>
    <w:rsid w:val="00680A61"/>
    <w:rsid w:val="00697A75"/>
    <w:rsid w:val="006A45B8"/>
    <w:rsid w:val="006A7591"/>
    <w:rsid w:val="006A7757"/>
    <w:rsid w:val="006B38E4"/>
    <w:rsid w:val="006D1992"/>
    <w:rsid w:val="006D450D"/>
    <w:rsid w:val="006D461D"/>
    <w:rsid w:val="006D5DA5"/>
    <w:rsid w:val="006E54D0"/>
    <w:rsid w:val="006F40DB"/>
    <w:rsid w:val="006F79A8"/>
    <w:rsid w:val="00701259"/>
    <w:rsid w:val="007113DB"/>
    <w:rsid w:val="00723A46"/>
    <w:rsid w:val="007315D3"/>
    <w:rsid w:val="00734234"/>
    <w:rsid w:val="00744566"/>
    <w:rsid w:val="0074682C"/>
    <w:rsid w:val="00752B9A"/>
    <w:rsid w:val="0076397F"/>
    <w:rsid w:val="007655A0"/>
    <w:rsid w:val="007848B5"/>
    <w:rsid w:val="007A112B"/>
    <w:rsid w:val="007A4F22"/>
    <w:rsid w:val="007D7797"/>
    <w:rsid w:val="007E1471"/>
    <w:rsid w:val="007E39D4"/>
    <w:rsid w:val="00801854"/>
    <w:rsid w:val="0080798F"/>
    <w:rsid w:val="00847FD7"/>
    <w:rsid w:val="0085650F"/>
    <w:rsid w:val="00860B26"/>
    <w:rsid w:val="0087201B"/>
    <w:rsid w:val="00897E40"/>
    <w:rsid w:val="008A59AF"/>
    <w:rsid w:val="008C156A"/>
    <w:rsid w:val="008E0626"/>
    <w:rsid w:val="008F36FB"/>
    <w:rsid w:val="00900B98"/>
    <w:rsid w:val="0090419F"/>
    <w:rsid w:val="00921623"/>
    <w:rsid w:val="00926402"/>
    <w:rsid w:val="009365F5"/>
    <w:rsid w:val="00936B74"/>
    <w:rsid w:val="00952E86"/>
    <w:rsid w:val="00954ACF"/>
    <w:rsid w:val="009815AB"/>
    <w:rsid w:val="00983ED5"/>
    <w:rsid w:val="0099434E"/>
    <w:rsid w:val="00997690"/>
    <w:rsid w:val="009B3CE7"/>
    <w:rsid w:val="009C6986"/>
    <w:rsid w:val="009D7915"/>
    <w:rsid w:val="009F7371"/>
    <w:rsid w:val="00A014C7"/>
    <w:rsid w:val="00A133D2"/>
    <w:rsid w:val="00A20B26"/>
    <w:rsid w:val="00A232B4"/>
    <w:rsid w:val="00A23F88"/>
    <w:rsid w:val="00A44F57"/>
    <w:rsid w:val="00A45FB3"/>
    <w:rsid w:val="00A47111"/>
    <w:rsid w:val="00A47217"/>
    <w:rsid w:val="00A5208D"/>
    <w:rsid w:val="00A55F24"/>
    <w:rsid w:val="00A562D7"/>
    <w:rsid w:val="00A57C36"/>
    <w:rsid w:val="00A756A1"/>
    <w:rsid w:val="00A92AF9"/>
    <w:rsid w:val="00A95B66"/>
    <w:rsid w:val="00AB09DE"/>
    <w:rsid w:val="00AB5083"/>
    <w:rsid w:val="00AB69CF"/>
    <w:rsid w:val="00AB6CD2"/>
    <w:rsid w:val="00AE3392"/>
    <w:rsid w:val="00AF3AFE"/>
    <w:rsid w:val="00B1176F"/>
    <w:rsid w:val="00B14DF1"/>
    <w:rsid w:val="00B1584C"/>
    <w:rsid w:val="00B17C61"/>
    <w:rsid w:val="00B2434E"/>
    <w:rsid w:val="00B44554"/>
    <w:rsid w:val="00B459FD"/>
    <w:rsid w:val="00B53880"/>
    <w:rsid w:val="00B64B0F"/>
    <w:rsid w:val="00B65663"/>
    <w:rsid w:val="00B7713C"/>
    <w:rsid w:val="00B854B2"/>
    <w:rsid w:val="00BA3128"/>
    <w:rsid w:val="00BA3C02"/>
    <w:rsid w:val="00BB227A"/>
    <w:rsid w:val="00BB57CB"/>
    <w:rsid w:val="00BB5AFF"/>
    <w:rsid w:val="00BD0509"/>
    <w:rsid w:val="00BD084F"/>
    <w:rsid w:val="00BE2337"/>
    <w:rsid w:val="00BE3F77"/>
    <w:rsid w:val="00BE5632"/>
    <w:rsid w:val="00BF3AE7"/>
    <w:rsid w:val="00C0340E"/>
    <w:rsid w:val="00C03885"/>
    <w:rsid w:val="00C0591F"/>
    <w:rsid w:val="00C0711A"/>
    <w:rsid w:val="00C16B7D"/>
    <w:rsid w:val="00C2612D"/>
    <w:rsid w:val="00C67558"/>
    <w:rsid w:val="00C760C8"/>
    <w:rsid w:val="00C808F0"/>
    <w:rsid w:val="00C83126"/>
    <w:rsid w:val="00C85D3F"/>
    <w:rsid w:val="00C92B98"/>
    <w:rsid w:val="00C94AAB"/>
    <w:rsid w:val="00C94D5A"/>
    <w:rsid w:val="00C96D6A"/>
    <w:rsid w:val="00CB079F"/>
    <w:rsid w:val="00CB4F8D"/>
    <w:rsid w:val="00CB6297"/>
    <w:rsid w:val="00CC0F81"/>
    <w:rsid w:val="00CD0909"/>
    <w:rsid w:val="00CD0A0D"/>
    <w:rsid w:val="00CD2891"/>
    <w:rsid w:val="00CD6F71"/>
    <w:rsid w:val="00CE6875"/>
    <w:rsid w:val="00CE692C"/>
    <w:rsid w:val="00CF3612"/>
    <w:rsid w:val="00CF533E"/>
    <w:rsid w:val="00D040D1"/>
    <w:rsid w:val="00D217D1"/>
    <w:rsid w:val="00D26EF7"/>
    <w:rsid w:val="00D2729A"/>
    <w:rsid w:val="00D30457"/>
    <w:rsid w:val="00D30DDD"/>
    <w:rsid w:val="00D316C8"/>
    <w:rsid w:val="00D52ED4"/>
    <w:rsid w:val="00D540B5"/>
    <w:rsid w:val="00D63C33"/>
    <w:rsid w:val="00D7308D"/>
    <w:rsid w:val="00D738B7"/>
    <w:rsid w:val="00D90949"/>
    <w:rsid w:val="00D96965"/>
    <w:rsid w:val="00DD4147"/>
    <w:rsid w:val="00DE49C4"/>
    <w:rsid w:val="00DF041C"/>
    <w:rsid w:val="00DF20B8"/>
    <w:rsid w:val="00E11068"/>
    <w:rsid w:val="00E11147"/>
    <w:rsid w:val="00E205AB"/>
    <w:rsid w:val="00E247C7"/>
    <w:rsid w:val="00E2609C"/>
    <w:rsid w:val="00E32E53"/>
    <w:rsid w:val="00E33230"/>
    <w:rsid w:val="00E45C27"/>
    <w:rsid w:val="00E47984"/>
    <w:rsid w:val="00E50ACE"/>
    <w:rsid w:val="00E51A6A"/>
    <w:rsid w:val="00E821DB"/>
    <w:rsid w:val="00E8443A"/>
    <w:rsid w:val="00EA0BA9"/>
    <w:rsid w:val="00EA11A4"/>
    <w:rsid w:val="00EC2F6A"/>
    <w:rsid w:val="00EE7C5D"/>
    <w:rsid w:val="00EF333B"/>
    <w:rsid w:val="00EF50B5"/>
    <w:rsid w:val="00F1445C"/>
    <w:rsid w:val="00F378DB"/>
    <w:rsid w:val="00F5375A"/>
    <w:rsid w:val="00F77C3B"/>
    <w:rsid w:val="00F8505B"/>
    <w:rsid w:val="00F87262"/>
    <w:rsid w:val="00F9282D"/>
    <w:rsid w:val="00F97B93"/>
    <w:rsid w:val="00FA1F2F"/>
    <w:rsid w:val="00FB5032"/>
    <w:rsid w:val="00FB7553"/>
    <w:rsid w:val="00FC6043"/>
    <w:rsid w:val="00FD3172"/>
    <w:rsid w:val="00FD3E08"/>
    <w:rsid w:val="00FD3E27"/>
    <w:rsid w:val="00FE1991"/>
    <w:rsid w:val="00FF30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7D1"/>
    <w:pPr>
      <w:spacing w:after="0" w:line="240" w:lineRule="auto"/>
    </w:pPr>
    <w:rPr>
      <w:rFonts w:ascii="Times New Roman" w:eastAsia="SimSun" w:hAnsi="Times New Roman" w:cs="Times New Roman"/>
      <w:sz w:val="24"/>
      <w:szCs w:val="24"/>
      <w:lang w:eastAsia="en-US"/>
    </w:rPr>
  </w:style>
  <w:style w:type="paragraph" w:styleId="Heading2">
    <w:name w:val="heading 2"/>
    <w:basedOn w:val="Normal"/>
    <w:next w:val="Normal"/>
    <w:link w:val="Heading2Char"/>
    <w:qFormat/>
    <w:rsid w:val="00D217D1"/>
    <w:pPr>
      <w:keepNext/>
      <w:tabs>
        <w:tab w:val="num" w:pos="576"/>
      </w:tabs>
      <w:spacing w:before="240" w:after="60"/>
      <w:ind w:left="576" w:hanging="576"/>
      <w:outlineLvl w:val="1"/>
    </w:pPr>
    <w:rPr>
      <w:rFonts w:ascii="Arial" w:hAnsi="Arial" w:cs="Arial"/>
      <w:b/>
      <w:bCs/>
      <w:i/>
      <w:iCs/>
      <w:noProo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217D1"/>
    <w:rPr>
      <w:rFonts w:ascii="Arial" w:eastAsia="SimSun" w:hAnsi="Arial" w:cs="Arial"/>
      <w:b/>
      <w:bCs/>
      <w:i/>
      <w:iCs/>
      <w:noProof/>
      <w:sz w:val="28"/>
      <w:szCs w:val="28"/>
      <w:lang w:eastAsia="en-US"/>
    </w:rPr>
  </w:style>
  <w:style w:type="table" w:styleId="TableGrid">
    <w:name w:val="Table Grid"/>
    <w:basedOn w:val="TableNormal"/>
    <w:rsid w:val="00D217D1"/>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D217D1"/>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D217D1"/>
    <w:rPr>
      <w:rFonts w:ascii="Arial" w:eastAsia="SimSun" w:hAnsi="Arial" w:cs="Arial"/>
      <w:b/>
      <w:bCs/>
      <w:kern w:val="28"/>
      <w:sz w:val="32"/>
      <w:szCs w:val="32"/>
      <w:lang w:eastAsia="en-US"/>
    </w:rPr>
  </w:style>
  <w:style w:type="paragraph" w:styleId="BalloonText">
    <w:name w:val="Balloon Text"/>
    <w:basedOn w:val="Normal"/>
    <w:link w:val="BalloonTextChar"/>
    <w:uiPriority w:val="99"/>
    <w:semiHidden/>
    <w:unhideWhenUsed/>
    <w:rsid w:val="00D217D1"/>
    <w:rPr>
      <w:rFonts w:ascii="Tahoma" w:hAnsi="Tahoma" w:cs="Tahoma"/>
      <w:sz w:val="16"/>
      <w:szCs w:val="16"/>
    </w:rPr>
  </w:style>
  <w:style w:type="character" w:customStyle="1" w:styleId="BalloonTextChar">
    <w:name w:val="Balloon Text Char"/>
    <w:basedOn w:val="DefaultParagraphFont"/>
    <w:link w:val="BalloonText"/>
    <w:uiPriority w:val="99"/>
    <w:semiHidden/>
    <w:rsid w:val="00D217D1"/>
    <w:rPr>
      <w:rFonts w:ascii="Tahoma" w:eastAsia="SimSun" w:hAnsi="Tahoma" w:cs="Tahoma"/>
      <w:sz w:val="16"/>
      <w:szCs w:val="16"/>
      <w:lang w:eastAsia="en-US"/>
    </w:rPr>
  </w:style>
  <w:style w:type="paragraph" w:styleId="ListParagraph">
    <w:name w:val="List Paragraph"/>
    <w:basedOn w:val="Normal"/>
    <w:uiPriority w:val="34"/>
    <w:qFormat/>
    <w:rsid w:val="009B3CE7"/>
    <w:pPr>
      <w:ind w:left="720"/>
      <w:contextualSpacing/>
    </w:pPr>
  </w:style>
  <w:style w:type="paragraph" w:styleId="DocumentMap">
    <w:name w:val="Document Map"/>
    <w:basedOn w:val="Normal"/>
    <w:link w:val="DocumentMapChar"/>
    <w:uiPriority w:val="99"/>
    <w:semiHidden/>
    <w:unhideWhenUsed/>
    <w:rsid w:val="00C85D3F"/>
    <w:rPr>
      <w:rFonts w:ascii="Tahoma" w:hAnsi="Tahoma" w:cs="Tahoma"/>
      <w:sz w:val="16"/>
      <w:szCs w:val="16"/>
    </w:rPr>
  </w:style>
  <w:style w:type="character" w:customStyle="1" w:styleId="DocumentMapChar">
    <w:name w:val="Document Map Char"/>
    <w:basedOn w:val="DefaultParagraphFont"/>
    <w:link w:val="DocumentMap"/>
    <w:uiPriority w:val="99"/>
    <w:semiHidden/>
    <w:rsid w:val="00C85D3F"/>
    <w:rPr>
      <w:rFonts w:ascii="Tahoma" w:eastAsia="SimSun"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401106193">
      <w:bodyDiv w:val="1"/>
      <w:marLeft w:val="0"/>
      <w:marRight w:val="0"/>
      <w:marTop w:val="0"/>
      <w:marBottom w:val="0"/>
      <w:divBdr>
        <w:top w:val="none" w:sz="0" w:space="0" w:color="auto"/>
        <w:left w:val="none" w:sz="0" w:space="0" w:color="auto"/>
        <w:bottom w:val="none" w:sz="0" w:space="0" w:color="auto"/>
        <w:right w:val="none" w:sz="0" w:space="0" w:color="auto"/>
      </w:divBdr>
    </w:div>
    <w:div w:id="847790541">
      <w:bodyDiv w:val="1"/>
      <w:marLeft w:val="0"/>
      <w:marRight w:val="0"/>
      <w:marTop w:val="0"/>
      <w:marBottom w:val="0"/>
      <w:divBdr>
        <w:top w:val="none" w:sz="0" w:space="0" w:color="auto"/>
        <w:left w:val="none" w:sz="0" w:space="0" w:color="auto"/>
        <w:bottom w:val="none" w:sz="0" w:space="0" w:color="auto"/>
        <w:right w:val="none" w:sz="0" w:space="0" w:color="auto"/>
      </w:divBdr>
    </w:div>
    <w:div w:id="98704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A00FEB78EA334AB767D0AC0FB55A65" ma:contentTypeVersion="4" ma:contentTypeDescription="Create a new document." ma:contentTypeScope="" ma:versionID="2e968c2df006103e01799dcbf80372df">
  <xsd:schema xmlns:xsd="http://www.w3.org/2001/XMLSchema" xmlns:p="http://schemas.microsoft.com/office/2006/metadata/properties" targetNamespace="http://schemas.microsoft.com/office/2006/metadata/properties" ma:root="true" ma:fieldsID="351b01773984b8324de9ae526cdbbc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9774A1B-97A9-4E40-B2E6-DD401976C61D}">
  <ds:schemaRefs>
    <ds:schemaRef ds:uri="http://schemas.microsoft.com/office/2006/metadata/properties"/>
  </ds:schemaRefs>
</ds:datastoreItem>
</file>

<file path=customXml/itemProps2.xml><?xml version="1.0" encoding="utf-8"?>
<ds:datastoreItem xmlns:ds="http://schemas.openxmlformats.org/officeDocument/2006/customXml" ds:itemID="{7647DACC-C0C4-47AE-B441-6A0B88E36B9E}">
  <ds:schemaRefs>
    <ds:schemaRef ds:uri="http://schemas.microsoft.com/sharepoint/v3/contenttype/forms"/>
  </ds:schemaRefs>
</ds:datastoreItem>
</file>

<file path=customXml/itemProps3.xml><?xml version="1.0" encoding="utf-8"?>
<ds:datastoreItem xmlns:ds="http://schemas.openxmlformats.org/officeDocument/2006/customXml" ds:itemID="{ECC4F32D-D041-41FD-97CC-FA38733782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2</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haize</dc:creator>
  <cp:keywords/>
  <dc:description/>
  <cp:lastModifiedBy>Zhen Dai</cp:lastModifiedBy>
  <cp:revision>383</cp:revision>
  <dcterms:created xsi:type="dcterms:W3CDTF">2009-03-11T04:47:00Z</dcterms:created>
  <dcterms:modified xsi:type="dcterms:W3CDTF">2012-04-11T08:13:00Z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0x0101008EA00FEB78EA334AB767D0AC0FB55A65</vt:lpwstr>
  </property>
</Properties>
</file>