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3DC" w:rsidRDefault="00F24322" w:rsidP="00F24322">
      <w:pPr>
        <w:pStyle w:val="Heading1"/>
        <w:jc w:val="center"/>
      </w:pPr>
      <w:r>
        <w:t>M</w:t>
      </w:r>
      <w:r w:rsidR="009C5736">
        <w:t>ATLAB</w:t>
      </w:r>
      <w:r>
        <w:t xml:space="preserve"> code for spin dynamics simulations</w:t>
      </w:r>
    </w:p>
    <w:p w:rsidR="00F24322" w:rsidRDefault="00F24322" w:rsidP="00F24322">
      <w:pPr>
        <w:spacing w:before="100"/>
      </w:pPr>
      <w:r>
        <w:t xml:space="preserve">v0.1: Soumyajit Mandal, 11/12/2016 </w:t>
      </w:r>
    </w:p>
    <w:p w:rsidR="00F24322" w:rsidRDefault="00F24322" w:rsidP="00F24322">
      <w:pPr>
        <w:jc w:val="both"/>
      </w:pPr>
      <w:r>
        <w:t>The folder contains a set of M</w:t>
      </w:r>
      <w:r w:rsidR="009C5736">
        <w:t>ATLAB</w:t>
      </w:r>
      <w:bookmarkStart w:id="0" w:name="_GoBack"/>
      <w:bookmarkEnd w:id="0"/>
      <w:r>
        <w:t xml:space="preserve"> functions for simulating the spin dynamics of NMR experiments. </w:t>
      </w:r>
      <w:r w:rsidR="00ED05C8">
        <w:t xml:space="preserve">Various subfolders contain specialized versions of the functions for simulating specific scenarios, as described later. </w:t>
      </w:r>
      <w:r>
        <w:t xml:space="preserve">The key </w:t>
      </w:r>
      <w:r w:rsidR="00ED05C8">
        <w:t>ideas used in the simulation are summarized below:</w:t>
      </w:r>
    </w:p>
    <w:p w:rsidR="00911C69" w:rsidRDefault="00911C69" w:rsidP="00911C69">
      <w:pPr>
        <w:pStyle w:val="ListParagraph"/>
        <w:numPr>
          <w:ilvl w:val="0"/>
          <w:numId w:val="1"/>
        </w:numPr>
        <w:jc w:val="both"/>
      </w:pPr>
      <w:r>
        <w:t xml:space="preserve">The spin dynamics </w:t>
      </w:r>
      <w:r w:rsidR="0009424A">
        <w:t>is</w:t>
      </w:r>
      <w:r>
        <w:t xml:space="preserve"> assumed to be that of an ensemble of uncoupled spin-1/2 nuclei, such as protons. </w:t>
      </w:r>
      <w:r w:rsidR="00B80E6A">
        <w:t>This allows the dynamics to be represented</w:t>
      </w:r>
      <w:r w:rsidR="00C25455">
        <w:t xml:space="preserve"> by the motion of a “magnetization vector” in 3D space</w:t>
      </w:r>
      <w:r>
        <w:t xml:space="preserve">, </w:t>
      </w:r>
      <w:r w:rsidR="00C25455">
        <w:t xml:space="preserve">but it also prevents </w:t>
      </w:r>
      <w:r>
        <w:t>J-coupling, multinuclear experiments</w:t>
      </w:r>
      <w:r w:rsidR="00C25455">
        <w:t>, etc</w:t>
      </w:r>
      <w:r w:rsidR="00B80E6A">
        <w:t>. from being modeled</w:t>
      </w:r>
      <w:r w:rsidR="00C25455">
        <w:t xml:space="preserve">. </w:t>
      </w:r>
    </w:p>
    <w:p w:rsidR="00ED05C8" w:rsidRDefault="00ED05C8" w:rsidP="00ED05C8">
      <w:pPr>
        <w:pStyle w:val="ListParagraph"/>
        <w:numPr>
          <w:ilvl w:val="0"/>
          <w:numId w:val="1"/>
        </w:numPr>
        <w:jc w:val="both"/>
      </w:pPr>
      <w:r>
        <w:t xml:space="preserve">The simulation </w:t>
      </w:r>
      <w:r w:rsidR="00911C69">
        <w:t>is based on discretizing the sample volume of interest into a large number of “</w:t>
      </w:r>
      <w:proofErr w:type="spellStart"/>
      <w:r w:rsidR="00911C69">
        <w:t>isochromats</w:t>
      </w:r>
      <w:proofErr w:type="spellEnd"/>
      <w:r w:rsidR="00911C69">
        <w:t>”, which are defined as small regions within which the static and RF magnetic fields (</w:t>
      </w:r>
      <w:r w:rsidR="00911C69" w:rsidRPr="00911C69">
        <w:rPr>
          <w:i/>
        </w:rPr>
        <w:t>B</w:t>
      </w:r>
      <w:r w:rsidR="00911C69" w:rsidRPr="00911C69">
        <w:rPr>
          <w:vertAlign w:val="subscript"/>
        </w:rPr>
        <w:t>0</w:t>
      </w:r>
      <w:r w:rsidR="00911C69">
        <w:t xml:space="preserve"> and </w:t>
      </w:r>
      <w:r w:rsidR="00911C69" w:rsidRPr="00911C69">
        <w:rPr>
          <w:i/>
        </w:rPr>
        <w:t>B</w:t>
      </w:r>
      <w:r w:rsidR="00911C69" w:rsidRPr="00911C69">
        <w:rPr>
          <w:vertAlign w:val="subscript"/>
        </w:rPr>
        <w:t>1</w:t>
      </w:r>
      <w:r w:rsidR="00911C69">
        <w:t>, respectively), are assumed to be constant. The user should select the (</w:t>
      </w:r>
      <w:r w:rsidR="00911C69" w:rsidRPr="00911C69">
        <w:rPr>
          <w:i/>
        </w:rPr>
        <w:t>B</w:t>
      </w:r>
      <w:r w:rsidR="00911C69" w:rsidRPr="00911C69">
        <w:rPr>
          <w:vertAlign w:val="subscript"/>
        </w:rPr>
        <w:t>0</w:t>
      </w:r>
      <w:r w:rsidR="00911C69">
        <w:t xml:space="preserve">, </w:t>
      </w:r>
      <w:r w:rsidR="00911C69" w:rsidRPr="00911C69">
        <w:rPr>
          <w:i/>
        </w:rPr>
        <w:t>B</w:t>
      </w:r>
      <w:r w:rsidR="00911C69">
        <w:rPr>
          <w:vertAlign w:val="subscript"/>
        </w:rPr>
        <w:t>1</w:t>
      </w:r>
      <w:r w:rsidR="00911C69">
        <w:t xml:space="preserve">) distribution based on the system being studied. For example, a uniform </w:t>
      </w:r>
      <w:r w:rsidR="00911C69" w:rsidRPr="00911C69">
        <w:rPr>
          <w:i/>
        </w:rPr>
        <w:t>B</w:t>
      </w:r>
      <w:r w:rsidR="00911C69" w:rsidRPr="00911C69">
        <w:rPr>
          <w:vertAlign w:val="subscript"/>
        </w:rPr>
        <w:t>0</w:t>
      </w:r>
      <w:r w:rsidR="00911C69">
        <w:t xml:space="preserve"> gradient and relatively constant </w:t>
      </w:r>
      <w:r w:rsidR="00911C69" w:rsidRPr="00911C69">
        <w:rPr>
          <w:i/>
        </w:rPr>
        <w:t>B</w:t>
      </w:r>
      <w:r w:rsidR="00911C69">
        <w:rPr>
          <w:vertAlign w:val="subscript"/>
        </w:rPr>
        <w:t>1</w:t>
      </w:r>
      <w:r w:rsidR="00911C69">
        <w:t xml:space="preserve"> is a common assumption for inside-out sensor geometries. In this case </w:t>
      </w:r>
      <w:proofErr w:type="gramStart"/>
      <w:r w:rsidR="00911C69" w:rsidRPr="00911C69">
        <w:rPr>
          <w:i/>
        </w:rPr>
        <w:t>f</w:t>
      </w:r>
      <w:r w:rsidR="00911C69">
        <w:t>(</w:t>
      </w:r>
      <w:proofErr w:type="gramEnd"/>
      <w:r w:rsidR="00911C69" w:rsidRPr="00911C69">
        <w:rPr>
          <w:i/>
        </w:rPr>
        <w:t>B</w:t>
      </w:r>
      <w:r w:rsidR="00911C69" w:rsidRPr="00911C69">
        <w:rPr>
          <w:vertAlign w:val="subscript"/>
        </w:rPr>
        <w:t>0</w:t>
      </w:r>
      <w:r w:rsidR="00911C69">
        <w:t xml:space="preserve">, </w:t>
      </w:r>
      <w:r w:rsidR="00911C69" w:rsidRPr="00911C69">
        <w:rPr>
          <w:i/>
        </w:rPr>
        <w:t>B</w:t>
      </w:r>
      <w:r w:rsidR="00911C69">
        <w:rPr>
          <w:vertAlign w:val="subscript"/>
        </w:rPr>
        <w:t>1</w:t>
      </w:r>
      <w:r w:rsidR="00911C69">
        <w:t xml:space="preserve">) reduces to a uniform distribution over </w:t>
      </w:r>
      <w:r w:rsidR="00911C69" w:rsidRPr="00911C69">
        <w:rPr>
          <w:i/>
        </w:rPr>
        <w:t>B</w:t>
      </w:r>
      <w:r w:rsidR="00911C69">
        <w:rPr>
          <w:vertAlign w:val="subscript"/>
        </w:rPr>
        <w:t>0</w:t>
      </w:r>
      <w:r w:rsidR="00911C69">
        <w:t xml:space="preserve">. </w:t>
      </w:r>
    </w:p>
    <w:p w:rsidR="00C25455" w:rsidRDefault="00911C69" w:rsidP="00ED05C8">
      <w:pPr>
        <w:pStyle w:val="ListParagraph"/>
        <w:numPr>
          <w:ilvl w:val="0"/>
          <w:numId w:val="1"/>
        </w:numPr>
        <w:jc w:val="both"/>
      </w:pPr>
      <w:r>
        <w:t xml:space="preserve">Within each </w:t>
      </w:r>
      <w:proofErr w:type="spellStart"/>
      <w:r>
        <w:t>isochromat</w:t>
      </w:r>
      <w:proofErr w:type="spellEnd"/>
      <w:r>
        <w:t>,</w:t>
      </w:r>
      <w:r w:rsidR="00C25455">
        <w:t xml:space="preserve"> spin dynamics are calculated by discretizing the pulse sequence into a series of time intervals of adjustable length. Each interval corresponds to a particular value of RF amplitude (</w:t>
      </w:r>
      <w:r w:rsidR="00C25455" w:rsidRPr="00C25455">
        <w:rPr>
          <w:i/>
        </w:rPr>
        <w:t>A</w:t>
      </w:r>
      <w:r w:rsidR="00C25455">
        <w:t>) and relative phase</w:t>
      </w:r>
      <w:r w:rsidR="00C25455" w:rsidRPr="00C25455">
        <w:rPr>
          <w:i/>
        </w:rPr>
        <w:t xml:space="preserve"> </w:t>
      </w:r>
      <w:r w:rsidR="00C25455" w:rsidRPr="00C25455">
        <w:rPr>
          <w:rFonts w:cstheme="minorHAnsi"/>
          <w:i/>
        </w:rPr>
        <w:t>φ</w:t>
      </w:r>
      <w:r w:rsidR="00C25455">
        <w:t xml:space="preserve"> (i.e., phase in the rotating frame). This allows complex RF pulses to be modeled as a collection of (</w:t>
      </w:r>
      <w:r w:rsidR="00C25455" w:rsidRPr="00C25455">
        <w:rPr>
          <w:i/>
        </w:rPr>
        <w:t>A</w:t>
      </w:r>
      <w:r w:rsidR="00C25455">
        <w:t xml:space="preserve">, </w:t>
      </w:r>
      <w:r w:rsidR="00C25455" w:rsidRPr="00C25455">
        <w:rPr>
          <w:rFonts w:cstheme="minorHAnsi"/>
          <w:i/>
        </w:rPr>
        <w:t>φ</w:t>
      </w:r>
      <w:r w:rsidR="00C25455">
        <w:t xml:space="preserve">) pairs. In addition, </w:t>
      </w:r>
      <w:r w:rsidR="00C25455" w:rsidRPr="00C25455">
        <w:rPr>
          <w:i/>
        </w:rPr>
        <w:t>A</w:t>
      </w:r>
      <w:r w:rsidR="00C25455">
        <w:t xml:space="preserve"> can be set to zero to model “free precession” intervals, i.e., gaps between pulses.</w:t>
      </w:r>
    </w:p>
    <w:p w:rsidR="00C25455" w:rsidRDefault="00B80E6A" w:rsidP="00ED05C8">
      <w:pPr>
        <w:pStyle w:val="ListParagraph"/>
        <w:numPr>
          <w:ilvl w:val="0"/>
          <w:numId w:val="1"/>
        </w:numPr>
        <w:jc w:val="both"/>
      </w:pPr>
      <w:r>
        <w:t>E</w:t>
      </w:r>
      <w:r w:rsidR="00C25455">
        <w:t>ach time</w:t>
      </w:r>
      <w:r>
        <w:t xml:space="preserve"> interval results in a generalized rotation of the magnetization vector, i.e., rotation by angle </w:t>
      </w:r>
      <w:r>
        <w:rPr>
          <w:rFonts w:cstheme="minorHAnsi"/>
        </w:rPr>
        <w:t>θ</w:t>
      </w:r>
      <w:r>
        <w:t xml:space="preserve"> about an axis</w:t>
      </w:r>
      <w:r w:rsidRPr="00B80E6A">
        <w:rPr>
          <w:position w:val="-4"/>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3.9pt" o:ole="">
            <v:imagedata r:id="rId6" o:title=""/>
          </v:shape>
          <o:OLEObject Type="Embed" ProgID="Equation.DSMT4" ShapeID="_x0000_i1025" DrawAspect="Content" ObjectID="_1615049914" r:id="rId7"/>
        </w:object>
      </w:r>
      <w:r>
        <w:t>.</w:t>
      </w:r>
      <w:r w:rsidR="00EB4D04">
        <w:t xml:space="preserve"> In general, b</w:t>
      </w:r>
      <w:r>
        <w:t xml:space="preserve">oth </w:t>
      </w:r>
      <w:r>
        <w:rPr>
          <w:rFonts w:cstheme="minorHAnsi"/>
        </w:rPr>
        <w:t>θ</w:t>
      </w:r>
      <w:r>
        <w:t xml:space="preserve"> and </w:t>
      </w:r>
      <w:r w:rsidRPr="00B80E6A">
        <w:rPr>
          <w:position w:val="-4"/>
        </w:rPr>
        <w:object w:dxaOrig="200" w:dyaOrig="279">
          <v:shape id="_x0000_i1026" type="#_x0000_t75" style="width:9.85pt;height:13.9pt" o:ole="">
            <v:imagedata r:id="rId6" o:title=""/>
          </v:shape>
          <o:OLEObject Type="Embed" ProgID="Equation.DSMT4" ShapeID="_x0000_i1026" DrawAspect="Content" ObjectID="_1615049915" r:id="rId8"/>
        </w:object>
      </w:r>
      <w:r>
        <w:t xml:space="preserve"> </w:t>
      </w:r>
      <w:r w:rsidR="00EB4D04">
        <w:t xml:space="preserve">will </w:t>
      </w:r>
      <w:r>
        <w:t xml:space="preserve">differ between </w:t>
      </w:r>
      <w:proofErr w:type="spellStart"/>
      <w:r>
        <w:t>isochromats</w:t>
      </w:r>
      <w:proofErr w:type="spellEnd"/>
      <w:r>
        <w:t xml:space="preserve">. </w:t>
      </w:r>
    </w:p>
    <w:p w:rsidR="00EB4D04" w:rsidRDefault="00B80E6A" w:rsidP="00ED05C8">
      <w:pPr>
        <w:pStyle w:val="ListParagraph"/>
        <w:numPr>
          <w:ilvl w:val="0"/>
          <w:numId w:val="1"/>
        </w:numPr>
        <w:jc w:val="both"/>
      </w:pPr>
      <w:r>
        <w:t xml:space="preserve">The default simulation functions do not model relaxation or diffusion. However, some </w:t>
      </w:r>
      <w:r w:rsidR="00EB4D04">
        <w:t>functions</w:t>
      </w:r>
      <w:r>
        <w:t xml:space="preserve"> do include</w:t>
      </w:r>
      <w:r w:rsidR="00EB4D04">
        <w:t xml:space="preserve"> these effects. Relaxation is modeled by decreasing </w:t>
      </w:r>
      <w:r>
        <w:t>the magnitude of the magnetization vector during each time interval. The user is advised to use the functions that include relaxation or diffusion only if</w:t>
      </w:r>
      <w:r w:rsidR="00EB4D04">
        <w:t xml:space="preserve"> necessary, since they are significantly slower than the default ones. </w:t>
      </w:r>
    </w:p>
    <w:p w:rsidR="00C25455" w:rsidRDefault="00C25455" w:rsidP="00ED05C8">
      <w:pPr>
        <w:pStyle w:val="ListParagraph"/>
        <w:numPr>
          <w:ilvl w:val="0"/>
          <w:numId w:val="1"/>
        </w:numPr>
        <w:jc w:val="both"/>
      </w:pPr>
      <w:r>
        <w:t>Output signals, typically spin echoes, are measured in the gaps between pulses. The user has to specify the length of the acquisition window, i.e., the duration over which the signal is measured.</w:t>
      </w:r>
    </w:p>
    <w:p w:rsidR="00911C69" w:rsidRDefault="00EB4D04" w:rsidP="00ED05C8">
      <w:pPr>
        <w:pStyle w:val="ListParagraph"/>
        <w:numPr>
          <w:ilvl w:val="0"/>
          <w:numId w:val="1"/>
        </w:numPr>
        <w:jc w:val="both"/>
      </w:pPr>
      <w:r>
        <w:t xml:space="preserve">By default, the functions assume normalized values of </w:t>
      </w:r>
      <w:r w:rsidRPr="00EB4D04">
        <w:rPr>
          <w:i/>
        </w:rPr>
        <w:t>B</w:t>
      </w:r>
      <w:r w:rsidRPr="00EB4D04">
        <w:rPr>
          <w:vertAlign w:val="subscript"/>
        </w:rPr>
        <w:t>1</w:t>
      </w:r>
      <w:r>
        <w:t xml:space="preserve"> such that</w:t>
      </w:r>
      <w:r w:rsidRPr="00EB4D04">
        <w:rPr>
          <w:position w:val="-12"/>
        </w:rPr>
        <w:object w:dxaOrig="1200" w:dyaOrig="360">
          <v:shape id="_x0000_i1027" type="#_x0000_t75" style="width:60.1pt;height:18pt" o:ole="">
            <v:imagedata r:id="rId9" o:title=""/>
          </v:shape>
          <o:OLEObject Type="Embed" ProgID="Equation.DSMT4" ShapeID="_x0000_i1027" DrawAspect="Content" ObjectID="_1615049916" r:id="rId10"/>
        </w:object>
      </w:r>
      <w:r>
        <w:t>. As a result, a nominal 180</w:t>
      </w:r>
      <w:r w:rsidRPr="00EB4D04">
        <w:rPr>
          <w:vertAlign w:val="superscript"/>
        </w:rPr>
        <w:t>o</w:t>
      </w:r>
      <w:r>
        <w:t xml:space="preserve"> pulse has a duration of </w:t>
      </w:r>
      <w:r>
        <w:rPr>
          <w:rFonts w:cstheme="minorHAnsi"/>
        </w:rPr>
        <w:t>π</w:t>
      </w:r>
      <w:r w:rsidR="00F10AAE">
        <w:t>, and so on.</w:t>
      </w:r>
    </w:p>
    <w:p w:rsidR="00F10AAE" w:rsidRDefault="00EB4D04" w:rsidP="00ED05C8">
      <w:pPr>
        <w:pStyle w:val="ListParagraph"/>
        <w:numPr>
          <w:ilvl w:val="0"/>
          <w:numId w:val="1"/>
        </w:numPr>
        <w:jc w:val="both"/>
      </w:pPr>
      <w:r>
        <w:t>The “bare” spin dynamics simulator functions are named “</w:t>
      </w:r>
      <w:proofErr w:type="spellStart"/>
      <w:r>
        <w:t>sim_spin_dynamics_X</w:t>
      </w:r>
      <w:proofErr w:type="spellEnd"/>
      <w:r>
        <w:t>”, where X varies depending on the assumptions</w:t>
      </w:r>
      <w:r w:rsidR="00F10AAE">
        <w:t>. These functions expect the user to input vectors of interval durations, (</w:t>
      </w:r>
      <w:r w:rsidR="00F10AAE" w:rsidRPr="00C25455">
        <w:rPr>
          <w:i/>
        </w:rPr>
        <w:t>A</w:t>
      </w:r>
      <w:r w:rsidR="00F10AAE">
        <w:t xml:space="preserve">, </w:t>
      </w:r>
      <w:r w:rsidR="00F10AAE" w:rsidRPr="00C25455">
        <w:rPr>
          <w:rFonts w:cstheme="minorHAnsi"/>
          <w:i/>
        </w:rPr>
        <w:t>φ</w:t>
      </w:r>
      <w:r w:rsidR="00F10AAE">
        <w:t>) pairs, and acquisition flags. The latter controls whether output signals are measured during each interval. The user is advised to read the documentation for each function (type “help [</w:t>
      </w:r>
      <w:proofErr w:type="spellStart"/>
      <w:r w:rsidR="00F10AAE">
        <w:t>function_name</w:t>
      </w:r>
      <w:proofErr w:type="spellEnd"/>
      <w:r w:rsidR="00F10AAE">
        <w:t>]”) and in general use the latest versions by checking when they were last modified.</w:t>
      </w:r>
    </w:p>
    <w:p w:rsidR="007169EF" w:rsidRDefault="00F10AAE" w:rsidP="007169EF">
      <w:pPr>
        <w:pStyle w:val="ListParagraph"/>
        <w:numPr>
          <w:ilvl w:val="0"/>
          <w:numId w:val="1"/>
        </w:numPr>
        <w:jc w:val="both"/>
      </w:pPr>
      <w:r>
        <w:t>A variety of helper functions are also available to construct common pulse sequences, such as the CPMG, in the format expected by the spin dynamics simulation functions.</w:t>
      </w:r>
      <w:r w:rsidR="00EB4D04">
        <w:t xml:space="preserve"> </w:t>
      </w:r>
      <w:r>
        <w:t xml:space="preserve">For example, the following </w:t>
      </w:r>
      <w:r w:rsidR="0009424A">
        <w:t xml:space="preserve">commented </w:t>
      </w:r>
      <w:r>
        <w:t xml:space="preserve">code will simulate a basic CPMG experiment in a uniform </w:t>
      </w:r>
      <w:r w:rsidR="007169EF" w:rsidRPr="00911C69">
        <w:rPr>
          <w:i/>
        </w:rPr>
        <w:t>B</w:t>
      </w:r>
      <w:r w:rsidR="007169EF" w:rsidRPr="00911C69">
        <w:rPr>
          <w:vertAlign w:val="subscript"/>
        </w:rPr>
        <w:t>0</w:t>
      </w:r>
      <w:r w:rsidR="007169EF">
        <w:rPr>
          <w:vertAlign w:val="subscript"/>
        </w:rPr>
        <w:t xml:space="preserve"> </w:t>
      </w:r>
      <w:r>
        <w:t>gradient:</w:t>
      </w:r>
    </w:p>
    <w:p w:rsidR="007169EF" w:rsidRPr="007169EF" w:rsidRDefault="007169EF" w:rsidP="007169EF">
      <w:pPr>
        <w:spacing w:after="0"/>
        <w:ind w:left="360"/>
        <w:jc w:val="both"/>
        <w:rPr>
          <w:color w:val="538135" w:themeColor="accent6" w:themeShade="BF"/>
        </w:rPr>
      </w:pPr>
      <w:r w:rsidRPr="007169EF">
        <w:rPr>
          <w:color w:val="538135" w:themeColor="accent6" w:themeShade="BF"/>
        </w:rPr>
        <w:t xml:space="preserve">% </w:t>
      </w:r>
      <w:proofErr w:type="gramStart"/>
      <w:r w:rsidRPr="007169EF">
        <w:rPr>
          <w:color w:val="538135" w:themeColor="accent6" w:themeShade="BF"/>
        </w:rPr>
        <w:t>Define</w:t>
      </w:r>
      <w:proofErr w:type="gramEnd"/>
      <w:r w:rsidRPr="007169EF">
        <w:rPr>
          <w:color w:val="538135" w:themeColor="accent6" w:themeShade="BF"/>
        </w:rPr>
        <w:t xml:space="preserve"> simulation parameters</w:t>
      </w:r>
    </w:p>
    <w:p w:rsidR="007169EF" w:rsidRDefault="007169EF" w:rsidP="007169EF">
      <w:pPr>
        <w:spacing w:after="0"/>
        <w:ind w:left="360"/>
        <w:jc w:val="both"/>
      </w:pPr>
      <w:proofErr w:type="spellStart"/>
      <w:proofErr w:type="gramStart"/>
      <w:r>
        <w:t>numpts</w:t>
      </w:r>
      <w:proofErr w:type="spellEnd"/>
      <w:r>
        <w:t>=</w:t>
      </w:r>
      <w:proofErr w:type="gramEnd"/>
      <w:r>
        <w:t xml:space="preserve">2001;  </w:t>
      </w:r>
      <w:proofErr w:type="spellStart"/>
      <w:r>
        <w:t>maxoffs</w:t>
      </w:r>
      <w:proofErr w:type="spellEnd"/>
      <w:r>
        <w:t xml:space="preserve">=20; </w:t>
      </w:r>
      <w:r w:rsidRPr="001767B1">
        <w:rPr>
          <w:color w:val="538135" w:themeColor="accent6" w:themeShade="BF"/>
        </w:rPr>
        <w:t xml:space="preserve">% Number of </w:t>
      </w:r>
      <w:proofErr w:type="spellStart"/>
      <w:r w:rsidRPr="001767B1">
        <w:rPr>
          <w:color w:val="538135" w:themeColor="accent6" w:themeShade="BF"/>
        </w:rPr>
        <w:t>isochromats</w:t>
      </w:r>
      <w:proofErr w:type="spellEnd"/>
      <w:r w:rsidRPr="001767B1">
        <w:rPr>
          <w:color w:val="538135" w:themeColor="accent6" w:themeShade="BF"/>
        </w:rPr>
        <w:t xml:space="preserve">; range of </w:t>
      </w:r>
      <w:r w:rsidRPr="001767B1">
        <w:rPr>
          <w:i/>
          <w:color w:val="538135" w:themeColor="accent6" w:themeShade="BF"/>
        </w:rPr>
        <w:t>B</w:t>
      </w:r>
      <w:r w:rsidRPr="001767B1">
        <w:rPr>
          <w:color w:val="538135" w:themeColor="accent6" w:themeShade="BF"/>
          <w:vertAlign w:val="subscript"/>
        </w:rPr>
        <w:t>0</w:t>
      </w:r>
      <w:r w:rsidRPr="001767B1">
        <w:rPr>
          <w:color w:val="538135" w:themeColor="accent6" w:themeShade="BF"/>
        </w:rPr>
        <w:t xml:space="preserve"> values (in units of </w:t>
      </w:r>
      <w:r w:rsidRPr="001767B1">
        <w:rPr>
          <w:i/>
          <w:color w:val="538135" w:themeColor="accent6" w:themeShade="BF"/>
        </w:rPr>
        <w:t>B</w:t>
      </w:r>
      <w:r w:rsidRPr="001767B1">
        <w:rPr>
          <w:color w:val="538135" w:themeColor="accent6" w:themeShade="BF"/>
          <w:vertAlign w:val="subscript"/>
        </w:rPr>
        <w:t>1</w:t>
      </w:r>
      <w:r w:rsidRPr="001767B1">
        <w:rPr>
          <w:color w:val="538135" w:themeColor="accent6" w:themeShade="BF"/>
        </w:rPr>
        <w:t>)</w:t>
      </w:r>
    </w:p>
    <w:p w:rsidR="007169EF" w:rsidRDefault="007169EF" w:rsidP="007169EF">
      <w:pPr>
        <w:spacing w:after="0"/>
        <w:ind w:left="360"/>
        <w:jc w:val="both"/>
      </w:pPr>
      <w:proofErr w:type="spellStart"/>
      <w:r>
        <w:t>del_w</w:t>
      </w:r>
      <w:proofErr w:type="spellEnd"/>
      <w:r>
        <w:t>=</w:t>
      </w:r>
      <w:proofErr w:type="spellStart"/>
      <w:proofErr w:type="gramStart"/>
      <w:r>
        <w:t>linspace</w:t>
      </w:r>
      <w:proofErr w:type="spellEnd"/>
      <w:r>
        <w:t>(</w:t>
      </w:r>
      <w:proofErr w:type="gramEnd"/>
      <w:r>
        <w:t>-</w:t>
      </w:r>
      <w:proofErr w:type="spellStart"/>
      <w:r>
        <w:t>maxoffs,maxoffs,numpts</w:t>
      </w:r>
      <w:proofErr w:type="spellEnd"/>
      <w:r>
        <w:t xml:space="preserve">); </w:t>
      </w:r>
      <w:r w:rsidRPr="007169EF">
        <w:rPr>
          <w:color w:val="538135" w:themeColor="accent6" w:themeShade="BF"/>
        </w:rPr>
        <w:t xml:space="preserve">% Create vector of </w:t>
      </w:r>
      <w:proofErr w:type="spellStart"/>
      <w:r w:rsidRPr="007169EF">
        <w:rPr>
          <w:color w:val="538135" w:themeColor="accent6" w:themeShade="BF"/>
        </w:rPr>
        <w:t>isochromats</w:t>
      </w:r>
      <w:proofErr w:type="spellEnd"/>
    </w:p>
    <w:p w:rsidR="007169EF" w:rsidRDefault="007169EF" w:rsidP="007169EF">
      <w:pPr>
        <w:spacing w:after="0"/>
        <w:ind w:left="360"/>
        <w:jc w:val="both"/>
      </w:pPr>
      <w:proofErr w:type="spellStart"/>
      <w:proofErr w:type="gramStart"/>
      <w:r>
        <w:t>tacq</w:t>
      </w:r>
      <w:proofErr w:type="spellEnd"/>
      <w:r>
        <w:t>=</w:t>
      </w:r>
      <w:proofErr w:type="gramEnd"/>
      <w:r>
        <w:t xml:space="preserve">5*pi; window = </w:t>
      </w:r>
      <w:proofErr w:type="spellStart"/>
      <w:r>
        <w:t>sinc</w:t>
      </w:r>
      <w:proofErr w:type="spellEnd"/>
      <w:r>
        <w:t>(</w:t>
      </w:r>
      <w:proofErr w:type="spellStart"/>
      <w:r>
        <w:t>del_w</w:t>
      </w:r>
      <w:proofErr w:type="spellEnd"/>
      <w:r>
        <w:t>*</w:t>
      </w:r>
      <w:proofErr w:type="spellStart"/>
      <w:r>
        <w:t>tacq</w:t>
      </w:r>
      <w:proofErr w:type="spellEnd"/>
      <w:r>
        <w:t xml:space="preserve">/(2*pi)); </w:t>
      </w:r>
      <w:r w:rsidRPr="007169EF">
        <w:rPr>
          <w:color w:val="538135" w:themeColor="accent6" w:themeShade="BF"/>
        </w:rPr>
        <w:t>% Define window function for acquisition</w:t>
      </w:r>
    </w:p>
    <w:p w:rsidR="007169EF" w:rsidRDefault="007169EF" w:rsidP="007169EF">
      <w:pPr>
        <w:spacing w:after="100"/>
        <w:ind w:left="360"/>
        <w:jc w:val="both"/>
      </w:pPr>
      <w:proofErr w:type="gramStart"/>
      <w:r>
        <w:lastRenderedPageBreak/>
        <w:t>window=</w:t>
      </w:r>
      <w:proofErr w:type="gramEnd"/>
      <w:r>
        <w:t>window./sum(window);</w:t>
      </w:r>
    </w:p>
    <w:p w:rsidR="007169EF" w:rsidRPr="007169EF" w:rsidRDefault="007169EF" w:rsidP="007169EF">
      <w:pPr>
        <w:spacing w:after="0"/>
        <w:ind w:left="360"/>
        <w:jc w:val="both"/>
        <w:rPr>
          <w:color w:val="538135" w:themeColor="accent6" w:themeShade="BF"/>
        </w:rPr>
      </w:pPr>
      <w:r w:rsidRPr="007169EF">
        <w:rPr>
          <w:color w:val="538135" w:themeColor="accent6" w:themeShade="BF"/>
        </w:rPr>
        <w:t>% Create pulse sequence parameters</w:t>
      </w:r>
    </w:p>
    <w:p w:rsidR="007169EF" w:rsidRPr="007169EF" w:rsidRDefault="007169EF" w:rsidP="007169EF">
      <w:pPr>
        <w:spacing w:after="0"/>
        <w:ind w:left="360"/>
        <w:jc w:val="both"/>
        <w:rPr>
          <w:color w:val="538135" w:themeColor="accent6" w:themeShade="BF"/>
        </w:rPr>
      </w:pPr>
      <w:r w:rsidRPr="007169EF">
        <w:rPr>
          <w:color w:val="538135" w:themeColor="accent6" w:themeShade="BF"/>
        </w:rPr>
        <w:t xml:space="preserve">% </w:t>
      </w:r>
      <w:r>
        <w:rPr>
          <w:color w:val="538135" w:themeColor="accent6" w:themeShade="BF"/>
        </w:rPr>
        <w:t xml:space="preserve">1) </w:t>
      </w:r>
      <w:r w:rsidRPr="007169EF">
        <w:rPr>
          <w:color w:val="538135" w:themeColor="accent6" w:themeShade="BF"/>
        </w:rPr>
        <w:t>Excitation pulses – durations, phases, amplitudes</w:t>
      </w:r>
    </w:p>
    <w:p w:rsidR="007169EF" w:rsidRDefault="007169EF" w:rsidP="007169EF">
      <w:pPr>
        <w:spacing w:after="0"/>
        <w:ind w:left="360"/>
        <w:jc w:val="both"/>
      </w:pPr>
      <w:r>
        <w:t>texc0</w:t>
      </w:r>
      <w:proofErr w:type="gramStart"/>
      <w:r>
        <w:t>=[</w:t>
      </w:r>
      <w:proofErr w:type="gramEnd"/>
      <w:r>
        <w:t>pi/2 -1]; pexc0=[pi/2 0]; aexc0=[1 0];</w:t>
      </w:r>
    </w:p>
    <w:p w:rsidR="007169EF" w:rsidRPr="007169EF" w:rsidRDefault="007169EF" w:rsidP="007169EF">
      <w:pPr>
        <w:spacing w:after="0"/>
        <w:ind w:left="360"/>
        <w:jc w:val="both"/>
        <w:rPr>
          <w:color w:val="538135" w:themeColor="accent6" w:themeShade="BF"/>
        </w:rPr>
      </w:pPr>
      <w:r w:rsidRPr="007169EF">
        <w:rPr>
          <w:color w:val="538135" w:themeColor="accent6" w:themeShade="BF"/>
        </w:rPr>
        <w:t xml:space="preserve">% </w:t>
      </w:r>
      <w:r>
        <w:rPr>
          <w:color w:val="538135" w:themeColor="accent6" w:themeShade="BF"/>
        </w:rPr>
        <w:t xml:space="preserve">2) </w:t>
      </w:r>
      <w:r w:rsidRPr="007169EF">
        <w:rPr>
          <w:color w:val="538135" w:themeColor="accent6" w:themeShade="BF"/>
        </w:rPr>
        <w:t>Refocusing cycle (delay, pulse, delay) – durations, phases, amplitudes</w:t>
      </w:r>
    </w:p>
    <w:p w:rsidR="007169EF" w:rsidRDefault="007169EF" w:rsidP="007169EF">
      <w:pPr>
        <w:spacing w:after="100"/>
        <w:ind w:firstLine="360"/>
        <w:jc w:val="both"/>
      </w:pPr>
      <w:r>
        <w:t>tref0=pi*[3 1 3]; pref0</w:t>
      </w:r>
      <w:proofErr w:type="gramStart"/>
      <w:r>
        <w:t>=[</w:t>
      </w:r>
      <w:proofErr w:type="gramEnd"/>
      <w:r>
        <w:t>0 0 0]; aref0=[0 1 0];</w:t>
      </w:r>
    </w:p>
    <w:p w:rsidR="007169EF" w:rsidRPr="0009424A" w:rsidRDefault="007169EF" w:rsidP="007169EF">
      <w:pPr>
        <w:spacing w:after="0"/>
        <w:ind w:left="360"/>
        <w:jc w:val="both"/>
        <w:rPr>
          <w:color w:val="538135" w:themeColor="accent6" w:themeShade="BF"/>
        </w:rPr>
      </w:pPr>
      <w:r w:rsidRPr="0009424A">
        <w:rPr>
          <w:color w:val="538135" w:themeColor="accent6" w:themeShade="BF"/>
        </w:rPr>
        <w:t>% Run simulation</w:t>
      </w:r>
      <w:r w:rsidR="0009424A">
        <w:rPr>
          <w:color w:val="538135" w:themeColor="accent6" w:themeShade="BF"/>
        </w:rPr>
        <w:t xml:space="preserve"> to find the asymptotic signal, i.e., the signal that satisfies the CPMG condition and % is spin-locked with the effective rotation axis of the refocusing cycle </w:t>
      </w:r>
    </w:p>
    <w:p w:rsidR="007169EF" w:rsidRDefault="007169EF" w:rsidP="007169EF">
      <w:pPr>
        <w:spacing w:after="0"/>
        <w:ind w:left="360"/>
        <w:jc w:val="both"/>
        <w:rPr>
          <w:color w:val="538135" w:themeColor="accent6" w:themeShade="BF"/>
        </w:rPr>
      </w:pPr>
      <w:r>
        <w:t>[neff0]=calc_rot_axis_</w:t>
      </w:r>
      <w:proofErr w:type="gramStart"/>
      <w:r>
        <w:t>arba2(</w:t>
      </w:r>
      <w:proofErr w:type="gramEnd"/>
      <w:r>
        <w:t xml:space="preserve">tref0,pref0,aref0,del_w,0); </w:t>
      </w:r>
      <w:r w:rsidRPr="0009424A">
        <w:rPr>
          <w:color w:val="538135" w:themeColor="accent6" w:themeShade="BF"/>
        </w:rPr>
        <w:t>% Find rotation axis of refocusing cycle</w:t>
      </w:r>
    </w:p>
    <w:p w:rsidR="009C5736" w:rsidRPr="0009424A" w:rsidRDefault="009C5736" w:rsidP="007169EF">
      <w:pPr>
        <w:spacing w:after="0"/>
        <w:ind w:left="360"/>
        <w:jc w:val="both"/>
        <w:rPr>
          <w:color w:val="538135" w:themeColor="accent6" w:themeShade="BF"/>
        </w:rPr>
      </w:pPr>
    </w:p>
    <w:p w:rsidR="007169EF" w:rsidRPr="0009424A" w:rsidRDefault="007169EF" w:rsidP="007169EF">
      <w:pPr>
        <w:spacing w:after="0"/>
        <w:ind w:left="360"/>
        <w:jc w:val="both"/>
        <w:rPr>
          <w:color w:val="538135" w:themeColor="accent6" w:themeShade="BF"/>
        </w:rPr>
      </w:pPr>
      <w:r w:rsidRPr="0009424A">
        <w:rPr>
          <w:color w:val="538135" w:themeColor="accent6" w:themeShade="BF"/>
        </w:rPr>
        <w:t>% Assume a two-part phase cycle</w:t>
      </w:r>
      <w:r w:rsidR="0009424A">
        <w:rPr>
          <w:color w:val="538135" w:themeColor="accent6" w:themeShade="BF"/>
        </w:rPr>
        <w:t xml:space="preserve">; the phase of the excitation pulse varies by </w:t>
      </w:r>
      <w:r w:rsidR="0009424A">
        <w:rPr>
          <w:rFonts w:cstheme="minorHAnsi"/>
          <w:color w:val="538135" w:themeColor="accent6" w:themeShade="BF"/>
        </w:rPr>
        <w:t>π</w:t>
      </w:r>
      <w:r w:rsidR="0009424A">
        <w:rPr>
          <w:color w:val="538135" w:themeColor="accent6" w:themeShade="BF"/>
        </w:rPr>
        <w:t xml:space="preserve"> between the two parts</w:t>
      </w:r>
    </w:p>
    <w:p w:rsidR="007169EF" w:rsidRDefault="007169EF" w:rsidP="007169EF">
      <w:pPr>
        <w:spacing w:after="0"/>
        <w:ind w:left="360"/>
        <w:jc w:val="both"/>
      </w:pPr>
      <w:r>
        <w:t>[masy0_1]=cpmg_van_spin_dynamics_asymp_</w:t>
      </w:r>
      <w:proofErr w:type="gramStart"/>
      <w:r>
        <w:t>mag3(</w:t>
      </w:r>
      <w:proofErr w:type="gramEnd"/>
      <w:r>
        <w:t>texc0,pexc0,aexc0,neff0,del_w,tacq);</w:t>
      </w:r>
    </w:p>
    <w:p w:rsidR="007169EF" w:rsidRDefault="007169EF" w:rsidP="007169EF">
      <w:pPr>
        <w:spacing w:after="0"/>
        <w:ind w:left="360"/>
        <w:jc w:val="both"/>
      </w:pPr>
      <w:r>
        <w:t>[masy0_2]=cpmg_van_spin_dynamics_asymp_</w:t>
      </w:r>
      <w:proofErr w:type="gramStart"/>
      <w:r>
        <w:t>mag3(</w:t>
      </w:r>
      <w:proofErr w:type="gramEnd"/>
      <w:r>
        <w:t>texc0,pexc0+pi,aexc0,neff0,del_w,tacq);</w:t>
      </w:r>
    </w:p>
    <w:p w:rsidR="007169EF" w:rsidRDefault="007169EF" w:rsidP="007169EF">
      <w:pPr>
        <w:spacing w:after="0"/>
        <w:ind w:left="360"/>
        <w:jc w:val="both"/>
      </w:pPr>
      <w:r>
        <w:t>masy0</w:t>
      </w:r>
      <w:proofErr w:type="gramStart"/>
      <w:r>
        <w:t>=(</w:t>
      </w:r>
      <w:proofErr w:type="gramEnd"/>
      <w:r>
        <w:t xml:space="preserve">masy0_1-masy0_2)/2; </w:t>
      </w:r>
      <w:r w:rsidRPr="0009424A">
        <w:rPr>
          <w:color w:val="538135" w:themeColor="accent6" w:themeShade="BF"/>
        </w:rPr>
        <w:t>% Calculate magnetization vector after phase-cycling</w:t>
      </w:r>
    </w:p>
    <w:p w:rsidR="007169EF" w:rsidRDefault="007169EF" w:rsidP="007169EF">
      <w:pPr>
        <w:spacing w:after="0"/>
        <w:ind w:left="360"/>
        <w:jc w:val="both"/>
      </w:pPr>
    </w:p>
    <w:p w:rsidR="007169EF" w:rsidRDefault="007169EF" w:rsidP="007169EF">
      <w:pPr>
        <w:spacing w:after="0"/>
        <w:ind w:left="360"/>
        <w:jc w:val="both"/>
      </w:pPr>
      <w:r>
        <w:t>snr0=</w:t>
      </w:r>
      <w:proofErr w:type="spellStart"/>
      <w:proofErr w:type="gramStart"/>
      <w:r>
        <w:t>trapz</w:t>
      </w:r>
      <w:proofErr w:type="spellEnd"/>
      <w:r>
        <w:t>(</w:t>
      </w:r>
      <w:proofErr w:type="spellStart"/>
      <w:proofErr w:type="gramEnd"/>
      <w:r>
        <w:t>del_w,abs</w:t>
      </w:r>
      <w:proofErr w:type="spellEnd"/>
      <w:r>
        <w:t xml:space="preserve">(masy0).^2); </w:t>
      </w:r>
      <w:r w:rsidRPr="0009424A">
        <w:rPr>
          <w:color w:val="538135" w:themeColor="accent6" w:themeShade="BF"/>
        </w:rPr>
        <w:t>% Calculate RMS signal amplitude</w:t>
      </w:r>
    </w:p>
    <w:p w:rsidR="007169EF" w:rsidRPr="00F24322" w:rsidRDefault="007169EF" w:rsidP="007169EF">
      <w:pPr>
        <w:spacing w:after="0"/>
        <w:ind w:left="360"/>
        <w:jc w:val="both"/>
      </w:pPr>
      <w:r>
        <w:t>[echo0</w:t>
      </w:r>
      <w:proofErr w:type="gramStart"/>
      <w:r>
        <w:t>,tvect</w:t>
      </w:r>
      <w:proofErr w:type="gramEnd"/>
      <w:r>
        <w:t>]=</w:t>
      </w:r>
      <w:proofErr w:type="spellStart"/>
      <w:r>
        <w:t>calc_time_domain_</w:t>
      </w:r>
      <w:proofErr w:type="gramStart"/>
      <w:r>
        <w:t>echo</w:t>
      </w:r>
      <w:proofErr w:type="spellEnd"/>
      <w:r>
        <w:t>(</w:t>
      </w:r>
      <w:proofErr w:type="gramEnd"/>
      <w:r>
        <w:t xml:space="preserve">masy0,del_w); </w:t>
      </w:r>
      <w:r w:rsidRPr="0009424A">
        <w:rPr>
          <w:color w:val="538135" w:themeColor="accent6" w:themeShade="BF"/>
        </w:rPr>
        <w:t>% Calculate time-domain echo signal</w:t>
      </w:r>
    </w:p>
    <w:sectPr w:rsidR="007169EF" w:rsidRPr="00F2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B21B8"/>
    <w:multiLevelType w:val="hybridMultilevel"/>
    <w:tmpl w:val="17905E1C"/>
    <w:lvl w:ilvl="0" w:tplc="BC78F3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22"/>
    <w:rsid w:val="0009424A"/>
    <w:rsid w:val="001767B1"/>
    <w:rsid w:val="007169EF"/>
    <w:rsid w:val="00911C69"/>
    <w:rsid w:val="009C5736"/>
    <w:rsid w:val="009F010C"/>
    <w:rsid w:val="00A653DC"/>
    <w:rsid w:val="00B80E6A"/>
    <w:rsid w:val="00C25455"/>
    <w:rsid w:val="00EB4D04"/>
    <w:rsid w:val="00ED05C8"/>
    <w:rsid w:val="00F10AAE"/>
    <w:rsid w:val="00F2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6FBB1F"/>
  <w15:chartTrackingRefBased/>
  <w15:docId w15:val="{9C4E0F9D-5F23-4592-A988-12AE10B6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3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3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3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43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432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24322"/>
    <w:rPr>
      <w:color w:val="0563C1" w:themeColor="hyperlink"/>
      <w:u w:val="single"/>
    </w:rPr>
  </w:style>
  <w:style w:type="character" w:customStyle="1" w:styleId="Heading3Char">
    <w:name w:val="Heading 3 Char"/>
    <w:basedOn w:val="DefaultParagraphFont"/>
    <w:link w:val="Heading3"/>
    <w:uiPriority w:val="9"/>
    <w:rsid w:val="00F2432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D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43776-5421-46EA-8A3A-65BE0954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Mandal</dc:creator>
  <cp:keywords/>
  <dc:description/>
  <cp:lastModifiedBy>Soumyajit Mandal</cp:lastModifiedBy>
  <cp:revision>5</cp:revision>
  <dcterms:created xsi:type="dcterms:W3CDTF">2016-11-12T16:30:00Z</dcterms:created>
  <dcterms:modified xsi:type="dcterms:W3CDTF">2019-03-25T23:49:00Z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