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pPr>
      <w:r>
        <w:rPr>
          <w:b/>
          <w:i w:val="0"/>
          <w:color w:val="14213D"/>
          <w:sz w:val="52"/>
        </w:rPr>
        <w:t>BCMS 연계성 이야기하기</w:t>
      </w:r>
    </w:p>
    <w:p>
      <w:r>
        <w:rPr>
          <w:b w:val="0"/>
          <w:i w:val="0"/>
          <w:color w:val="6B7A90"/>
          <w:sz w:val="28"/>
        </w:rPr>
        <w:t>해설서 V5 — Arias의 22개 프로세스에서 연결품질 설문 문항까지</w:t>
      </w:r>
    </w:p>
    <w:p>
      <w:r>
        <w:rPr>
          <w:b w:val="0"/>
          <w:i w:val="0"/>
          <w:color w:val="6B7A90"/>
          <w:sz w:val="22"/>
        </w:rPr>
        <w:t>박사논문 발표자료 짝 문서 · 연구 기준 2026년 10월 9일(V4를 시작점으로 보존)</w:t>
      </w:r>
    </w:p>
    <w:p>
      <w:r>
        <w:rPr>
          <w:b w:val="0"/>
          <w:i w:val="0"/>
        </w:rPr>
      </w:r>
    </w:p>
    <w:tbl>
      <w:tblPr>
        <w:tblStyle w:val="TableGrid"/>
        <w:tblW w:type="auto" w:w="0"/>
        <w:tblLayout w:type="fixed"/>
        <w:tblLook w:firstColumn="1" w:firstRow="1" w:lastColumn="0" w:lastRow="0" w:noHBand="0" w:noVBand="1" w:val="04A0"/>
      </w:tblPr>
      <w:tblGrid>
        <w:gridCol w:w="9411"/>
      </w:tblGrid>
      <w:tr>
        <w:tc>
          <w:tcPr>
            <w:tcW w:type="dxa" w:w="9411"/>
            <w:shd w:val="clear" w:color="auto" w:fill="F3F6FA"/>
          </w:tcPr>
          <w:p>
            <w:r>
              <w:rPr>
                <w:b/>
                <w:color w:val="6B7A90"/>
                <w:sz w:val="19"/>
              </w:rPr>
              <w:t xml:space="preserve">이 문서의 약속  </w:t>
            </w:r>
            <w:r>
              <w:rPr>
                <w:sz w:val="20"/>
              </w:rPr>
              <w:t>모든 절의 끝에 출처를 적는다. 파란 상자는 원문 인용, 주황 상자는 연구자 해석·정의이다. 확인하지 못한 것은 확인하지 못했다고 쓴다. 짝 자료: BCMS_연계성_V5.xlsx(근거 시트), BCMS_연계성_이야기하기_V5.pptx(발표).</w:t>
            </w:r>
          </w:p>
        </w:tc>
      </w:tr>
    </w:tbl>
    <w:p>
      <w:pPr>
        <w:spacing w:after="40"/>
      </w:pPr>
    </w:p>
    <w:p>
      <w:r>
        <w:br w:type="page"/>
      </w:r>
    </w:p>
    <w:p>
      <w:pPr>
        <w:pStyle w:val="Heading1"/>
      </w:pPr>
      <w:r>
        <w:t>0. 먼저 읽을 것: 인용을 읽는 법</w:t>
      </w:r>
    </w:p>
    <w:p>
      <w:r>
        <w:rPr>
          <w:b w:val="0"/>
          <w:i w:val="0"/>
        </w:rPr>
        <w:t>이 문서의 근거는 세 가지 확인 수준으로 구분한다.</w:t>
      </w:r>
    </w:p>
    <w:tbl>
      <w:tblPr>
        <w:tblStyle w:val="TableGrid"/>
        <w:tblW w:type="auto" w:w="0"/>
        <w:jc w:val="center"/>
        <w:tblLayout w:type="fixed"/>
        <w:tblLook w:firstColumn="1" w:firstRow="1" w:lastColumn="0" w:lastRow="0" w:noHBand="0" w:noVBand="1" w:val="04A0"/>
      </w:tblPr>
      <w:tblGrid>
        <w:gridCol w:w="1871"/>
        <w:gridCol w:w="2381"/>
        <w:gridCol w:w="5159"/>
      </w:tblGrid>
      <w:tr>
        <w:trPr>
          <w:tblHeader w:val="true"/>
        </w:trPr>
        <w:tc>
          <w:tcPr>
            <w:tcW w:type="dxa" w:w="1871"/>
            <w:shd w:val="clear" w:color="auto" w:fill="14213D"/>
          </w:tcPr>
          <w:p>
            <w:pPr>
              <w:spacing w:after="40" w:line="264" w:lineRule="auto"/>
            </w:pPr>
            <w:r/>
            <w:r>
              <w:rPr>
                <w:b/>
                <w:color w:val="FFFFFF"/>
                <w:sz w:val="19"/>
              </w:rPr>
              <w:t>수준</w:t>
            </w:r>
          </w:p>
        </w:tc>
        <w:tc>
          <w:tcPr>
            <w:tcW w:type="dxa" w:w="2381"/>
            <w:shd w:val="clear" w:color="auto" w:fill="14213D"/>
          </w:tcPr>
          <w:p>
            <w:pPr>
              <w:spacing w:after="40" w:line="264" w:lineRule="auto"/>
            </w:pPr>
            <w:r/>
            <w:r>
              <w:rPr>
                <w:b/>
                <w:color w:val="FFFFFF"/>
                <w:sz w:val="19"/>
              </w:rPr>
              <w:t>대상</w:t>
            </w:r>
          </w:p>
        </w:tc>
        <w:tc>
          <w:tcPr>
            <w:tcW w:type="dxa" w:w="5159"/>
            <w:shd w:val="clear" w:color="auto" w:fill="14213D"/>
          </w:tcPr>
          <w:p>
            <w:pPr>
              <w:spacing w:after="40" w:line="264" w:lineRule="auto"/>
            </w:pPr>
            <w:r/>
            <w:r>
              <w:rPr>
                <w:b/>
                <w:color w:val="FFFFFF"/>
                <w:sz w:val="19"/>
              </w:rPr>
              <w:t>의미와 한계</w:t>
            </w:r>
          </w:p>
        </w:tc>
      </w:tr>
      <w:tr>
        <w:tc>
          <w:tcPr>
            <w:tcW w:type="dxa" w:w="1871"/>
          </w:tcPr>
          <w:p>
            <w:pPr>
              <w:spacing w:after="40" w:line="264" w:lineRule="auto"/>
            </w:pPr>
            <w:r/>
            <w:r>
              <w:rPr>
                <w:sz w:val="19"/>
              </w:rPr>
              <w:t>① 문자열 대조</w:t>
            </w:r>
          </w:p>
        </w:tc>
        <w:tc>
          <w:tcPr>
            <w:tcW w:type="dxa" w:w="2381"/>
          </w:tcPr>
          <w:p>
            <w:pPr>
              <w:spacing w:after="40" w:line="264" w:lineRule="auto"/>
            </w:pPr>
            <w:r/>
            <w:r>
              <w:rPr>
                <w:sz w:val="19"/>
              </w:rPr>
              <w:t>Arias·Białas 72개 인용</w:t>
            </w:r>
          </w:p>
        </w:tc>
        <w:tc>
          <w:tcPr>
            <w:tcW w:type="dxa" w:w="5159"/>
          </w:tcPr>
          <w:p>
            <w:pPr>
              <w:spacing w:after="40" w:line="264" w:lineRule="auto"/>
            </w:pPr>
            <w:r/>
            <w:r>
              <w:rPr>
                <w:sz w:val="19"/>
              </w:rPr>
              <w:t>제공 PDF의 지정 쪽에서 공백·하이픈·따옴표 차이를 무시하고 대조하여 72/72 일치(2026-10-09, outputs/quote_verification.json). 해석·번역·측정의 타당성 증거는 아님.</w:t>
            </w:r>
          </w:p>
        </w:tc>
      </w:tr>
      <w:tr>
        <w:tc>
          <w:tcPr>
            <w:tcW w:type="dxa" w:w="1871"/>
            <w:shd w:val="clear" w:color="auto" w:fill="F3F6FA"/>
          </w:tcPr>
          <w:p>
            <w:pPr>
              <w:spacing w:after="40" w:line="264" w:lineRule="auto"/>
            </w:pPr>
            <w:r/>
            <w:r>
              <w:rPr>
                <w:sz w:val="19"/>
              </w:rPr>
              <w:t>② 연구자 확인(V4 기록)</w:t>
            </w:r>
          </w:p>
        </w:tc>
        <w:tc>
          <w:tcPr>
            <w:tcW w:type="dxa" w:w="2381"/>
            <w:shd w:val="clear" w:color="auto" w:fill="F3F6FA"/>
          </w:tcPr>
          <w:p>
            <w:pPr>
              <w:spacing w:after="40" w:line="264" w:lineRule="auto"/>
            </w:pPr>
            <w:r/>
            <w:r>
              <w:rPr>
                <w:sz w:val="19"/>
              </w:rPr>
              <w:t>외부 학술 문헌 15건</w:t>
            </w:r>
          </w:p>
        </w:tc>
        <w:tc>
          <w:tcPr>
            <w:tcW w:type="dxa" w:w="5159"/>
            <w:shd w:val="clear" w:color="auto" w:fill="F3F6FA"/>
          </w:tcPr>
          <w:p>
            <w:pPr>
              <w:spacing w:after="40" w:line="264" w:lineRule="auto"/>
            </w:pPr>
            <w:r/>
            <w:r>
              <w:rPr>
                <w:sz w:val="19"/>
              </w:rPr>
              <w:t>본문 확인 6건(S01·S03·S04·S10·S13·S15), 초록·소개만 4건(S06·S07·S08·S14), 서지만 5건(S02·S05·S09, 표준 S11·S12). 이번 작업에서 재확인하지 못함.</w:t>
            </w:r>
          </w:p>
        </w:tc>
      </w:tr>
      <w:tr>
        <w:tc>
          <w:tcPr>
            <w:tcW w:type="dxa" w:w="1871"/>
          </w:tcPr>
          <w:p>
            <w:pPr>
              <w:spacing w:after="40" w:line="264" w:lineRule="auto"/>
            </w:pPr>
            <w:r/>
            <w:r>
              <w:rPr>
                <w:sz w:val="19"/>
              </w:rPr>
              <w:t>③ 연구자 해석·정의</w:t>
            </w:r>
          </w:p>
        </w:tc>
        <w:tc>
          <w:tcPr>
            <w:tcW w:type="dxa" w:w="2381"/>
          </w:tcPr>
          <w:p>
            <w:pPr>
              <w:spacing w:after="40" w:line="264" w:lineRule="auto"/>
            </w:pPr>
            <w:r/>
            <w:r>
              <w:rPr>
                <w:sz w:val="19"/>
              </w:rPr>
              <w:t>관계 정규화, 개념 정의, 문항, 분류</w:t>
            </w:r>
          </w:p>
        </w:tc>
        <w:tc>
          <w:tcPr>
            <w:tcW w:type="dxa" w:w="5159"/>
          </w:tcPr>
          <w:p>
            <w:pPr>
              <w:spacing w:after="40" w:line="264" w:lineRule="auto"/>
            </w:pPr>
            <w:r/>
            <w:r>
              <w:rPr>
                <w:sz w:val="19"/>
              </w:rPr>
              <w:t>근거가 아니라 검증 대상인 제안.</w:t>
            </w:r>
          </w:p>
        </w:tc>
      </w:tr>
    </w:tbl>
    <w:p>
      <w:pPr>
        <w:spacing w:after="40"/>
      </w:pPr>
    </w:p>
    <w:p>
      <w:r>
        <w:rPr>
          <w:b w:val="0"/>
          <w:i/>
          <w:color w:val="6B7A90"/>
          <w:sz w:val="18"/>
        </w:rPr>
        <w:t>출처: outputs/quote_verification.json; 시트 외부학술근거·참고문헌(V4 연구자 기록).</w:t>
      </w:r>
    </w:p>
    <w:p>
      <w:pPr>
        <w:pStyle w:val="Heading1"/>
      </w:pPr>
      <w:r>
        <w:t>1. 이야기의 줄거리</w:t>
      </w:r>
    </w:p>
    <w:p>
      <w:r>
        <w:rPr>
          <w:b w:val="0"/>
          <w:i w:val="0"/>
        </w:rPr>
        <w:t>BCMS(업무연속성경영시스템)의 프로세스는 서로 연결되어 작동한다. 이 연구는 Arias-Aranda 외(2026)가 정리한 22개 프로세스 유형을 객체로 삼아, 원문에서 서술된 연결을 31개 관계 기록으로 정리하고, 그 연결이 조직에서 어떤 상태로 유지되는지를 묻는 후보 문항을 만든다. 점수와 요인 구조는 아직 확정하지 않았으며 전문가 심사·인지면접·예비조사가 남아 있다.</w:t>
      </w:r>
    </w:p>
    <w:tbl>
      <w:tblPr>
        <w:tblStyle w:val="TableGrid"/>
        <w:tblW w:type="auto" w:w="0"/>
        <w:jc w:val="center"/>
        <w:tblLayout w:type="fixed"/>
        <w:tblLook w:firstColumn="1" w:firstRow="1" w:lastColumn="0" w:lastRow="0" w:noHBand="0" w:noVBand="1" w:val="04A0"/>
      </w:tblPr>
      <w:tblGrid>
        <w:gridCol w:w="567"/>
        <w:gridCol w:w="1928"/>
        <w:gridCol w:w="6917"/>
      </w:tblGrid>
      <w:tr>
        <w:trPr>
          <w:tblHeader w:val="true"/>
        </w:trPr>
        <w:tc>
          <w:tcPr>
            <w:tcW w:type="dxa" w:w="567"/>
            <w:shd w:val="clear" w:color="auto" w:fill="14213D"/>
          </w:tcPr>
          <w:p>
            <w:pPr>
              <w:spacing w:after="40" w:line="264" w:lineRule="auto"/>
            </w:pPr>
            <w:r/>
            <w:r>
              <w:rPr>
                <w:b/>
                <w:color w:val="FFFFFF"/>
                <w:sz w:val="19"/>
              </w:rPr>
              <w:t>장</w:t>
            </w:r>
          </w:p>
        </w:tc>
        <w:tc>
          <w:tcPr>
            <w:tcW w:type="dxa" w:w="1928"/>
            <w:shd w:val="clear" w:color="auto" w:fill="14213D"/>
          </w:tcPr>
          <w:p>
            <w:pPr>
              <w:spacing w:after="40" w:line="264" w:lineRule="auto"/>
            </w:pPr>
            <w:r/>
            <w:r>
              <w:rPr>
                <w:b/>
                <w:color w:val="FFFFFF"/>
                <w:sz w:val="19"/>
              </w:rPr>
              <w:t>이야기</w:t>
            </w:r>
          </w:p>
        </w:tc>
        <w:tc>
          <w:tcPr>
            <w:tcW w:type="dxa" w:w="6917"/>
            <w:shd w:val="clear" w:color="auto" w:fill="14213D"/>
          </w:tcPr>
          <w:p>
            <w:pPr>
              <w:spacing w:after="40" w:line="264" w:lineRule="auto"/>
            </w:pPr>
            <w:r/>
            <w:r>
              <w:rPr>
                <w:b/>
                <w:color w:val="FFFFFF"/>
                <w:sz w:val="19"/>
              </w:rPr>
              <w:t>핵심 메시지</w:t>
            </w:r>
          </w:p>
        </w:tc>
      </w:tr>
      <w:tr>
        <w:tc>
          <w:tcPr>
            <w:tcW w:type="dxa" w:w="567"/>
          </w:tcPr>
          <w:p>
            <w:pPr>
              <w:spacing w:after="40" w:line="264" w:lineRule="auto"/>
            </w:pPr>
            <w:r/>
            <w:r>
              <w:rPr>
                <w:sz w:val="19"/>
              </w:rPr>
              <w:t>1</w:t>
            </w:r>
          </w:p>
        </w:tc>
        <w:tc>
          <w:tcPr>
            <w:tcW w:type="dxa" w:w="1928"/>
          </w:tcPr>
          <w:p>
            <w:pPr>
              <w:spacing w:after="40" w:line="264" w:lineRule="auto"/>
            </w:pPr>
            <w:r/>
            <w:r>
              <w:rPr>
                <w:sz w:val="19"/>
              </w:rPr>
              <w:t>왜 '연결'인가</w:t>
            </w:r>
          </w:p>
        </w:tc>
        <w:tc>
          <w:tcPr>
            <w:tcW w:type="dxa" w:w="6917"/>
          </w:tcPr>
          <w:p>
            <w:pPr>
              <w:spacing w:after="40" w:line="264" w:lineRule="auto"/>
            </w:pPr>
            <w:r/>
            <w:r>
              <w:rPr>
                <w:sz w:val="19"/>
              </w:rPr>
              <w:t>프로세스는 상호 연결·상호작용하는 활동이므로(A01·A02) 프로세스 사이의 연결 상태를 따로 묻는다. 세 자료의 역할과 한계를 먼저 밝힌다.</w:t>
            </w:r>
          </w:p>
        </w:tc>
      </w:tr>
      <w:tr>
        <w:tc>
          <w:tcPr>
            <w:tcW w:type="dxa" w:w="567"/>
            <w:shd w:val="clear" w:color="auto" w:fill="F3F6FA"/>
          </w:tcPr>
          <w:p>
            <w:pPr>
              <w:spacing w:after="40" w:line="264" w:lineRule="auto"/>
            </w:pPr>
            <w:r/>
            <w:r>
              <w:rPr>
                <w:sz w:val="19"/>
              </w:rPr>
              <w:t>2</w:t>
            </w:r>
          </w:p>
        </w:tc>
        <w:tc>
          <w:tcPr>
            <w:tcW w:type="dxa" w:w="1928"/>
            <w:shd w:val="clear" w:color="auto" w:fill="F3F6FA"/>
          </w:tcPr>
          <w:p>
            <w:pPr>
              <w:spacing w:after="40" w:line="264" w:lineRule="auto"/>
            </w:pPr>
            <w:r/>
            <w:r>
              <w:rPr>
                <w:sz w:val="19"/>
              </w:rPr>
              <w:t>22개 객체</w:t>
            </w:r>
          </w:p>
        </w:tc>
        <w:tc>
          <w:tcPr>
            <w:tcW w:type="dxa" w:w="6917"/>
            <w:shd w:val="clear" w:color="auto" w:fill="F3F6FA"/>
          </w:tcPr>
          <w:p>
            <w:pPr>
              <w:spacing w:after="40" w:line="264" w:lineRule="auto"/>
            </w:pPr>
            <w:r/>
            <w:r>
              <w:rPr>
                <w:sz w:val="19"/>
              </w:rPr>
              <w:t>Arias Table 5의 22개 프로세스 유형이 객체 범위이다. 22개 유형과 실제 조직의 프로세스 인스턴스는 구별한다.</w:t>
            </w:r>
          </w:p>
        </w:tc>
      </w:tr>
      <w:tr>
        <w:tc>
          <w:tcPr>
            <w:tcW w:type="dxa" w:w="567"/>
          </w:tcPr>
          <w:p>
            <w:pPr>
              <w:spacing w:after="40" w:line="264" w:lineRule="auto"/>
            </w:pPr>
            <w:r/>
            <w:r>
              <w:rPr>
                <w:sz w:val="19"/>
              </w:rPr>
              <w:t>3</w:t>
            </w:r>
          </w:p>
        </w:tc>
        <w:tc>
          <w:tcPr>
            <w:tcW w:type="dxa" w:w="1928"/>
          </w:tcPr>
          <w:p>
            <w:pPr>
              <w:spacing w:after="40" w:line="264" w:lineRule="auto"/>
            </w:pPr>
            <w:r/>
            <w:r>
              <w:rPr>
                <w:sz w:val="19"/>
              </w:rPr>
              <w:t>연결 찾기</w:t>
            </w:r>
          </w:p>
        </w:tc>
        <w:tc>
          <w:tcPr>
            <w:tcW w:type="dxa" w:w="6917"/>
          </w:tcPr>
          <w:p>
            <w:pPr>
              <w:spacing w:after="40" w:line="264" w:lineRule="auto"/>
            </w:pPr>
            <w:r/>
            <w:r>
              <w:rPr>
                <w:sz w:val="19"/>
              </w:rPr>
              <w:t>원문 인용 → 연구자 정규화 → 관계 기록 순으로 31개를 만들고, 운영 후보 24 · 위계 2 · 집단 2 · 보류 3으로 구분한다. 등급 E1/E2/E3는 문헌 직접성이다.</w:t>
            </w:r>
          </w:p>
        </w:tc>
      </w:tr>
      <w:tr>
        <w:tc>
          <w:tcPr>
            <w:tcW w:type="dxa" w:w="567"/>
            <w:shd w:val="clear" w:color="auto" w:fill="F3F6FA"/>
          </w:tcPr>
          <w:p>
            <w:pPr>
              <w:spacing w:after="40" w:line="264" w:lineRule="auto"/>
            </w:pPr>
            <w:r/>
            <w:r>
              <w:rPr>
                <w:sz w:val="19"/>
              </w:rPr>
              <w:t>4</w:t>
            </w:r>
          </w:p>
        </w:tc>
        <w:tc>
          <w:tcPr>
            <w:tcW w:type="dxa" w:w="1928"/>
            <w:shd w:val="clear" w:color="auto" w:fill="F3F6FA"/>
          </w:tcPr>
          <w:p>
            <w:pPr>
              <w:spacing w:after="40" w:line="264" w:lineRule="auto"/>
            </w:pPr>
            <w:r/>
            <w:r>
              <w:rPr>
                <w:sz w:val="19"/>
              </w:rPr>
              <w:t>무엇을 묻는가</w:t>
            </w:r>
          </w:p>
        </w:tc>
        <w:tc>
          <w:tcPr>
            <w:tcW w:type="dxa" w:w="6917"/>
            <w:shd w:val="clear" w:color="auto" w:fill="F3F6FA"/>
          </w:tcPr>
          <w:p>
            <w:pPr>
              <w:spacing w:after="40" w:line="264" w:lineRule="auto"/>
            </w:pPr>
            <w:r/>
            <w:r>
              <w:rPr>
                <w:sz w:val="19"/>
              </w:rPr>
              <w:t>연결품질 후보 4(CO·TR·EV·TM), 관리조건 후보 1(AC), 경로 후보 1(FC). 요인 수는 미확정이며 개념마다 근거 위치와 전이 한계를 표시한다.</w:t>
            </w:r>
          </w:p>
        </w:tc>
      </w:tr>
      <w:tr>
        <w:tc>
          <w:tcPr>
            <w:tcW w:type="dxa" w:w="567"/>
          </w:tcPr>
          <w:p>
            <w:pPr>
              <w:spacing w:after="40" w:line="264" w:lineRule="auto"/>
            </w:pPr>
            <w:r/>
            <w:r>
              <w:rPr>
                <w:sz w:val="19"/>
              </w:rPr>
              <w:t>5</w:t>
            </w:r>
          </w:p>
        </w:tc>
        <w:tc>
          <w:tcPr>
            <w:tcW w:type="dxa" w:w="1928"/>
          </w:tcPr>
          <w:p>
            <w:pPr>
              <w:spacing w:after="40" w:line="264" w:lineRule="auto"/>
            </w:pPr>
            <w:r/>
            <w:r>
              <w:rPr>
                <w:sz w:val="19"/>
              </w:rPr>
              <w:t>문항과 응답 설계</w:t>
            </w:r>
          </w:p>
        </w:tc>
        <w:tc>
          <w:tcPr>
            <w:tcW w:type="dxa" w:w="6917"/>
          </w:tcPr>
          <w:p>
            <w:pPr>
              <w:spacing w:after="40" w:line="264" w:lineRule="auto"/>
            </w:pPr>
            <w:r/>
            <w:r>
              <w:rPr>
                <w:sz w:val="19"/>
              </w:rPr>
              <w:t>관계와 개념이 모두 맞는 곳에서만 문항을 만든다. 179개는 검토 은행이며 응답은 DK/NA/NC/NO를 구분하고 점수는 아직 내지 않는다.</w:t>
            </w:r>
          </w:p>
        </w:tc>
      </w:tr>
      <w:tr>
        <w:tc>
          <w:tcPr>
            <w:tcW w:type="dxa" w:w="567"/>
            <w:shd w:val="clear" w:color="auto" w:fill="F3F6FA"/>
          </w:tcPr>
          <w:p>
            <w:pPr>
              <w:spacing w:after="40" w:line="264" w:lineRule="auto"/>
            </w:pPr>
            <w:r/>
            <w:r>
              <w:rPr>
                <w:sz w:val="19"/>
              </w:rPr>
              <w:t>6</w:t>
            </w:r>
          </w:p>
        </w:tc>
        <w:tc>
          <w:tcPr>
            <w:tcW w:type="dxa" w:w="1928"/>
            <w:shd w:val="clear" w:color="auto" w:fill="F3F6FA"/>
          </w:tcPr>
          <w:p>
            <w:pPr>
              <w:spacing w:after="40" w:line="264" w:lineRule="auto"/>
            </w:pPr>
            <w:r/>
            <w:r>
              <w:rPr>
                <w:sz w:val="19"/>
              </w:rPr>
              <w:t>검증과 한계</w:t>
            </w:r>
          </w:p>
        </w:tc>
        <w:tc>
          <w:tcPr>
            <w:tcW w:type="dxa" w:w="6917"/>
            <w:shd w:val="clear" w:color="auto" w:fill="F3F6FA"/>
          </w:tcPr>
          <w:p>
            <w:pPr>
              <w:spacing w:after="40" w:line="264" w:lineRule="auto"/>
            </w:pPr>
            <w:r/>
            <w:r>
              <w:rPr>
                <w:sz w:val="19"/>
              </w:rPr>
              <w:t>Gate 1–8의 검증 순서, 연구방법 서술안, 연구자가 해결할 열린 과제를 밝힌다.</w:t>
            </w:r>
          </w:p>
        </w:tc>
      </w:tr>
    </w:tbl>
    <w:p>
      <w:pPr>
        <w:spacing w:after="40"/>
      </w:pPr>
    </w:p>
    <w:p>
      <w:r>
        <w:rPr>
          <w:b w:val="0"/>
          <w:i/>
          <w:color w:val="6B7A90"/>
          <w:sz w:val="18"/>
        </w:rPr>
        <w:t>출처: Arias-Aranda 외(2026) Table 5·§4.3; 구성은 연구자.</w:t>
      </w:r>
    </w:p>
    <w:p>
      <w:pPr>
        <w:pStyle w:val="Heading1"/>
      </w:pPr>
      <w:r>
        <w:t>2. 왜 “연결”인가</w:t>
      </w:r>
    </w:p>
    <w:tbl>
      <w:tblPr>
        <w:tblStyle w:val="TableGrid"/>
        <w:tblW w:type="auto" w:w="0"/>
        <w:tblLayout w:type="fixed"/>
        <w:tblLook w:firstColumn="1" w:firstRow="1" w:lastColumn="0" w:lastRow="0" w:noHBand="0" w:noVBand="1" w:val="04A0"/>
      </w:tblPr>
      <w:tblGrid>
        <w:gridCol w:w="9411"/>
      </w:tblGrid>
      <w:tr>
        <w:tc>
          <w:tcPr>
            <w:tcW w:type="dxa" w:w="9411"/>
            <w:shd w:val="clear" w:color="auto" w:fill="EEF4FB"/>
          </w:tcPr>
          <w:p>
            <w:r>
              <w:rPr>
                <w:b/>
                <w:color w:val="2F6DB5"/>
                <w:sz w:val="19"/>
              </w:rPr>
              <w:t xml:space="preserve">원문 A01 · Arias §2.1 · PDF p.4  </w:t>
            </w:r>
            <w:r>
              <w:rPr>
                <w:sz w:val="20"/>
              </w:rPr>
              <w:t>“Activities utilizing resources must be managed to convert inputs into outputs through a series of interconnected or interacting activities, also called processes”</w:t>
              <w:br/>
              <w:t>참고 번역(연구자): 자원을 사용하는 활동은 입력을 출력으로 전환하는, 상호 연결되거나 상호작용하는 일련의 활동, 즉 프로세스를 통해 관리되어야 한다.</w:t>
            </w:r>
          </w:p>
        </w:tc>
      </w:tr>
    </w:tbl>
    <w:p>
      <w:pPr>
        <w:spacing w:after="40"/>
      </w:pPr>
    </w:p>
    <w:tbl>
      <w:tblPr>
        <w:tblStyle w:val="TableGrid"/>
        <w:tblW w:type="auto" w:w="0"/>
        <w:tblLayout w:type="fixed"/>
        <w:tblLook w:firstColumn="1" w:firstRow="1" w:lastColumn="0" w:lastRow="0" w:noHBand="0" w:noVBand="1" w:val="04A0"/>
      </w:tblPr>
      <w:tblGrid>
        <w:gridCol w:w="9411"/>
      </w:tblGrid>
      <w:tr>
        <w:tc>
          <w:tcPr>
            <w:tcW w:type="dxa" w:w="9411"/>
            <w:shd w:val="clear" w:color="auto" w:fill="EEF4FB"/>
          </w:tcPr>
          <w:p>
            <w:r>
              <w:rPr>
                <w:b/>
                <w:color w:val="2F6DB5"/>
                <w:sz w:val="19"/>
              </w:rPr>
              <w:t xml:space="preserve">원문 A02 · Arias §2.1 (ISO/IEC 33004 기준 4) · PDF p.5  </w:t>
            </w:r>
            <w:r>
              <w:rPr>
                <w:sz w:val="20"/>
              </w:rPr>
              <w:t>“A process reference model should delineate the interconnections among the processes outlined within it.”</w:t>
              <w:br/>
              <w:t>참고 번역(연구자): 프로세스 참조모델은 그 안에 기술된 프로세스들 사이의 상호 연결을 명시해야 한다.</w:t>
            </w:r>
          </w:p>
        </w:tc>
      </w:tr>
    </w:tbl>
    <w:p>
      <w:pPr>
        <w:spacing w:after="40"/>
      </w:pPr>
    </w:p>
    <w:tbl>
      <w:tblPr>
        <w:tblStyle w:val="TableGrid"/>
        <w:tblW w:type="auto" w:w="0"/>
        <w:tblLayout w:type="fixed"/>
        <w:tblLook w:firstColumn="1" w:firstRow="1" w:lastColumn="0" w:lastRow="0" w:noHBand="0" w:noVBand="1" w:val="04A0"/>
      </w:tblPr>
      <w:tblGrid>
        <w:gridCol w:w="9411"/>
      </w:tblGrid>
      <w:tr>
        <w:tc>
          <w:tcPr>
            <w:tcW w:type="dxa" w:w="9411"/>
            <w:shd w:val="clear" w:color="auto" w:fill="FEF3E6"/>
          </w:tcPr>
          <w:p>
            <w:r>
              <w:rPr>
                <w:b/>
                <w:color w:val="C86A10"/>
                <w:sz w:val="19"/>
              </w:rPr>
              <w:t xml:space="preserve">연구자 해석  </w:t>
            </w:r>
            <w:r>
              <w:rPr>
                <w:sz w:val="20"/>
              </w:rPr>
              <w:t>프로세스를 낱개로 평가하는 것과 별개로, 프로세스 사이를 오가는 산출물·기준이 후속 업무에 이어지는지를 묻는 질문이 필요하다. 두 원문은 “연결이 중요하다”는 근거이지 “연결품질의 차원”의 근거가 아니다.</w:t>
            </w:r>
          </w:p>
        </w:tc>
      </w:tr>
    </w:tbl>
    <w:p>
      <w:pPr>
        <w:spacing w:after="40"/>
      </w:pPr>
    </w:p>
    <w:p>
      <w:pPr>
        <w:pStyle w:val="Heading2"/>
      </w:pPr>
      <w:r>
        <w:t>이 연구가 묻는 것과 아직 말하지 않는 것</w:t>
      </w:r>
    </w:p>
    <w:tbl>
      <w:tblPr>
        <w:tblStyle w:val="TableGrid"/>
        <w:tblW w:type="auto" w:w="0"/>
        <w:jc w:val="center"/>
        <w:tblLayout w:type="fixed"/>
        <w:tblLook w:firstColumn="1" w:firstRow="1" w:lastColumn="0" w:lastRow="0" w:noHBand="0" w:noVBand="1" w:val="04A0"/>
      </w:tblPr>
      <w:tblGrid>
        <w:gridCol w:w="4706"/>
        <w:gridCol w:w="4706"/>
      </w:tblGrid>
      <w:tr>
        <w:trPr>
          <w:tblHeader w:val="true"/>
        </w:trPr>
        <w:tc>
          <w:tcPr>
            <w:tcW w:type="dxa" w:w="4706"/>
            <w:shd w:val="clear" w:color="auto" w:fill="14213D"/>
          </w:tcPr>
          <w:p>
            <w:pPr>
              <w:spacing w:after="40" w:line="264" w:lineRule="auto"/>
            </w:pPr>
            <w:r/>
            <w:r>
              <w:rPr>
                <w:b/>
                <w:color w:val="FFFFFF"/>
                <w:sz w:val="20"/>
              </w:rPr>
              <w:t>묻는다</w:t>
            </w:r>
          </w:p>
        </w:tc>
        <w:tc>
          <w:tcPr>
            <w:tcW w:type="dxa" w:w="4706"/>
            <w:shd w:val="clear" w:color="auto" w:fill="14213D"/>
          </w:tcPr>
          <w:p>
            <w:pPr>
              <w:spacing w:after="40" w:line="264" w:lineRule="auto"/>
            </w:pPr>
            <w:r/>
            <w:r>
              <w:rPr>
                <w:b/>
                <w:color w:val="FFFFFF"/>
                <w:sz w:val="20"/>
              </w:rPr>
              <w:t>아직 말하지 않는다</w:t>
            </w:r>
          </w:p>
        </w:tc>
      </w:tr>
      <w:tr>
        <w:tc>
          <w:tcPr>
            <w:tcW w:type="dxa" w:w="4706"/>
          </w:tcPr>
          <w:p>
            <w:pPr>
              <w:spacing w:after="40" w:line="264" w:lineRule="auto"/>
            </w:pPr>
            <w:r/>
            <w:r>
              <w:rPr>
                <w:sz w:val="20"/>
              </w:rPr>
              <w:t>한 조직의 BCMS 단위, 최근 12개월 후보 기간의 운영 연결 상태 · 24개 운영 후보 연결 · 정합성·근거 추적·증빙·변경 전파(후보 개념) · 담당자 보고(핵심정보제공자)</w:t>
            </w:r>
          </w:p>
        </w:tc>
        <w:tc>
          <w:tcPr>
            <w:tcW w:type="dxa" w:w="4706"/>
          </w:tcPr>
          <w:p>
            <w:pPr>
              <w:spacing w:after="40" w:line="264" w:lineRule="auto"/>
            </w:pPr>
            <w:r/>
            <w:r>
              <w:rPr>
                <w:sz w:val="20"/>
              </w:rPr>
              <w:t>확정된 4요인 주장 · 차원 평균·동일가중 지수 · 인과 주장 · 최종 문항 수와 N≥150 같은 고정 기준 · ORAS 척도 근거</w:t>
            </w:r>
          </w:p>
        </w:tc>
      </w:tr>
    </w:tbl>
    <w:p>
      <w:pPr>
        <w:spacing w:after="40"/>
      </w:pPr>
    </w:p>
    <w:p>
      <w:pPr>
        <w:pStyle w:val="Heading2"/>
      </w:pPr>
      <w:r>
        <w:t>세 자료의 역할</w:t>
      </w:r>
    </w:p>
    <w:tbl>
      <w:tblPr>
        <w:tblStyle w:val="TableGrid"/>
        <w:tblW w:type="auto" w:w="0"/>
        <w:jc w:val="center"/>
        <w:tblLayout w:type="fixed"/>
        <w:tblLook w:firstColumn="1" w:firstRow="1" w:lastColumn="0" w:lastRow="0" w:noHBand="0" w:noVBand="1" w:val="04A0"/>
      </w:tblPr>
      <w:tblGrid>
        <w:gridCol w:w="2154"/>
        <w:gridCol w:w="4082"/>
        <w:gridCol w:w="3175"/>
      </w:tblGrid>
      <w:tr>
        <w:trPr>
          <w:tblHeader w:val="true"/>
        </w:trPr>
        <w:tc>
          <w:tcPr>
            <w:tcW w:type="dxa" w:w="2154"/>
            <w:shd w:val="clear" w:color="auto" w:fill="14213D"/>
          </w:tcPr>
          <w:p>
            <w:pPr>
              <w:spacing w:after="40" w:line="264" w:lineRule="auto"/>
            </w:pPr>
            <w:r/>
            <w:r>
              <w:rPr>
                <w:b/>
                <w:color w:val="FFFFFF"/>
                <w:sz w:val="19"/>
              </w:rPr>
              <w:t>자료</w:t>
            </w:r>
          </w:p>
        </w:tc>
        <w:tc>
          <w:tcPr>
            <w:tcW w:type="dxa" w:w="4082"/>
            <w:shd w:val="clear" w:color="auto" w:fill="14213D"/>
          </w:tcPr>
          <w:p>
            <w:pPr>
              <w:spacing w:after="40" w:line="264" w:lineRule="auto"/>
            </w:pPr>
            <w:r/>
            <w:r>
              <w:rPr>
                <w:b/>
                <w:color w:val="FFFFFF"/>
                <w:sz w:val="19"/>
              </w:rPr>
              <w:t>역할</w:t>
            </w:r>
          </w:p>
        </w:tc>
        <w:tc>
          <w:tcPr>
            <w:tcW w:type="dxa" w:w="3175"/>
            <w:shd w:val="clear" w:color="auto" w:fill="14213D"/>
          </w:tcPr>
          <w:p>
            <w:pPr>
              <w:spacing w:after="40" w:line="264" w:lineRule="auto"/>
            </w:pPr>
            <w:r/>
            <w:r>
              <w:rPr>
                <w:b/>
                <w:color w:val="FFFFFF"/>
                <w:sz w:val="19"/>
              </w:rPr>
              <w:t>한계</w:t>
            </w:r>
          </w:p>
        </w:tc>
      </w:tr>
      <w:tr>
        <w:tc>
          <w:tcPr>
            <w:tcW w:type="dxa" w:w="2154"/>
          </w:tcPr>
          <w:p>
            <w:pPr>
              <w:spacing w:after="40" w:line="264" w:lineRule="auto"/>
            </w:pPr>
            <w:r/>
            <w:r>
              <w:rPr>
                <w:sz w:val="19"/>
              </w:rPr>
              <w:t>Arias-Aranda 외(2026)</w:t>
            </w:r>
          </w:p>
        </w:tc>
        <w:tc>
          <w:tcPr>
            <w:tcW w:type="dxa" w:w="4082"/>
          </w:tcPr>
          <w:p>
            <w:pPr>
              <w:spacing w:after="40" w:line="264" w:lineRule="auto"/>
            </w:pPr>
            <w:r/>
            <w:r>
              <w:rPr>
                <w:sz w:val="19"/>
              </w:rPr>
              <w:t>22개 프로세스 유형(Table 5)과 서술된 연결(§4.3)</w:t>
            </w:r>
          </w:p>
        </w:tc>
        <w:tc>
          <w:tcPr>
            <w:tcW w:type="dxa" w:w="3175"/>
          </w:tcPr>
          <w:p>
            <w:pPr>
              <w:spacing w:after="40" w:line="264" w:lineRule="auto"/>
            </w:pPr>
            <w:r/>
            <w:r>
              <w:rPr>
                <w:sz w:val="19"/>
              </w:rPr>
              <w:t>연결품질 척도를 검증한 연구가 아님</w:t>
            </w:r>
          </w:p>
        </w:tc>
      </w:tr>
      <w:tr>
        <w:tc>
          <w:tcPr>
            <w:tcW w:type="dxa" w:w="2154"/>
            <w:shd w:val="clear" w:color="auto" w:fill="F3F6FA"/>
          </w:tcPr>
          <w:p>
            <w:pPr>
              <w:spacing w:after="40" w:line="264" w:lineRule="auto"/>
            </w:pPr>
            <w:r/>
            <w:r>
              <w:rPr>
                <w:sz w:val="19"/>
              </w:rPr>
              <w:t>Białas(2010)</w:t>
            </w:r>
          </w:p>
        </w:tc>
        <w:tc>
          <w:tcPr>
            <w:tcW w:type="dxa" w:w="4082"/>
            <w:shd w:val="clear" w:color="auto" w:fill="F3F6FA"/>
          </w:tcPr>
          <w:p>
            <w:pPr>
              <w:spacing w:after="40" w:line="264" w:lineRule="auto"/>
            </w:pPr>
            <w:r/>
            <w:r>
              <w:rPr>
                <w:sz w:val="19"/>
              </w:rPr>
              <w:t>객체·관계·속성·역량질의의 표현 방식(§2 pp.2–3), 방법만 차용</w:t>
            </w:r>
          </w:p>
        </w:tc>
        <w:tc>
          <w:tcPr>
            <w:tcW w:type="dxa" w:w="3175"/>
            <w:shd w:val="clear" w:color="auto" w:fill="F3F6FA"/>
          </w:tcPr>
          <w:p>
            <w:pPr>
              <w:spacing w:after="40" w:line="264" w:lineRule="auto"/>
            </w:pPr>
            <w:r/>
            <w:r>
              <w:rPr>
                <w:sz w:val="19"/>
              </w:rPr>
              <w:t>게재지·권호·DOI 서지 보강 필요</w:t>
            </w:r>
          </w:p>
        </w:tc>
      </w:tr>
      <w:tr>
        <w:tc>
          <w:tcPr>
            <w:tcW w:type="dxa" w:w="2154"/>
          </w:tcPr>
          <w:p>
            <w:pPr>
              <w:spacing w:after="40" w:line="264" w:lineRule="auto"/>
            </w:pPr>
            <w:r/>
            <w:r>
              <w:rPr>
                <w:sz w:val="19"/>
              </w:rPr>
              <w:t>외부 학술 문헌</w:t>
            </w:r>
          </w:p>
        </w:tc>
        <w:tc>
          <w:tcPr>
            <w:tcW w:type="dxa" w:w="4082"/>
          </w:tcPr>
          <w:p>
            <w:pPr>
              <w:spacing w:after="40" w:line="264" w:lineRule="auto"/>
            </w:pPr>
            <w:r/>
            <w:r>
              <w:rPr>
                <w:sz w:val="19"/>
              </w:rPr>
              <w:t>추적성·데이터 품질·측정모형·척도 개발의 개념 근거</w:t>
            </w:r>
          </w:p>
        </w:tc>
        <w:tc>
          <w:tcPr>
            <w:tcW w:type="dxa" w:w="3175"/>
          </w:tcPr>
          <w:p>
            <w:pPr>
              <w:spacing w:after="40" w:line="264" w:lineRule="auto"/>
            </w:pPr>
            <w:r/>
            <w:r>
              <w:rPr>
                <w:sz w:val="19"/>
              </w:rPr>
              <w:t>BCMS 적용 정의·문항은 연구자 확장</w:t>
            </w:r>
          </w:p>
        </w:tc>
      </w:tr>
    </w:tbl>
    <w:p>
      <w:pPr>
        <w:spacing w:after="40"/>
      </w:pPr>
    </w:p>
    <w:p>
      <w:r>
        <w:rPr>
          <w:b w:val="0"/>
          <w:i/>
          <w:color w:val="6B7A90"/>
          <w:sz w:val="18"/>
        </w:rPr>
        <w:t>출처: A01 Arias §2.1 PDF p.4; A02 §2.1 PDF p.5; Białas §2 pp.2–3; Noy &amp; McGuinness(2001) Step 1 PDF pp.4–5; MacKenzie 외(2011) pp.302–303.</w:t>
      </w:r>
    </w:p>
    <w:p>
      <w:pPr>
        <w:pStyle w:val="Heading1"/>
      </w:pPr>
      <w:r>
        <w:t>3. 22개 객체</w:t>
      </w:r>
    </w:p>
    <w:p>
      <w:r>
        <w:rPr>
          <w:b w:val="0"/>
          <w:i w:val="0"/>
        </w:rPr>
        <w:t>객체의 범위는 Arias Table 5(PDF p.14)의 22개 BCMS 프로세스 유형이다. 22개 유형은 프로세스 유형이며 조직에서 실제 수행되는 프로세스 인스턴스와 구별한다. 전문가 지명률과 원자료 분류는 Arias pp.11–13의 참고 정보이다. CRM은 지명률 3%로 범주 3(기각)이지만 Table 5의 22개 유형에 포함되어 연구자가 범위에 둔다.</w:t>
      </w:r>
    </w:p>
    <w:tbl>
      <w:tblPr>
        <w:tblStyle w:val="TableGrid"/>
        <w:tblW w:type="auto" w:w="0"/>
        <w:jc w:val="center"/>
        <w:tblLayout w:type="fixed"/>
        <w:tblLook w:firstColumn="1" w:firstRow="1" w:lastColumn="0" w:lastRow="0" w:noHBand="0" w:noVBand="1" w:val="04A0"/>
      </w:tblPr>
      <w:tblGrid>
        <w:gridCol w:w="737"/>
        <w:gridCol w:w="1701"/>
        <w:gridCol w:w="2948"/>
        <w:gridCol w:w="737"/>
        <w:gridCol w:w="794"/>
        <w:gridCol w:w="794"/>
        <w:gridCol w:w="1701"/>
      </w:tblGrid>
      <w:tr>
        <w:trPr>
          <w:tblHeader w:val="true"/>
        </w:trPr>
        <w:tc>
          <w:tcPr>
            <w:tcW w:type="dxa" w:w="737"/>
            <w:shd w:val="clear" w:color="auto" w:fill="14213D"/>
          </w:tcPr>
          <w:p>
            <w:pPr>
              <w:spacing w:after="40" w:line="264" w:lineRule="auto"/>
            </w:pPr>
            <w:r/>
            <w:r>
              <w:rPr>
                <w:b/>
                <w:color w:val="FFFFFF"/>
                <w:sz w:val="17"/>
              </w:rPr>
              <w:t>ID</w:t>
            </w:r>
          </w:p>
        </w:tc>
        <w:tc>
          <w:tcPr>
            <w:tcW w:type="dxa" w:w="1701"/>
            <w:shd w:val="clear" w:color="auto" w:fill="14213D"/>
          </w:tcPr>
          <w:p>
            <w:pPr>
              <w:spacing w:after="40" w:line="264" w:lineRule="auto"/>
            </w:pPr>
            <w:r/>
            <w:r>
              <w:rPr>
                <w:b/>
                <w:color w:val="FFFFFF"/>
                <w:sz w:val="17"/>
              </w:rPr>
              <w:t>한국어</w:t>
            </w:r>
          </w:p>
        </w:tc>
        <w:tc>
          <w:tcPr>
            <w:tcW w:type="dxa" w:w="2948"/>
            <w:shd w:val="clear" w:color="auto" w:fill="14213D"/>
          </w:tcPr>
          <w:p>
            <w:pPr>
              <w:spacing w:after="40" w:line="264" w:lineRule="auto"/>
            </w:pPr>
            <w:r/>
            <w:r>
              <w:rPr>
                <w:b/>
                <w:color w:val="FFFFFF"/>
                <w:sz w:val="17"/>
              </w:rPr>
              <w:t>Arias 원명</w:t>
            </w:r>
          </w:p>
        </w:tc>
        <w:tc>
          <w:tcPr>
            <w:tcW w:type="dxa" w:w="737"/>
            <w:shd w:val="clear" w:color="auto" w:fill="14213D"/>
          </w:tcPr>
          <w:p>
            <w:pPr>
              <w:spacing w:after="40" w:line="264" w:lineRule="auto"/>
            </w:pPr>
            <w:r/>
            <w:r>
              <w:rPr>
                <w:b/>
                <w:color w:val="FFFFFF"/>
                <w:sz w:val="17"/>
              </w:rPr>
              <w:t>범주</w:t>
            </w:r>
          </w:p>
        </w:tc>
        <w:tc>
          <w:tcPr>
            <w:tcW w:type="dxa" w:w="794"/>
            <w:shd w:val="clear" w:color="auto" w:fill="14213D"/>
          </w:tcPr>
          <w:p>
            <w:pPr>
              <w:spacing w:after="40" w:line="264" w:lineRule="auto"/>
            </w:pPr>
            <w:r/>
            <w:r>
              <w:rPr>
                <w:b/>
                <w:color w:val="FFFFFF"/>
                <w:sz w:val="17"/>
              </w:rPr>
              <w:t>PDCA</w:t>
            </w:r>
          </w:p>
        </w:tc>
        <w:tc>
          <w:tcPr>
            <w:tcW w:type="dxa" w:w="794"/>
            <w:shd w:val="clear" w:color="auto" w:fill="14213D"/>
          </w:tcPr>
          <w:p>
            <w:pPr>
              <w:spacing w:after="40" w:line="264" w:lineRule="auto"/>
            </w:pPr>
            <w:r/>
            <w:r>
              <w:rPr>
                <w:b/>
                <w:color w:val="FFFFFF"/>
                <w:sz w:val="17"/>
              </w:rPr>
              <w:t>지명률</w:t>
            </w:r>
          </w:p>
        </w:tc>
        <w:tc>
          <w:tcPr>
            <w:tcW w:type="dxa" w:w="1701"/>
            <w:shd w:val="clear" w:color="auto" w:fill="14213D"/>
          </w:tcPr>
          <w:p>
            <w:pPr>
              <w:spacing w:after="40" w:line="264" w:lineRule="auto"/>
            </w:pPr>
            <w:r/>
            <w:r>
              <w:rPr>
                <w:b/>
                <w:color w:val="FFFFFF"/>
                <w:sz w:val="17"/>
              </w:rPr>
              <w:t>원자료 분류</w:t>
            </w:r>
          </w:p>
        </w:tc>
      </w:tr>
      <w:tr>
        <w:tc>
          <w:tcPr>
            <w:tcW w:type="dxa" w:w="737"/>
          </w:tcPr>
          <w:p>
            <w:pPr>
              <w:spacing w:after="40" w:line="264" w:lineRule="auto"/>
            </w:pPr>
            <w:r/>
            <w:r>
              <w:rPr>
                <w:sz w:val="17"/>
              </w:rPr>
              <w:t>GOV</w:t>
            </w:r>
          </w:p>
        </w:tc>
        <w:tc>
          <w:tcPr>
            <w:tcW w:type="dxa" w:w="1701"/>
          </w:tcPr>
          <w:p>
            <w:pPr>
              <w:spacing w:after="40" w:line="264" w:lineRule="auto"/>
            </w:pPr>
            <w:r/>
            <w:r>
              <w:rPr>
                <w:sz w:val="17"/>
              </w:rPr>
              <w:t>BC 거버넌스</w:t>
            </w:r>
          </w:p>
        </w:tc>
        <w:tc>
          <w:tcPr>
            <w:tcW w:type="dxa" w:w="2948"/>
          </w:tcPr>
          <w:p>
            <w:pPr>
              <w:spacing w:after="40" w:line="264" w:lineRule="auto"/>
            </w:pPr>
            <w:r/>
            <w:r>
              <w:rPr>
                <w:sz w:val="17"/>
              </w:rPr>
              <w:t>Business continuity governance process</w:t>
            </w:r>
          </w:p>
        </w:tc>
        <w:tc>
          <w:tcPr>
            <w:tcW w:type="dxa" w:w="737"/>
          </w:tcPr>
          <w:p>
            <w:pPr>
              <w:spacing w:after="40" w:line="264" w:lineRule="auto"/>
            </w:pPr>
            <w:r/>
            <w:r>
              <w:rPr>
                <w:sz w:val="17"/>
              </w:rPr>
              <w:t>관리</w:t>
            </w:r>
          </w:p>
        </w:tc>
        <w:tc>
          <w:tcPr>
            <w:tcW w:type="dxa" w:w="794"/>
          </w:tcPr>
          <w:p>
            <w:pPr>
              <w:spacing w:after="40" w:line="264" w:lineRule="auto"/>
            </w:pPr>
            <w:r/>
            <w:r>
              <w:rPr>
                <w:sz w:val="17"/>
              </w:rPr>
              <w:t>-</w:t>
            </w:r>
          </w:p>
        </w:tc>
        <w:tc>
          <w:tcPr>
            <w:tcW w:type="dxa" w:w="794"/>
          </w:tcPr>
          <w:p>
            <w:pPr>
              <w:spacing w:after="40" w:line="264" w:lineRule="auto"/>
            </w:pPr>
            <w:r/>
            <w:r>
              <w:rPr>
                <w:sz w:val="17"/>
              </w:rPr>
              <w:t>90%</w:t>
            </w:r>
          </w:p>
        </w:tc>
        <w:tc>
          <w:tcPr>
            <w:tcW w:type="dxa" w:w="1701"/>
          </w:tcPr>
          <w:p>
            <w:pPr>
              <w:spacing w:after="40" w:line="264" w:lineRule="auto"/>
            </w:pPr>
            <w:r/>
            <w:r>
              <w:rPr>
                <w:sz w:val="17"/>
              </w:rPr>
              <w:t>범주 1 (채택)</w:t>
            </w:r>
          </w:p>
        </w:tc>
      </w:tr>
      <w:tr>
        <w:tc>
          <w:tcPr>
            <w:tcW w:type="dxa" w:w="737"/>
            <w:shd w:val="clear" w:color="auto" w:fill="F3F6FA"/>
          </w:tcPr>
          <w:p>
            <w:pPr>
              <w:spacing w:after="40" w:line="264" w:lineRule="auto"/>
            </w:pPr>
            <w:r/>
            <w:r>
              <w:rPr>
                <w:sz w:val="17"/>
              </w:rPr>
              <w:t>POL</w:t>
            </w:r>
          </w:p>
        </w:tc>
        <w:tc>
          <w:tcPr>
            <w:tcW w:type="dxa" w:w="1701"/>
            <w:shd w:val="clear" w:color="auto" w:fill="F3F6FA"/>
          </w:tcPr>
          <w:p>
            <w:pPr>
              <w:spacing w:after="40" w:line="264" w:lineRule="auto"/>
            </w:pPr>
            <w:r/>
            <w:r>
              <w:rPr>
                <w:sz w:val="17"/>
              </w:rPr>
              <w:t>BC 정책관리</w:t>
            </w:r>
          </w:p>
        </w:tc>
        <w:tc>
          <w:tcPr>
            <w:tcW w:type="dxa" w:w="2948"/>
            <w:shd w:val="clear" w:color="auto" w:fill="F3F6FA"/>
          </w:tcPr>
          <w:p>
            <w:pPr>
              <w:spacing w:after="40" w:line="264" w:lineRule="auto"/>
            </w:pPr>
            <w:r/>
            <w:r>
              <w:rPr>
                <w:sz w:val="17"/>
              </w:rPr>
              <w:t>Business continuity policy management process</w:t>
            </w:r>
          </w:p>
        </w:tc>
        <w:tc>
          <w:tcPr>
            <w:tcW w:type="dxa" w:w="737"/>
            <w:shd w:val="clear" w:color="auto" w:fill="F3F6FA"/>
          </w:tcPr>
          <w:p>
            <w:pPr>
              <w:spacing w:after="40" w:line="264" w:lineRule="auto"/>
            </w:pPr>
            <w:r/>
            <w:r>
              <w:rPr>
                <w:sz w:val="17"/>
              </w:rPr>
              <w:t>핵심</w:t>
            </w:r>
          </w:p>
        </w:tc>
        <w:tc>
          <w:tcPr>
            <w:tcW w:type="dxa" w:w="794"/>
            <w:shd w:val="clear" w:color="auto" w:fill="F3F6FA"/>
          </w:tcPr>
          <w:p>
            <w:pPr>
              <w:spacing w:after="40" w:line="264" w:lineRule="auto"/>
            </w:pPr>
            <w:r/>
            <w:r>
              <w:rPr>
                <w:sz w:val="17"/>
              </w:rPr>
              <w:t>Plan</w:t>
            </w:r>
          </w:p>
        </w:tc>
        <w:tc>
          <w:tcPr>
            <w:tcW w:type="dxa" w:w="794"/>
            <w:shd w:val="clear" w:color="auto" w:fill="F3F6FA"/>
          </w:tcPr>
          <w:p>
            <w:pPr>
              <w:spacing w:after="40" w:line="264" w:lineRule="auto"/>
            </w:pPr>
            <w:r/>
            <w:r>
              <w:rPr>
                <w:sz w:val="17"/>
              </w:rPr>
              <w:t>87%</w:t>
            </w:r>
          </w:p>
        </w:tc>
        <w:tc>
          <w:tcPr>
            <w:tcW w:type="dxa" w:w="1701"/>
            <w:shd w:val="clear" w:color="auto" w:fill="F3F6FA"/>
          </w:tcPr>
          <w:p>
            <w:pPr>
              <w:spacing w:after="40" w:line="264" w:lineRule="auto"/>
            </w:pPr>
            <w:r/>
            <w:r>
              <w:rPr>
                <w:sz w:val="17"/>
              </w:rPr>
              <w:t>범주 1 (채택)</w:t>
            </w:r>
          </w:p>
        </w:tc>
      </w:tr>
      <w:tr>
        <w:tc>
          <w:tcPr>
            <w:tcW w:type="dxa" w:w="737"/>
          </w:tcPr>
          <w:p>
            <w:pPr>
              <w:spacing w:after="40" w:line="264" w:lineRule="auto"/>
            </w:pPr>
            <w:r/>
            <w:r>
              <w:rPr>
                <w:sz w:val="17"/>
              </w:rPr>
              <w:t>REQ</w:t>
            </w:r>
          </w:p>
        </w:tc>
        <w:tc>
          <w:tcPr>
            <w:tcW w:type="dxa" w:w="1701"/>
          </w:tcPr>
          <w:p>
            <w:pPr>
              <w:spacing w:after="40" w:line="264" w:lineRule="auto"/>
            </w:pPr>
            <w:r/>
            <w:r>
              <w:rPr>
                <w:sz w:val="17"/>
              </w:rPr>
              <w:t>요구사항관리</w:t>
            </w:r>
          </w:p>
        </w:tc>
        <w:tc>
          <w:tcPr>
            <w:tcW w:type="dxa" w:w="2948"/>
          </w:tcPr>
          <w:p>
            <w:pPr>
              <w:spacing w:after="40" w:line="264" w:lineRule="auto"/>
            </w:pPr>
            <w:r/>
            <w:r>
              <w:rPr>
                <w:sz w:val="17"/>
              </w:rPr>
              <w:t>Requirements management process</w:t>
            </w:r>
          </w:p>
        </w:tc>
        <w:tc>
          <w:tcPr>
            <w:tcW w:type="dxa" w:w="737"/>
          </w:tcPr>
          <w:p>
            <w:pPr>
              <w:spacing w:after="40" w:line="264" w:lineRule="auto"/>
            </w:pPr>
            <w:r/>
            <w:r>
              <w:rPr>
                <w:sz w:val="17"/>
              </w:rPr>
              <w:t>핵심</w:t>
            </w:r>
          </w:p>
        </w:tc>
        <w:tc>
          <w:tcPr>
            <w:tcW w:type="dxa" w:w="794"/>
          </w:tcPr>
          <w:p>
            <w:pPr>
              <w:spacing w:after="40" w:line="264" w:lineRule="auto"/>
            </w:pPr>
            <w:r/>
            <w:r>
              <w:rPr>
                <w:sz w:val="17"/>
              </w:rPr>
              <w:t>Plan</w:t>
            </w:r>
          </w:p>
        </w:tc>
        <w:tc>
          <w:tcPr>
            <w:tcW w:type="dxa" w:w="794"/>
          </w:tcPr>
          <w:p>
            <w:pPr>
              <w:spacing w:after="40" w:line="264" w:lineRule="auto"/>
            </w:pPr>
            <w:r/>
            <w:r>
              <w:rPr>
                <w:sz w:val="17"/>
              </w:rPr>
              <w:t>74%</w:t>
            </w:r>
          </w:p>
        </w:tc>
        <w:tc>
          <w:tcPr>
            <w:tcW w:type="dxa" w:w="1701"/>
          </w:tcPr>
          <w:p>
            <w:pPr>
              <w:spacing w:after="40" w:line="264" w:lineRule="auto"/>
            </w:pPr>
            <w:r/>
            <w:r>
              <w:rPr>
                <w:sz w:val="17"/>
              </w:rPr>
              <w:t>범주 2 (토론)</w:t>
            </w:r>
          </w:p>
        </w:tc>
      </w:tr>
      <w:tr>
        <w:tc>
          <w:tcPr>
            <w:tcW w:type="dxa" w:w="737"/>
            <w:shd w:val="clear" w:color="auto" w:fill="F3F6FA"/>
          </w:tcPr>
          <w:p>
            <w:pPr>
              <w:spacing w:after="40" w:line="264" w:lineRule="auto"/>
            </w:pPr>
            <w:r/>
            <w:r>
              <w:rPr>
                <w:sz w:val="17"/>
              </w:rPr>
              <w:t>BIA</w:t>
            </w:r>
          </w:p>
        </w:tc>
        <w:tc>
          <w:tcPr>
            <w:tcW w:type="dxa" w:w="1701"/>
            <w:shd w:val="clear" w:color="auto" w:fill="F3F6FA"/>
          </w:tcPr>
          <w:p>
            <w:pPr>
              <w:spacing w:after="40" w:line="264" w:lineRule="auto"/>
            </w:pPr>
            <w:r/>
            <w:r>
              <w:rPr>
                <w:sz w:val="17"/>
              </w:rPr>
              <w:t>BIA·중요도 분석</w:t>
            </w:r>
          </w:p>
        </w:tc>
        <w:tc>
          <w:tcPr>
            <w:tcW w:type="dxa" w:w="2948"/>
            <w:shd w:val="clear" w:color="auto" w:fill="F3F6FA"/>
          </w:tcPr>
          <w:p>
            <w:pPr>
              <w:spacing w:after="40" w:line="264" w:lineRule="auto"/>
            </w:pPr>
            <w:r/>
            <w:r>
              <w:rPr>
                <w:sz w:val="17"/>
              </w:rPr>
              <w:t>Business impact assessment and criticality analysis process</w:t>
            </w:r>
          </w:p>
        </w:tc>
        <w:tc>
          <w:tcPr>
            <w:tcW w:type="dxa" w:w="737"/>
            <w:shd w:val="clear" w:color="auto" w:fill="F3F6FA"/>
          </w:tcPr>
          <w:p>
            <w:pPr>
              <w:spacing w:after="40" w:line="264" w:lineRule="auto"/>
            </w:pPr>
            <w:r/>
            <w:r>
              <w:rPr>
                <w:sz w:val="17"/>
              </w:rPr>
              <w:t>핵심</w:t>
            </w:r>
          </w:p>
        </w:tc>
        <w:tc>
          <w:tcPr>
            <w:tcW w:type="dxa" w:w="794"/>
            <w:shd w:val="clear" w:color="auto" w:fill="F3F6FA"/>
          </w:tcPr>
          <w:p>
            <w:pPr>
              <w:spacing w:after="40" w:line="264" w:lineRule="auto"/>
            </w:pPr>
            <w:r/>
            <w:r>
              <w:rPr>
                <w:sz w:val="17"/>
              </w:rPr>
              <w:t>Plan</w:t>
            </w:r>
          </w:p>
        </w:tc>
        <w:tc>
          <w:tcPr>
            <w:tcW w:type="dxa" w:w="794"/>
            <w:shd w:val="clear" w:color="auto" w:fill="F3F6FA"/>
          </w:tcPr>
          <w:p>
            <w:pPr>
              <w:spacing w:after="40" w:line="264" w:lineRule="auto"/>
            </w:pPr>
            <w:r/>
            <w:r>
              <w:rPr>
                <w:sz w:val="17"/>
              </w:rPr>
              <w:t>100%</w:t>
            </w:r>
          </w:p>
        </w:tc>
        <w:tc>
          <w:tcPr>
            <w:tcW w:type="dxa" w:w="1701"/>
            <w:shd w:val="clear" w:color="auto" w:fill="F3F6FA"/>
          </w:tcPr>
          <w:p>
            <w:pPr>
              <w:spacing w:after="40" w:line="264" w:lineRule="auto"/>
            </w:pPr>
            <w:r/>
            <w:r>
              <w:rPr>
                <w:sz w:val="17"/>
              </w:rPr>
              <w:t>범주 1 (채택)</w:t>
            </w:r>
          </w:p>
        </w:tc>
      </w:tr>
      <w:tr>
        <w:tc>
          <w:tcPr>
            <w:tcW w:type="dxa" w:w="737"/>
          </w:tcPr>
          <w:p>
            <w:pPr>
              <w:spacing w:after="40" w:line="264" w:lineRule="auto"/>
            </w:pPr>
            <w:r/>
            <w:r>
              <w:rPr>
                <w:sz w:val="17"/>
              </w:rPr>
              <w:t>RA</w:t>
            </w:r>
          </w:p>
        </w:tc>
        <w:tc>
          <w:tcPr>
            <w:tcW w:type="dxa" w:w="1701"/>
          </w:tcPr>
          <w:p>
            <w:pPr>
              <w:spacing w:after="40" w:line="264" w:lineRule="auto"/>
            </w:pPr>
            <w:r/>
            <w:r>
              <w:rPr>
                <w:sz w:val="17"/>
              </w:rPr>
              <w:t>리스크평가</w:t>
            </w:r>
          </w:p>
        </w:tc>
        <w:tc>
          <w:tcPr>
            <w:tcW w:type="dxa" w:w="2948"/>
          </w:tcPr>
          <w:p>
            <w:pPr>
              <w:spacing w:after="40" w:line="264" w:lineRule="auto"/>
            </w:pPr>
            <w:r/>
            <w:r>
              <w:rPr>
                <w:sz w:val="17"/>
              </w:rPr>
              <w:t>Risk assessment process (for risks of disruption)</w:t>
            </w:r>
          </w:p>
        </w:tc>
        <w:tc>
          <w:tcPr>
            <w:tcW w:type="dxa" w:w="737"/>
          </w:tcPr>
          <w:p>
            <w:pPr>
              <w:spacing w:after="40" w:line="264" w:lineRule="auto"/>
            </w:pPr>
            <w:r/>
            <w:r>
              <w:rPr>
                <w:sz w:val="17"/>
              </w:rPr>
              <w:t>핵심</w:t>
            </w:r>
          </w:p>
        </w:tc>
        <w:tc>
          <w:tcPr>
            <w:tcW w:type="dxa" w:w="794"/>
          </w:tcPr>
          <w:p>
            <w:pPr>
              <w:spacing w:after="40" w:line="264" w:lineRule="auto"/>
            </w:pPr>
            <w:r/>
            <w:r>
              <w:rPr>
                <w:sz w:val="17"/>
              </w:rPr>
              <w:t>Plan</w:t>
            </w:r>
          </w:p>
        </w:tc>
        <w:tc>
          <w:tcPr>
            <w:tcW w:type="dxa" w:w="794"/>
          </w:tcPr>
          <w:p>
            <w:pPr>
              <w:spacing w:after="40" w:line="264" w:lineRule="auto"/>
            </w:pPr>
            <w:r/>
            <w:r>
              <w:rPr>
                <w:sz w:val="17"/>
              </w:rPr>
              <w:t>90%</w:t>
            </w:r>
          </w:p>
        </w:tc>
        <w:tc>
          <w:tcPr>
            <w:tcW w:type="dxa" w:w="1701"/>
          </w:tcPr>
          <w:p>
            <w:pPr>
              <w:spacing w:after="40" w:line="264" w:lineRule="auto"/>
            </w:pPr>
            <w:r/>
            <w:r>
              <w:rPr>
                <w:sz w:val="17"/>
              </w:rPr>
              <w:t>범주 1 (채택)</w:t>
            </w:r>
          </w:p>
        </w:tc>
      </w:tr>
      <w:tr>
        <w:tc>
          <w:tcPr>
            <w:tcW w:type="dxa" w:w="737"/>
            <w:shd w:val="clear" w:color="auto" w:fill="F3F6FA"/>
          </w:tcPr>
          <w:p>
            <w:pPr>
              <w:spacing w:after="40" w:line="264" w:lineRule="auto"/>
            </w:pPr>
            <w:r/>
            <w:r>
              <w:rPr>
                <w:sz w:val="17"/>
              </w:rPr>
              <w:t>STR</w:t>
            </w:r>
          </w:p>
        </w:tc>
        <w:tc>
          <w:tcPr>
            <w:tcW w:type="dxa" w:w="1701"/>
            <w:shd w:val="clear" w:color="auto" w:fill="F3F6FA"/>
          </w:tcPr>
          <w:p>
            <w:pPr>
              <w:spacing w:after="40" w:line="264" w:lineRule="auto"/>
            </w:pPr>
            <w:r/>
            <w:r>
              <w:rPr>
                <w:sz w:val="17"/>
              </w:rPr>
              <w:t>BC 전략·솔루션 결정·선정</w:t>
            </w:r>
          </w:p>
        </w:tc>
        <w:tc>
          <w:tcPr>
            <w:tcW w:type="dxa" w:w="2948"/>
            <w:shd w:val="clear" w:color="auto" w:fill="F3F6FA"/>
          </w:tcPr>
          <w:p>
            <w:pPr>
              <w:spacing w:after="40" w:line="264" w:lineRule="auto"/>
            </w:pPr>
            <w:r/>
            <w:r>
              <w:rPr>
                <w:sz w:val="17"/>
              </w:rPr>
              <w:t>Process of determining and selecting BC strategies and solutions</w:t>
            </w:r>
          </w:p>
        </w:tc>
        <w:tc>
          <w:tcPr>
            <w:tcW w:type="dxa" w:w="737"/>
            <w:shd w:val="clear" w:color="auto" w:fill="F3F6FA"/>
          </w:tcPr>
          <w:p>
            <w:pPr>
              <w:spacing w:after="40" w:line="264" w:lineRule="auto"/>
            </w:pPr>
            <w:r/>
            <w:r>
              <w:rPr>
                <w:sz w:val="17"/>
              </w:rPr>
              <w:t>핵심</w:t>
            </w:r>
          </w:p>
        </w:tc>
        <w:tc>
          <w:tcPr>
            <w:tcW w:type="dxa" w:w="794"/>
            <w:shd w:val="clear" w:color="auto" w:fill="F3F6FA"/>
          </w:tcPr>
          <w:p>
            <w:pPr>
              <w:spacing w:after="40" w:line="264" w:lineRule="auto"/>
            </w:pPr>
            <w:r/>
            <w:r>
              <w:rPr>
                <w:sz w:val="17"/>
              </w:rPr>
              <w:t>Plan</w:t>
            </w:r>
          </w:p>
        </w:tc>
        <w:tc>
          <w:tcPr>
            <w:tcW w:type="dxa" w:w="794"/>
            <w:shd w:val="clear" w:color="auto" w:fill="F3F6FA"/>
          </w:tcPr>
          <w:p>
            <w:pPr>
              <w:spacing w:after="40" w:line="264" w:lineRule="auto"/>
            </w:pPr>
            <w:r/>
            <w:r>
              <w:rPr>
                <w:sz w:val="17"/>
              </w:rPr>
              <w:t>74%</w:t>
            </w:r>
          </w:p>
        </w:tc>
        <w:tc>
          <w:tcPr>
            <w:tcW w:type="dxa" w:w="1701"/>
            <w:shd w:val="clear" w:color="auto" w:fill="F3F6FA"/>
          </w:tcPr>
          <w:p>
            <w:pPr>
              <w:spacing w:after="40" w:line="264" w:lineRule="auto"/>
            </w:pPr>
            <w:r/>
            <w:r>
              <w:rPr>
                <w:sz w:val="17"/>
              </w:rPr>
              <w:t>범주 2 (토론)</w:t>
            </w:r>
          </w:p>
        </w:tc>
      </w:tr>
      <w:tr>
        <w:tc>
          <w:tcPr>
            <w:tcW w:type="dxa" w:w="737"/>
          </w:tcPr>
          <w:p>
            <w:pPr>
              <w:spacing w:after="40" w:line="264" w:lineRule="auto"/>
            </w:pPr>
            <w:r/>
            <w:r>
              <w:rPr>
                <w:sz w:val="17"/>
              </w:rPr>
              <w:t>PLAN</w:t>
            </w:r>
          </w:p>
        </w:tc>
        <w:tc>
          <w:tcPr>
            <w:tcW w:type="dxa" w:w="1701"/>
          </w:tcPr>
          <w:p>
            <w:pPr>
              <w:spacing w:after="40" w:line="264" w:lineRule="auto"/>
            </w:pPr>
            <w:r/>
            <w:r>
              <w:rPr>
                <w:sz w:val="17"/>
              </w:rPr>
              <w:t>BC 계획·절차 개발</w:t>
            </w:r>
          </w:p>
        </w:tc>
        <w:tc>
          <w:tcPr>
            <w:tcW w:type="dxa" w:w="2948"/>
          </w:tcPr>
          <w:p>
            <w:pPr>
              <w:spacing w:after="40" w:line="264" w:lineRule="auto"/>
            </w:pPr>
            <w:r/>
            <w:r>
              <w:rPr>
                <w:sz w:val="17"/>
              </w:rPr>
              <w:t>Process of developing BC plans and procedures</w:t>
            </w:r>
          </w:p>
        </w:tc>
        <w:tc>
          <w:tcPr>
            <w:tcW w:type="dxa" w:w="737"/>
          </w:tcPr>
          <w:p>
            <w:pPr>
              <w:spacing w:after="40" w:line="264" w:lineRule="auto"/>
            </w:pPr>
            <w:r/>
            <w:r>
              <w:rPr>
                <w:sz w:val="17"/>
              </w:rPr>
              <w:t>핵심</w:t>
            </w:r>
          </w:p>
        </w:tc>
        <w:tc>
          <w:tcPr>
            <w:tcW w:type="dxa" w:w="794"/>
          </w:tcPr>
          <w:p>
            <w:pPr>
              <w:spacing w:after="40" w:line="264" w:lineRule="auto"/>
            </w:pPr>
            <w:r/>
            <w:r>
              <w:rPr>
                <w:sz w:val="17"/>
              </w:rPr>
              <w:t>Plan</w:t>
            </w:r>
          </w:p>
        </w:tc>
        <w:tc>
          <w:tcPr>
            <w:tcW w:type="dxa" w:w="794"/>
          </w:tcPr>
          <w:p>
            <w:pPr>
              <w:spacing w:after="40" w:line="264" w:lineRule="auto"/>
            </w:pPr>
            <w:r/>
            <w:r>
              <w:rPr>
                <w:sz w:val="17"/>
              </w:rPr>
              <w:t>69%</w:t>
            </w:r>
          </w:p>
        </w:tc>
        <w:tc>
          <w:tcPr>
            <w:tcW w:type="dxa" w:w="1701"/>
          </w:tcPr>
          <w:p>
            <w:pPr>
              <w:spacing w:after="40" w:line="264" w:lineRule="auto"/>
            </w:pPr>
            <w:r/>
            <w:r>
              <w:rPr>
                <w:sz w:val="17"/>
              </w:rPr>
              <w:t>범주 2 (토론)</w:t>
            </w:r>
          </w:p>
        </w:tc>
      </w:tr>
      <w:tr>
        <w:tc>
          <w:tcPr>
            <w:tcW w:type="dxa" w:w="737"/>
            <w:shd w:val="clear" w:color="auto" w:fill="F3F6FA"/>
          </w:tcPr>
          <w:p>
            <w:pPr>
              <w:spacing w:after="40" w:line="264" w:lineRule="auto"/>
            </w:pPr>
            <w:r/>
            <w:r>
              <w:rPr>
                <w:sz w:val="17"/>
              </w:rPr>
              <w:t>IMP</w:t>
            </w:r>
          </w:p>
        </w:tc>
        <w:tc>
          <w:tcPr>
            <w:tcW w:type="dxa" w:w="1701"/>
            <w:shd w:val="clear" w:color="auto" w:fill="F3F6FA"/>
          </w:tcPr>
          <w:p>
            <w:pPr>
              <w:spacing w:after="40" w:line="264" w:lineRule="auto"/>
            </w:pPr>
            <w:r/>
            <w:r>
              <w:rPr>
                <w:sz w:val="17"/>
              </w:rPr>
              <w:t>솔루션 이행관리</w:t>
            </w:r>
          </w:p>
        </w:tc>
        <w:tc>
          <w:tcPr>
            <w:tcW w:type="dxa" w:w="2948"/>
            <w:shd w:val="clear" w:color="auto" w:fill="F3F6FA"/>
          </w:tcPr>
          <w:p>
            <w:pPr>
              <w:spacing w:after="40" w:line="264" w:lineRule="auto"/>
            </w:pPr>
            <w:r/>
            <w:r>
              <w:rPr>
                <w:sz w:val="17"/>
              </w:rPr>
              <w:t>Solution implementation management process</w:t>
            </w:r>
          </w:p>
        </w:tc>
        <w:tc>
          <w:tcPr>
            <w:tcW w:type="dxa" w:w="737"/>
            <w:shd w:val="clear" w:color="auto" w:fill="F3F6FA"/>
          </w:tcPr>
          <w:p>
            <w:pPr>
              <w:spacing w:after="40" w:line="264" w:lineRule="auto"/>
            </w:pPr>
            <w:r/>
            <w:r>
              <w:rPr>
                <w:sz w:val="17"/>
              </w:rPr>
              <w:t>핵심</w:t>
            </w:r>
          </w:p>
        </w:tc>
        <w:tc>
          <w:tcPr>
            <w:tcW w:type="dxa" w:w="794"/>
            <w:shd w:val="clear" w:color="auto" w:fill="F3F6FA"/>
          </w:tcPr>
          <w:p>
            <w:pPr>
              <w:spacing w:after="40" w:line="264" w:lineRule="auto"/>
            </w:pPr>
            <w:r/>
            <w:r>
              <w:rPr>
                <w:sz w:val="17"/>
              </w:rPr>
              <w:t>Do</w:t>
            </w:r>
          </w:p>
        </w:tc>
        <w:tc>
          <w:tcPr>
            <w:tcW w:type="dxa" w:w="794"/>
            <w:shd w:val="clear" w:color="auto" w:fill="F3F6FA"/>
          </w:tcPr>
          <w:p>
            <w:pPr>
              <w:spacing w:after="40" w:line="264" w:lineRule="auto"/>
            </w:pPr>
            <w:r/>
            <w:r>
              <w:rPr>
                <w:sz w:val="17"/>
              </w:rPr>
              <w:t>69%</w:t>
            </w:r>
          </w:p>
        </w:tc>
        <w:tc>
          <w:tcPr>
            <w:tcW w:type="dxa" w:w="1701"/>
            <w:shd w:val="clear" w:color="auto" w:fill="F3F6FA"/>
          </w:tcPr>
          <w:p>
            <w:pPr>
              <w:spacing w:after="40" w:line="264" w:lineRule="auto"/>
            </w:pPr>
            <w:r/>
            <w:r>
              <w:rPr>
                <w:sz w:val="17"/>
              </w:rPr>
              <w:t>범주 2 (토론)</w:t>
            </w:r>
          </w:p>
        </w:tc>
      </w:tr>
      <w:tr>
        <w:tc>
          <w:tcPr>
            <w:tcW w:type="dxa" w:w="737"/>
          </w:tcPr>
          <w:p>
            <w:pPr>
              <w:spacing w:after="40" w:line="264" w:lineRule="auto"/>
            </w:pPr>
            <w:r/>
            <w:r>
              <w:rPr>
                <w:sz w:val="17"/>
              </w:rPr>
              <w:t>INC</w:t>
            </w:r>
          </w:p>
        </w:tc>
        <w:tc>
          <w:tcPr>
            <w:tcW w:type="dxa" w:w="1701"/>
          </w:tcPr>
          <w:p>
            <w:pPr>
              <w:spacing w:after="40" w:line="264" w:lineRule="auto"/>
            </w:pPr>
            <w:r/>
            <w:r>
              <w:rPr>
                <w:sz w:val="17"/>
              </w:rPr>
              <w:t>사고·비상 대응</w:t>
            </w:r>
          </w:p>
        </w:tc>
        <w:tc>
          <w:tcPr>
            <w:tcW w:type="dxa" w:w="2948"/>
          </w:tcPr>
          <w:p>
            <w:pPr>
              <w:spacing w:after="40" w:line="264" w:lineRule="auto"/>
            </w:pPr>
            <w:r/>
            <w:r>
              <w:rPr>
                <w:sz w:val="17"/>
              </w:rPr>
              <w:t>Incident and emergency handling process</w:t>
            </w:r>
          </w:p>
        </w:tc>
        <w:tc>
          <w:tcPr>
            <w:tcW w:type="dxa" w:w="737"/>
          </w:tcPr>
          <w:p>
            <w:pPr>
              <w:spacing w:after="40" w:line="264" w:lineRule="auto"/>
            </w:pPr>
            <w:r/>
            <w:r>
              <w:rPr>
                <w:sz w:val="17"/>
              </w:rPr>
              <w:t>핵심</w:t>
            </w:r>
          </w:p>
        </w:tc>
        <w:tc>
          <w:tcPr>
            <w:tcW w:type="dxa" w:w="794"/>
          </w:tcPr>
          <w:p>
            <w:pPr>
              <w:spacing w:after="40" w:line="264" w:lineRule="auto"/>
            </w:pPr>
            <w:r/>
            <w:r>
              <w:rPr>
                <w:sz w:val="17"/>
              </w:rPr>
              <w:t>Do</w:t>
            </w:r>
          </w:p>
        </w:tc>
        <w:tc>
          <w:tcPr>
            <w:tcW w:type="dxa" w:w="794"/>
          </w:tcPr>
          <w:p>
            <w:pPr>
              <w:spacing w:after="40" w:line="264" w:lineRule="auto"/>
            </w:pPr>
            <w:r/>
            <w:r>
              <w:rPr>
                <w:sz w:val="17"/>
              </w:rPr>
              <w:t>100%</w:t>
            </w:r>
          </w:p>
        </w:tc>
        <w:tc>
          <w:tcPr>
            <w:tcW w:type="dxa" w:w="1701"/>
          </w:tcPr>
          <w:p>
            <w:pPr>
              <w:spacing w:after="40" w:line="264" w:lineRule="auto"/>
            </w:pPr>
            <w:r/>
            <w:r>
              <w:rPr>
                <w:sz w:val="17"/>
              </w:rPr>
              <w:t>범주 1 (채택)</w:t>
            </w:r>
          </w:p>
        </w:tc>
      </w:tr>
      <w:tr>
        <w:tc>
          <w:tcPr>
            <w:tcW w:type="dxa" w:w="737"/>
            <w:shd w:val="clear" w:color="auto" w:fill="F3F6FA"/>
          </w:tcPr>
          <w:p>
            <w:pPr>
              <w:spacing w:after="40" w:line="264" w:lineRule="auto"/>
            </w:pPr>
            <w:r/>
            <w:r>
              <w:rPr>
                <w:sz w:val="17"/>
              </w:rPr>
              <w:t>EXE</w:t>
            </w:r>
          </w:p>
        </w:tc>
        <w:tc>
          <w:tcPr>
            <w:tcW w:type="dxa" w:w="1701"/>
            <w:shd w:val="clear" w:color="auto" w:fill="F3F6FA"/>
          </w:tcPr>
          <w:p>
            <w:pPr>
              <w:spacing w:after="40" w:line="264" w:lineRule="auto"/>
            </w:pPr>
            <w:r/>
            <w:r>
              <w:rPr>
                <w:sz w:val="17"/>
              </w:rPr>
              <w:t>BC 계획·절차 훈련·연습</w:t>
            </w:r>
          </w:p>
        </w:tc>
        <w:tc>
          <w:tcPr>
            <w:tcW w:type="dxa" w:w="2948"/>
            <w:shd w:val="clear" w:color="auto" w:fill="F3F6FA"/>
          </w:tcPr>
          <w:p>
            <w:pPr>
              <w:spacing w:after="40" w:line="264" w:lineRule="auto"/>
            </w:pPr>
            <w:r/>
            <w:r>
              <w:rPr>
                <w:sz w:val="17"/>
              </w:rPr>
              <w:t>Process of exercising BC plans and procedures</w:t>
            </w:r>
          </w:p>
        </w:tc>
        <w:tc>
          <w:tcPr>
            <w:tcW w:type="dxa" w:w="737"/>
            <w:shd w:val="clear" w:color="auto" w:fill="F3F6FA"/>
          </w:tcPr>
          <w:p>
            <w:pPr>
              <w:spacing w:after="40" w:line="264" w:lineRule="auto"/>
            </w:pPr>
            <w:r/>
            <w:r>
              <w:rPr>
                <w:sz w:val="17"/>
              </w:rPr>
              <w:t>핵심</w:t>
            </w:r>
          </w:p>
        </w:tc>
        <w:tc>
          <w:tcPr>
            <w:tcW w:type="dxa" w:w="794"/>
            <w:shd w:val="clear" w:color="auto" w:fill="F3F6FA"/>
          </w:tcPr>
          <w:p>
            <w:pPr>
              <w:spacing w:after="40" w:line="264" w:lineRule="auto"/>
            </w:pPr>
            <w:r/>
            <w:r>
              <w:rPr>
                <w:sz w:val="17"/>
              </w:rPr>
              <w:t>Do</w:t>
            </w:r>
          </w:p>
        </w:tc>
        <w:tc>
          <w:tcPr>
            <w:tcW w:type="dxa" w:w="794"/>
            <w:shd w:val="clear" w:color="auto" w:fill="F3F6FA"/>
          </w:tcPr>
          <w:p>
            <w:pPr>
              <w:spacing w:after="40" w:line="264" w:lineRule="auto"/>
            </w:pPr>
            <w:r/>
            <w:r>
              <w:rPr>
                <w:sz w:val="17"/>
              </w:rPr>
              <w:t>100%</w:t>
            </w:r>
          </w:p>
        </w:tc>
        <w:tc>
          <w:tcPr>
            <w:tcW w:type="dxa" w:w="1701"/>
            <w:shd w:val="clear" w:color="auto" w:fill="F3F6FA"/>
          </w:tcPr>
          <w:p>
            <w:pPr>
              <w:spacing w:after="40" w:line="264" w:lineRule="auto"/>
            </w:pPr>
            <w:r/>
            <w:r>
              <w:rPr>
                <w:sz w:val="17"/>
              </w:rPr>
              <w:t>범주 1 (채택)</w:t>
            </w:r>
          </w:p>
        </w:tc>
      </w:tr>
      <w:tr>
        <w:tc>
          <w:tcPr>
            <w:tcW w:type="dxa" w:w="737"/>
          </w:tcPr>
          <w:p>
            <w:pPr>
              <w:spacing w:after="40" w:line="264" w:lineRule="auto"/>
            </w:pPr>
            <w:r/>
            <w:r>
              <w:rPr>
                <w:sz w:val="17"/>
              </w:rPr>
              <w:t>AWR</w:t>
            </w:r>
          </w:p>
        </w:tc>
        <w:tc>
          <w:tcPr>
            <w:tcW w:type="dxa" w:w="1701"/>
          </w:tcPr>
          <w:p>
            <w:pPr>
              <w:spacing w:after="40" w:line="264" w:lineRule="auto"/>
            </w:pPr>
            <w:r/>
            <w:r>
              <w:rPr>
                <w:sz w:val="17"/>
              </w:rPr>
              <w:t>인식·역량·교육</w:t>
            </w:r>
          </w:p>
        </w:tc>
        <w:tc>
          <w:tcPr>
            <w:tcW w:type="dxa" w:w="2948"/>
          </w:tcPr>
          <w:p>
            <w:pPr>
              <w:spacing w:after="40" w:line="264" w:lineRule="auto"/>
            </w:pPr>
            <w:r/>
            <w:r>
              <w:rPr>
                <w:sz w:val="17"/>
              </w:rPr>
              <w:t>Awareness, competence, and training process</w:t>
            </w:r>
          </w:p>
        </w:tc>
        <w:tc>
          <w:tcPr>
            <w:tcW w:type="dxa" w:w="737"/>
          </w:tcPr>
          <w:p>
            <w:pPr>
              <w:spacing w:after="40" w:line="264" w:lineRule="auto"/>
            </w:pPr>
            <w:r/>
            <w:r>
              <w:rPr>
                <w:sz w:val="17"/>
              </w:rPr>
              <w:t>핵심</w:t>
            </w:r>
          </w:p>
        </w:tc>
        <w:tc>
          <w:tcPr>
            <w:tcW w:type="dxa" w:w="794"/>
          </w:tcPr>
          <w:p>
            <w:pPr>
              <w:spacing w:after="40" w:line="264" w:lineRule="auto"/>
            </w:pPr>
            <w:r/>
            <w:r>
              <w:rPr>
                <w:sz w:val="17"/>
              </w:rPr>
              <w:t>Do</w:t>
            </w:r>
          </w:p>
        </w:tc>
        <w:tc>
          <w:tcPr>
            <w:tcW w:type="dxa" w:w="794"/>
          </w:tcPr>
          <w:p>
            <w:pPr>
              <w:spacing w:after="40" w:line="264" w:lineRule="auto"/>
            </w:pPr>
            <w:r/>
            <w:r>
              <w:rPr>
                <w:sz w:val="17"/>
              </w:rPr>
              <w:t>95%</w:t>
            </w:r>
          </w:p>
        </w:tc>
        <w:tc>
          <w:tcPr>
            <w:tcW w:type="dxa" w:w="1701"/>
          </w:tcPr>
          <w:p>
            <w:pPr>
              <w:spacing w:after="40" w:line="264" w:lineRule="auto"/>
            </w:pPr>
            <w:r/>
            <w:r>
              <w:rPr>
                <w:sz w:val="17"/>
              </w:rPr>
              <w:t>범주 1 (채택)</w:t>
            </w:r>
          </w:p>
        </w:tc>
      </w:tr>
      <w:tr>
        <w:tc>
          <w:tcPr>
            <w:tcW w:type="dxa" w:w="737"/>
            <w:shd w:val="clear" w:color="auto" w:fill="F3F6FA"/>
          </w:tcPr>
          <w:p>
            <w:pPr>
              <w:spacing w:after="40" w:line="264" w:lineRule="auto"/>
            </w:pPr>
            <w:r/>
            <w:r>
              <w:rPr>
                <w:sz w:val="17"/>
              </w:rPr>
              <w:t>SUP</w:t>
            </w:r>
          </w:p>
        </w:tc>
        <w:tc>
          <w:tcPr>
            <w:tcW w:type="dxa" w:w="1701"/>
            <w:shd w:val="clear" w:color="auto" w:fill="F3F6FA"/>
          </w:tcPr>
          <w:p>
            <w:pPr>
              <w:spacing w:after="40" w:line="264" w:lineRule="auto"/>
            </w:pPr>
            <w:r/>
            <w:r>
              <w:rPr>
                <w:sz w:val="17"/>
              </w:rPr>
              <w:t>공급망관리</w:t>
            </w:r>
          </w:p>
        </w:tc>
        <w:tc>
          <w:tcPr>
            <w:tcW w:type="dxa" w:w="2948"/>
            <w:shd w:val="clear" w:color="auto" w:fill="F3F6FA"/>
          </w:tcPr>
          <w:p>
            <w:pPr>
              <w:spacing w:after="40" w:line="264" w:lineRule="auto"/>
            </w:pPr>
            <w:r/>
            <w:r>
              <w:rPr>
                <w:sz w:val="17"/>
              </w:rPr>
              <w:t>Supply chain management process</w:t>
            </w:r>
          </w:p>
        </w:tc>
        <w:tc>
          <w:tcPr>
            <w:tcW w:type="dxa" w:w="737"/>
            <w:shd w:val="clear" w:color="auto" w:fill="F3F6FA"/>
          </w:tcPr>
          <w:p>
            <w:pPr>
              <w:spacing w:after="40" w:line="264" w:lineRule="auto"/>
            </w:pPr>
            <w:r/>
            <w:r>
              <w:rPr>
                <w:sz w:val="17"/>
              </w:rPr>
              <w:t>핵심</w:t>
            </w:r>
          </w:p>
        </w:tc>
        <w:tc>
          <w:tcPr>
            <w:tcW w:type="dxa" w:w="794"/>
            <w:shd w:val="clear" w:color="auto" w:fill="F3F6FA"/>
          </w:tcPr>
          <w:p>
            <w:pPr>
              <w:spacing w:after="40" w:line="264" w:lineRule="auto"/>
            </w:pPr>
            <w:r/>
            <w:r>
              <w:rPr>
                <w:sz w:val="17"/>
              </w:rPr>
              <w:t>Do</w:t>
            </w:r>
          </w:p>
        </w:tc>
        <w:tc>
          <w:tcPr>
            <w:tcW w:type="dxa" w:w="794"/>
            <w:shd w:val="clear" w:color="auto" w:fill="F3F6FA"/>
          </w:tcPr>
          <w:p>
            <w:pPr>
              <w:spacing w:after="40" w:line="264" w:lineRule="auto"/>
            </w:pPr>
            <w:r/>
            <w:r>
              <w:rPr>
                <w:sz w:val="17"/>
              </w:rPr>
              <w:t>90%</w:t>
            </w:r>
          </w:p>
        </w:tc>
        <w:tc>
          <w:tcPr>
            <w:tcW w:type="dxa" w:w="1701"/>
            <w:shd w:val="clear" w:color="auto" w:fill="F3F6FA"/>
          </w:tcPr>
          <w:p>
            <w:pPr>
              <w:spacing w:after="40" w:line="264" w:lineRule="auto"/>
            </w:pPr>
            <w:r/>
            <w:r>
              <w:rPr>
                <w:sz w:val="17"/>
              </w:rPr>
              <w:t>범주 1 (채택)</w:t>
            </w:r>
          </w:p>
        </w:tc>
      </w:tr>
      <w:tr>
        <w:tc>
          <w:tcPr>
            <w:tcW w:type="dxa" w:w="737"/>
          </w:tcPr>
          <w:p>
            <w:pPr>
              <w:spacing w:after="40" w:line="264" w:lineRule="auto"/>
            </w:pPr>
            <w:r/>
            <w:r>
              <w:rPr>
                <w:sz w:val="17"/>
              </w:rPr>
              <w:t>AUD</w:t>
            </w:r>
          </w:p>
        </w:tc>
        <w:tc>
          <w:tcPr>
            <w:tcW w:type="dxa" w:w="1701"/>
          </w:tcPr>
          <w:p>
            <w:pPr>
              <w:spacing w:after="40" w:line="264" w:lineRule="auto"/>
            </w:pPr>
            <w:r/>
            <w:r>
              <w:rPr>
                <w:sz w:val="17"/>
              </w:rPr>
              <w:t>내부감사</w:t>
            </w:r>
          </w:p>
        </w:tc>
        <w:tc>
          <w:tcPr>
            <w:tcW w:type="dxa" w:w="2948"/>
          </w:tcPr>
          <w:p>
            <w:pPr>
              <w:spacing w:after="40" w:line="264" w:lineRule="auto"/>
            </w:pPr>
            <w:r/>
            <w:r>
              <w:rPr>
                <w:sz w:val="17"/>
              </w:rPr>
              <w:t>Internal audit process</w:t>
            </w:r>
          </w:p>
        </w:tc>
        <w:tc>
          <w:tcPr>
            <w:tcW w:type="dxa" w:w="737"/>
          </w:tcPr>
          <w:p>
            <w:pPr>
              <w:spacing w:after="40" w:line="264" w:lineRule="auto"/>
            </w:pPr>
            <w:r/>
            <w:r>
              <w:rPr>
                <w:sz w:val="17"/>
              </w:rPr>
              <w:t>핵심</w:t>
            </w:r>
          </w:p>
        </w:tc>
        <w:tc>
          <w:tcPr>
            <w:tcW w:type="dxa" w:w="794"/>
          </w:tcPr>
          <w:p>
            <w:pPr>
              <w:spacing w:after="40" w:line="264" w:lineRule="auto"/>
            </w:pPr>
            <w:r/>
            <w:r>
              <w:rPr>
                <w:sz w:val="17"/>
              </w:rPr>
              <w:t>Check</w:t>
            </w:r>
          </w:p>
        </w:tc>
        <w:tc>
          <w:tcPr>
            <w:tcW w:type="dxa" w:w="794"/>
          </w:tcPr>
          <w:p>
            <w:pPr>
              <w:spacing w:after="40" w:line="264" w:lineRule="auto"/>
            </w:pPr>
            <w:r/>
            <w:r>
              <w:rPr>
                <w:sz w:val="17"/>
              </w:rPr>
              <w:t>97%</w:t>
            </w:r>
          </w:p>
        </w:tc>
        <w:tc>
          <w:tcPr>
            <w:tcW w:type="dxa" w:w="1701"/>
          </w:tcPr>
          <w:p>
            <w:pPr>
              <w:spacing w:after="40" w:line="264" w:lineRule="auto"/>
            </w:pPr>
            <w:r/>
            <w:r>
              <w:rPr>
                <w:sz w:val="17"/>
              </w:rPr>
              <w:t>범주 1 (채택)</w:t>
            </w:r>
          </w:p>
        </w:tc>
      </w:tr>
      <w:tr>
        <w:tc>
          <w:tcPr>
            <w:tcW w:type="dxa" w:w="737"/>
            <w:shd w:val="clear" w:color="auto" w:fill="F3F6FA"/>
          </w:tcPr>
          <w:p>
            <w:pPr>
              <w:spacing w:after="40" w:line="264" w:lineRule="auto"/>
            </w:pPr>
            <w:r/>
            <w:r>
              <w:rPr>
                <w:sz w:val="17"/>
              </w:rPr>
              <w:t>PERF</w:t>
            </w:r>
          </w:p>
        </w:tc>
        <w:tc>
          <w:tcPr>
            <w:tcW w:type="dxa" w:w="1701"/>
            <w:shd w:val="clear" w:color="auto" w:fill="F3F6FA"/>
          </w:tcPr>
          <w:p>
            <w:pPr>
              <w:spacing w:after="40" w:line="264" w:lineRule="auto"/>
            </w:pPr>
            <w:r/>
            <w:r>
              <w:rPr>
                <w:sz w:val="17"/>
              </w:rPr>
              <w:t>성과평가</w:t>
            </w:r>
          </w:p>
        </w:tc>
        <w:tc>
          <w:tcPr>
            <w:tcW w:type="dxa" w:w="2948"/>
            <w:shd w:val="clear" w:color="auto" w:fill="F3F6FA"/>
          </w:tcPr>
          <w:p>
            <w:pPr>
              <w:spacing w:after="40" w:line="264" w:lineRule="auto"/>
            </w:pPr>
            <w:r/>
            <w:r>
              <w:rPr>
                <w:sz w:val="17"/>
              </w:rPr>
              <w:t>Performance evaluation process</w:t>
            </w:r>
          </w:p>
        </w:tc>
        <w:tc>
          <w:tcPr>
            <w:tcW w:type="dxa" w:w="737"/>
            <w:shd w:val="clear" w:color="auto" w:fill="F3F6FA"/>
          </w:tcPr>
          <w:p>
            <w:pPr>
              <w:spacing w:after="40" w:line="264" w:lineRule="auto"/>
            </w:pPr>
            <w:r/>
            <w:r>
              <w:rPr>
                <w:sz w:val="17"/>
              </w:rPr>
              <w:t>핵심</w:t>
            </w:r>
          </w:p>
        </w:tc>
        <w:tc>
          <w:tcPr>
            <w:tcW w:type="dxa" w:w="794"/>
            <w:shd w:val="clear" w:color="auto" w:fill="F3F6FA"/>
          </w:tcPr>
          <w:p>
            <w:pPr>
              <w:spacing w:after="40" w:line="264" w:lineRule="auto"/>
            </w:pPr>
            <w:r/>
            <w:r>
              <w:rPr>
                <w:sz w:val="17"/>
              </w:rPr>
              <w:t>Check</w:t>
            </w:r>
          </w:p>
        </w:tc>
        <w:tc>
          <w:tcPr>
            <w:tcW w:type="dxa" w:w="794"/>
            <w:shd w:val="clear" w:color="auto" w:fill="F3F6FA"/>
          </w:tcPr>
          <w:p>
            <w:pPr>
              <w:spacing w:after="40" w:line="264" w:lineRule="auto"/>
            </w:pPr>
            <w:r/>
            <w:r>
              <w:rPr>
                <w:sz w:val="17"/>
              </w:rPr>
              <w:t>87%</w:t>
            </w:r>
          </w:p>
        </w:tc>
        <w:tc>
          <w:tcPr>
            <w:tcW w:type="dxa" w:w="1701"/>
            <w:shd w:val="clear" w:color="auto" w:fill="F3F6FA"/>
          </w:tcPr>
          <w:p>
            <w:pPr>
              <w:spacing w:after="40" w:line="264" w:lineRule="auto"/>
            </w:pPr>
            <w:r/>
            <w:r>
              <w:rPr>
                <w:sz w:val="17"/>
              </w:rPr>
              <w:t>범주 1 (채택)</w:t>
            </w:r>
          </w:p>
        </w:tc>
      </w:tr>
      <w:tr>
        <w:tc>
          <w:tcPr>
            <w:tcW w:type="dxa" w:w="737"/>
          </w:tcPr>
          <w:p>
            <w:pPr>
              <w:spacing w:after="40" w:line="264" w:lineRule="auto"/>
            </w:pPr>
            <w:r/>
            <w:r>
              <w:rPr>
                <w:sz w:val="17"/>
              </w:rPr>
              <w:t>CI</w:t>
            </w:r>
          </w:p>
        </w:tc>
        <w:tc>
          <w:tcPr>
            <w:tcW w:type="dxa" w:w="1701"/>
          </w:tcPr>
          <w:p>
            <w:pPr>
              <w:spacing w:after="40" w:line="264" w:lineRule="auto"/>
            </w:pPr>
            <w:r/>
            <w:r>
              <w:rPr>
                <w:sz w:val="17"/>
              </w:rPr>
              <w:t>지속적 개선</w:t>
            </w:r>
          </w:p>
        </w:tc>
        <w:tc>
          <w:tcPr>
            <w:tcW w:type="dxa" w:w="2948"/>
          </w:tcPr>
          <w:p>
            <w:pPr>
              <w:spacing w:after="40" w:line="264" w:lineRule="auto"/>
            </w:pPr>
            <w:r/>
            <w:r>
              <w:rPr>
                <w:sz w:val="17"/>
              </w:rPr>
              <w:t>Continual improvement process</w:t>
            </w:r>
          </w:p>
        </w:tc>
        <w:tc>
          <w:tcPr>
            <w:tcW w:type="dxa" w:w="737"/>
          </w:tcPr>
          <w:p>
            <w:pPr>
              <w:spacing w:after="40" w:line="264" w:lineRule="auto"/>
            </w:pPr>
            <w:r/>
            <w:r>
              <w:rPr>
                <w:sz w:val="17"/>
              </w:rPr>
              <w:t>핵심</w:t>
            </w:r>
          </w:p>
        </w:tc>
        <w:tc>
          <w:tcPr>
            <w:tcW w:type="dxa" w:w="794"/>
          </w:tcPr>
          <w:p>
            <w:pPr>
              <w:spacing w:after="40" w:line="264" w:lineRule="auto"/>
            </w:pPr>
            <w:r/>
            <w:r>
              <w:rPr>
                <w:sz w:val="17"/>
              </w:rPr>
              <w:t>Act</w:t>
            </w:r>
          </w:p>
        </w:tc>
        <w:tc>
          <w:tcPr>
            <w:tcW w:type="dxa" w:w="794"/>
          </w:tcPr>
          <w:p>
            <w:pPr>
              <w:spacing w:after="40" w:line="264" w:lineRule="auto"/>
            </w:pPr>
            <w:r/>
            <w:r>
              <w:rPr>
                <w:sz w:val="17"/>
              </w:rPr>
              <w:t>90%</w:t>
            </w:r>
          </w:p>
        </w:tc>
        <w:tc>
          <w:tcPr>
            <w:tcW w:type="dxa" w:w="1701"/>
          </w:tcPr>
          <w:p>
            <w:pPr>
              <w:spacing w:after="40" w:line="264" w:lineRule="auto"/>
            </w:pPr>
            <w:r/>
            <w:r>
              <w:rPr>
                <w:sz w:val="17"/>
              </w:rPr>
              <w:t>범주 1 (채택)</w:t>
            </w:r>
          </w:p>
        </w:tc>
      </w:tr>
      <w:tr>
        <w:tc>
          <w:tcPr>
            <w:tcW w:type="dxa" w:w="737"/>
            <w:shd w:val="clear" w:color="auto" w:fill="F3F6FA"/>
          </w:tcPr>
          <w:p>
            <w:pPr>
              <w:spacing w:after="40" w:line="264" w:lineRule="auto"/>
            </w:pPr>
            <w:r/>
            <w:r>
              <w:rPr>
                <w:sz w:val="17"/>
              </w:rPr>
              <w:t>CHG</w:t>
            </w:r>
          </w:p>
        </w:tc>
        <w:tc>
          <w:tcPr>
            <w:tcW w:type="dxa" w:w="1701"/>
            <w:shd w:val="clear" w:color="auto" w:fill="F3F6FA"/>
          </w:tcPr>
          <w:p>
            <w:pPr>
              <w:spacing w:after="40" w:line="264" w:lineRule="auto"/>
            </w:pPr>
            <w:r/>
            <w:r>
              <w:rPr>
                <w:sz w:val="17"/>
              </w:rPr>
              <w:t>BC 변경관리</w:t>
            </w:r>
          </w:p>
        </w:tc>
        <w:tc>
          <w:tcPr>
            <w:tcW w:type="dxa" w:w="2948"/>
            <w:shd w:val="clear" w:color="auto" w:fill="F3F6FA"/>
          </w:tcPr>
          <w:p>
            <w:pPr>
              <w:spacing w:after="40" w:line="264" w:lineRule="auto"/>
            </w:pPr>
            <w:r/>
            <w:r>
              <w:rPr>
                <w:sz w:val="17"/>
              </w:rPr>
              <w:t>Business continuity changes management process</w:t>
            </w:r>
          </w:p>
        </w:tc>
        <w:tc>
          <w:tcPr>
            <w:tcW w:type="dxa" w:w="737"/>
            <w:shd w:val="clear" w:color="auto" w:fill="F3F6FA"/>
          </w:tcPr>
          <w:p>
            <w:pPr>
              <w:spacing w:after="40" w:line="264" w:lineRule="auto"/>
            </w:pPr>
            <w:r/>
            <w:r>
              <w:rPr>
                <w:sz w:val="17"/>
              </w:rPr>
              <w:t>핵심</w:t>
            </w:r>
          </w:p>
        </w:tc>
        <w:tc>
          <w:tcPr>
            <w:tcW w:type="dxa" w:w="794"/>
            <w:shd w:val="clear" w:color="auto" w:fill="F3F6FA"/>
          </w:tcPr>
          <w:p>
            <w:pPr>
              <w:spacing w:after="40" w:line="264" w:lineRule="auto"/>
            </w:pPr>
            <w:r/>
            <w:r>
              <w:rPr>
                <w:sz w:val="17"/>
              </w:rPr>
              <w:t>Act</w:t>
            </w:r>
          </w:p>
        </w:tc>
        <w:tc>
          <w:tcPr>
            <w:tcW w:type="dxa" w:w="794"/>
            <w:shd w:val="clear" w:color="auto" w:fill="F3F6FA"/>
          </w:tcPr>
          <w:p>
            <w:pPr>
              <w:spacing w:after="40" w:line="264" w:lineRule="auto"/>
            </w:pPr>
            <w:r/>
            <w:r>
              <w:rPr>
                <w:sz w:val="17"/>
              </w:rPr>
              <w:t>95%</w:t>
            </w:r>
          </w:p>
        </w:tc>
        <w:tc>
          <w:tcPr>
            <w:tcW w:type="dxa" w:w="1701"/>
            <w:shd w:val="clear" w:color="auto" w:fill="F3F6FA"/>
          </w:tcPr>
          <w:p>
            <w:pPr>
              <w:spacing w:after="40" w:line="264" w:lineRule="auto"/>
            </w:pPr>
            <w:r/>
            <w:r>
              <w:rPr>
                <w:sz w:val="17"/>
              </w:rPr>
              <w:t>범주 1 (채택)</w:t>
            </w:r>
          </w:p>
        </w:tc>
      </w:tr>
      <w:tr>
        <w:tc>
          <w:tcPr>
            <w:tcW w:type="dxa" w:w="737"/>
          </w:tcPr>
          <w:p>
            <w:pPr>
              <w:spacing w:after="40" w:line="264" w:lineRule="auto"/>
            </w:pPr>
            <w:r/>
            <w:r>
              <w:rPr>
                <w:sz w:val="17"/>
              </w:rPr>
              <w:t>WARN</w:t>
            </w:r>
          </w:p>
        </w:tc>
        <w:tc>
          <w:tcPr>
            <w:tcW w:type="dxa" w:w="1701"/>
          </w:tcPr>
          <w:p>
            <w:pPr>
              <w:spacing w:after="40" w:line="264" w:lineRule="auto"/>
            </w:pPr>
            <w:r/>
            <w:r>
              <w:rPr>
                <w:sz w:val="17"/>
              </w:rPr>
              <w:t>경보·커뮤니케이션</w:t>
            </w:r>
          </w:p>
        </w:tc>
        <w:tc>
          <w:tcPr>
            <w:tcW w:type="dxa" w:w="2948"/>
          </w:tcPr>
          <w:p>
            <w:pPr>
              <w:spacing w:after="40" w:line="264" w:lineRule="auto"/>
            </w:pPr>
            <w:r/>
            <w:r>
              <w:rPr>
                <w:sz w:val="17"/>
              </w:rPr>
              <w:t>Warning and communication process</w:t>
            </w:r>
          </w:p>
        </w:tc>
        <w:tc>
          <w:tcPr>
            <w:tcW w:type="dxa" w:w="737"/>
          </w:tcPr>
          <w:p>
            <w:pPr>
              <w:spacing w:after="40" w:line="264" w:lineRule="auto"/>
            </w:pPr>
            <w:r/>
            <w:r>
              <w:rPr>
                <w:sz w:val="17"/>
              </w:rPr>
              <w:t>핵심</w:t>
            </w:r>
          </w:p>
        </w:tc>
        <w:tc>
          <w:tcPr>
            <w:tcW w:type="dxa" w:w="794"/>
          </w:tcPr>
          <w:p>
            <w:pPr>
              <w:spacing w:after="40" w:line="264" w:lineRule="auto"/>
            </w:pPr>
            <w:r/>
            <w:r>
              <w:rPr>
                <w:sz w:val="17"/>
              </w:rPr>
              <w:t>Act</w:t>
            </w:r>
          </w:p>
        </w:tc>
        <w:tc>
          <w:tcPr>
            <w:tcW w:type="dxa" w:w="794"/>
          </w:tcPr>
          <w:p>
            <w:pPr>
              <w:spacing w:after="40" w:line="264" w:lineRule="auto"/>
            </w:pPr>
            <w:r/>
            <w:r>
              <w:rPr>
                <w:sz w:val="17"/>
              </w:rPr>
              <w:t>92%</w:t>
            </w:r>
          </w:p>
        </w:tc>
        <w:tc>
          <w:tcPr>
            <w:tcW w:type="dxa" w:w="1701"/>
          </w:tcPr>
          <w:p>
            <w:pPr>
              <w:spacing w:after="40" w:line="264" w:lineRule="auto"/>
            </w:pPr>
            <w:r/>
            <w:r>
              <w:rPr>
                <w:sz w:val="17"/>
              </w:rPr>
              <w:t>범주 1 (채택)</w:t>
            </w:r>
          </w:p>
        </w:tc>
      </w:tr>
      <w:tr>
        <w:tc>
          <w:tcPr>
            <w:tcW w:type="dxa" w:w="737"/>
            <w:shd w:val="clear" w:color="auto" w:fill="F3F6FA"/>
          </w:tcPr>
          <w:p>
            <w:pPr>
              <w:spacing w:after="40" w:line="264" w:lineRule="auto"/>
            </w:pPr>
            <w:r/>
            <w:r>
              <w:rPr>
                <w:sz w:val="17"/>
              </w:rPr>
              <w:t>REC</w:t>
            </w:r>
          </w:p>
        </w:tc>
        <w:tc>
          <w:tcPr>
            <w:tcW w:type="dxa" w:w="1701"/>
            <w:shd w:val="clear" w:color="auto" w:fill="F3F6FA"/>
          </w:tcPr>
          <w:p>
            <w:pPr>
              <w:spacing w:after="40" w:line="264" w:lineRule="auto"/>
            </w:pPr>
            <w:r/>
            <w:r>
              <w:rPr>
                <w:sz w:val="17"/>
              </w:rPr>
              <w:t>복구</w:t>
            </w:r>
          </w:p>
        </w:tc>
        <w:tc>
          <w:tcPr>
            <w:tcW w:type="dxa" w:w="2948"/>
            <w:shd w:val="clear" w:color="auto" w:fill="F3F6FA"/>
          </w:tcPr>
          <w:p>
            <w:pPr>
              <w:spacing w:after="40" w:line="264" w:lineRule="auto"/>
            </w:pPr>
            <w:r/>
            <w:r>
              <w:rPr>
                <w:sz w:val="17"/>
              </w:rPr>
              <w:t>Recovery process</w:t>
            </w:r>
          </w:p>
        </w:tc>
        <w:tc>
          <w:tcPr>
            <w:tcW w:type="dxa" w:w="737"/>
            <w:shd w:val="clear" w:color="auto" w:fill="F3F6FA"/>
          </w:tcPr>
          <w:p>
            <w:pPr>
              <w:spacing w:after="40" w:line="264" w:lineRule="auto"/>
            </w:pPr>
            <w:r/>
            <w:r>
              <w:rPr>
                <w:sz w:val="17"/>
              </w:rPr>
              <w:t>핵심</w:t>
            </w:r>
          </w:p>
        </w:tc>
        <w:tc>
          <w:tcPr>
            <w:tcW w:type="dxa" w:w="794"/>
            <w:shd w:val="clear" w:color="auto" w:fill="F3F6FA"/>
          </w:tcPr>
          <w:p>
            <w:pPr>
              <w:spacing w:after="40" w:line="264" w:lineRule="auto"/>
            </w:pPr>
            <w:r/>
            <w:r>
              <w:rPr>
                <w:sz w:val="17"/>
              </w:rPr>
              <w:t>Act</w:t>
            </w:r>
          </w:p>
        </w:tc>
        <w:tc>
          <w:tcPr>
            <w:tcW w:type="dxa" w:w="794"/>
            <w:shd w:val="clear" w:color="auto" w:fill="F3F6FA"/>
          </w:tcPr>
          <w:p>
            <w:pPr>
              <w:spacing w:after="40" w:line="264" w:lineRule="auto"/>
            </w:pPr>
            <w:r/>
            <w:r>
              <w:rPr>
                <w:sz w:val="17"/>
              </w:rPr>
              <w:t>100%</w:t>
            </w:r>
          </w:p>
        </w:tc>
        <w:tc>
          <w:tcPr>
            <w:tcW w:type="dxa" w:w="1701"/>
            <w:shd w:val="clear" w:color="auto" w:fill="F3F6FA"/>
          </w:tcPr>
          <w:p>
            <w:pPr>
              <w:spacing w:after="40" w:line="264" w:lineRule="auto"/>
            </w:pPr>
            <w:r/>
            <w:r>
              <w:rPr>
                <w:sz w:val="17"/>
              </w:rPr>
              <w:t>범주 1 (채택)</w:t>
            </w:r>
          </w:p>
        </w:tc>
      </w:tr>
      <w:tr>
        <w:tc>
          <w:tcPr>
            <w:tcW w:type="dxa" w:w="737"/>
          </w:tcPr>
          <w:p>
            <w:pPr>
              <w:spacing w:after="40" w:line="264" w:lineRule="auto"/>
            </w:pPr>
            <w:r/>
            <w:r>
              <w:rPr>
                <w:sz w:val="17"/>
              </w:rPr>
              <w:t>DOC</w:t>
            </w:r>
          </w:p>
        </w:tc>
        <w:tc>
          <w:tcPr>
            <w:tcW w:type="dxa" w:w="1701"/>
          </w:tcPr>
          <w:p>
            <w:pPr>
              <w:spacing w:after="40" w:line="264" w:lineRule="auto"/>
            </w:pPr>
            <w:r/>
            <w:r>
              <w:rPr>
                <w:sz w:val="17"/>
              </w:rPr>
              <w:t>문서화된 정보 통제</w:t>
            </w:r>
          </w:p>
        </w:tc>
        <w:tc>
          <w:tcPr>
            <w:tcW w:type="dxa" w:w="2948"/>
          </w:tcPr>
          <w:p>
            <w:pPr>
              <w:spacing w:after="40" w:line="264" w:lineRule="auto"/>
            </w:pPr>
            <w:r/>
            <w:r>
              <w:rPr>
                <w:sz w:val="17"/>
              </w:rPr>
              <w:t>Process of controlling documented information</w:t>
            </w:r>
          </w:p>
        </w:tc>
        <w:tc>
          <w:tcPr>
            <w:tcW w:type="dxa" w:w="737"/>
          </w:tcPr>
          <w:p>
            <w:pPr>
              <w:spacing w:after="40" w:line="264" w:lineRule="auto"/>
            </w:pPr>
            <w:r/>
            <w:r>
              <w:rPr>
                <w:sz w:val="17"/>
              </w:rPr>
              <w:t>지원</w:t>
            </w:r>
          </w:p>
        </w:tc>
        <w:tc>
          <w:tcPr>
            <w:tcW w:type="dxa" w:w="794"/>
          </w:tcPr>
          <w:p>
            <w:pPr>
              <w:spacing w:after="40" w:line="264" w:lineRule="auto"/>
            </w:pPr>
            <w:r/>
            <w:r>
              <w:rPr>
                <w:sz w:val="17"/>
              </w:rPr>
              <w:t>-</w:t>
            </w:r>
          </w:p>
        </w:tc>
        <w:tc>
          <w:tcPr>
            <w:tcW w:type="dxa" w:w="794"/>
          </w:tcPr>
          <w:p>
            <w:pPr>
              <w:spacing w:after="40" w:line="264" w:lineRule="auto"/>
            </w:pPr>
            <w:r/>
            <w:r>
              <w:rPr>
                <w:sz w:val="17"/>
              </w:rPr>
              <w:t>97%</w:t>
            </w:r>
          </w:p>
        </w:tc>
        <w:tc>
          <w:tcPr>
            <w:tcW w:type="dxa" w:w="1701"/>
          </w:tcPr>
          <w:p>
            <w:pPr>
              <w:spacing w:after="40" w:line="264" w:lineRule="auto"/>
            </w:pPr>
            <w:r/>
            <w:r>
              <w:rPr>
                <w:sz w:val="17"/>
              </w:rPr>
              <w:t>범주 1 (채택)</w:t>
            </w:r>
          </w:p>
        </w:tc>
      </w:tr>
      <w:tr>
        <w:tc>
          <w:tcPr>
            <w:tcW w:type="dxa" w:w="737"/>
            <w:shd w:val="clear" w:color="auto" w:fill="F3F6FA"/>
          </w:tcPr>
          <w:p>
            <w:pPr>
              <w:spacing w:after="40" w:line="264" w:lineRule="auto"/>
            </w:pPr>
            <w:r/>
            <w:r>
              <w:rPr>
                <w:sz w:val="17"/>
              </w:rPr>
              <w:t>RES</w:t>
            </w:r>
          </w:p>
        </w:tc>
        <w:tc>
          <w:tcPr>
            <w:tcW w:type="dxa" w:w="1701"/>
            <w:shd w:val="clear" w:color="auto" w:fill="F3F6FA"/>
          </w:tcPr>
          <w:p>
            <w:pPr>
              <w:spacing w:after="40" w:line="264" w:lineRule="auto"/>
            </w:pPr>
            <w:r/>
            <w:r>
              <w:rPr>
                <w:sz w:val="17"/>
              </w:rPr>
              <w:t>자원관리</w:t>
            </w:r>
          </w:p>
        </w:tc>
        <w:tc>
          <w:tcPr>
            <w:tcW w:type="dxa" w:w="2948"/>
            <w:shd w:val="clear" w:color="auto" w:fill="F3F6FA"/>
          </w:tcPr>
          <w:p>
            <w:pPr>
              <w:spacing w:after="40" w:line="264" w:lineRule="auto"/>
            </w:pPr>
            <w:r/>
            <w:r>
              <w:rPr>
                <w:sz w:val="17"/>
              </w:rPr>
              <w:t>Resource management process</w:t>
            </w:r>
          </w:p>
        </w:tc>
        <w:tc>
          <w:tcPr>
            <w:tcW w:type="dxa" w:w="737"/>
            <w:shd w:val="clear" w:color="auto" w:fill="F3F6FA"/>
          </w:tcPr>
          <w:p>
            <w:pPr>
              <w:spacing w:after="40" w:line="264" w:lineRule="auto"/>
            </w:pPr>
            <w:r/>
            <w:r>
              <w:rPr>
                <w:sz w:val="17"/>
              </w:rPr>
              <w:t>지원</w:t>
            </w:r>
          </w:p>
        </w:tc>
        <w:tc>
          <w:tcPr>
            <w:tcW w:type="dxa" w:w="794"/>
            <w:shd w:val="clear" w:color="auto" w:fill="F3F6FA"/>
          </w:tcPr>
          <w:p>
            <w:pPr>
              <w:spacing w:after="40" w:line="264" w:lineRule="auto"/>
            </w:pPr>
            <w:r/>
            <w:r>
              <w:rPr>
                <w:sz w:val="17"/>
              </w:rPr>
              <w:t>-</w:t>
            </w:r>
          </w:p>
        </w:tc>
        <w:tc>
          <w:tcPr>
            <w:tcW w:type="dxa" w:w="794"/>
            <w:shd w:val="clear" w:color="auto" w:fill="F3F6FA"/>
          </w:tcPr>
          <w:p>
            <w:pPr>
              <w:spacing w:after="40" w:line="264" w:lineRule="auto"/>
            </w:pPr>
            <w:r/>
            <w:r>
              <w:rPr>
                <w:sz w:val="17"/>
              </w:rPr>
              <w:t>100%</w:t>
            </w:r>
          </w:p>
        </w:tc>
        <w:tc>
          <w:tcPr>
            <w:tcW w:type="dxa" w:w="1701"/>
            <w:shd w:val="clear" w:color="auto" w:fill="F3F6FA"/>
          </w:tcPr>
          <w:p>
            <w:pPr>
              <w:spacing w:after="40" w:line="264" w:lineRule="auto"/>
            </w:pPr>
            <w:r/>
            <w:r>
              <w:rPr>
                <w:sz w:val="17"/>
              </w:rPr>
              <w:t>범주 1 (채택)</w:t>
            </w:r>
          </w:p>
        </w:tc>
      </w:tr>
      <w:tr>
        <w:tc>
          <w:tcPr>
            <w:tcW w:type="dxa" w:w="737"/>
          </w:tcPr>
          <w:p>
            <w:pPr>
              <w:spacing w:after="40" w:line="264" w:lineRule="auto"/>
            </w:pPr>
            <w:r/>
            <w:r>
              <w:rPr>
                <w:sz w:val="17"/>
              </w:rPr>
              <w:t>COM</w:t>
            </w:r>
          </w:p>
        </w:tc>
        <w:tc>
          <w:tcPr>
            <w:tcW w:type="dxa" w:w="1701"/>
          </w:tcPr>
          <w:p>
            <w:pPr>
              <w:spacing w:after="40" w:line="264" w:lineRule="auto"/>
            </w:pPr>
            <w:r/>
            <w:r>
              <w:rPr>
                <w:sz w:val="17"/>
              </w:rPr>
              <w:t>협의·커뮤니케이션</w:t>
            </w:r>
          </w:p>
        </w:tc>
        <w:tc>
          <w:tcPr>
            <w:tcW w:type="dxa" w:w="2948"/>
          </w:tcPr>
          <w:p>
            <w:pPr>
              <w:spacing w:after="40" w:line="264" w:lineRule="auto"/>
            </w:pPr>
            <w:r/>
            <w:r>
              <w:rPr>
                <w:sz w:val="17"/>
              </w:rPr>
              <w:t>Consultation and communication process</w:t>
            </w:r>
          </w:p>
        </w:tc>
        <w:tc>
          <w:tcPr>
            <w:tcW w:type="dxa" w:w="737"/>
          </w:tcPr>
          <w:p>
            <w:pPr>
              <w:spacing w:after="40" w:line="264" w:lineRule="auto"/>
            </w:pPr>
            <w:r/>
            <w:r>
              <w:rPr>
                <w:sz w:val="17"/>
              </w:rPr>
              <w:t>지원</w:t>
            </w:r>
          </w:p>
        </w:tc>
        <w:tc>
          <w:tcPr>
            <w:tcW w:type="dxa" w:w="794"/>
          </w:tcPr>
          <w:p>
            <w:pPr>
              <w:spacing w:after="40" w:line="264" w:lineRule="auto"/>
            </w:pPr>
            <w:r/>
            <w:r>
              <w:rPr>
                <w:sz w:val="17"/>
              </w:rPr>
              <w:t>-</w:t>
            </w:r>
          </w:p>
        </w:tc>
        <w:tc>
          <w:tcPr>
            <w:tcW w:type="dxa" w:w="794"/>
          </w:tcPr>
          <w:p>
            <w:pPr>
              <w:spacing w:after="40" w:line="264" w:lineRule="auto"/>
            </w:pPr>
            <w:r/>
            <w:r>
              <w:rPr>
                <w:sz w:val="17"/>
              </w:rPr>
              <w:t>74%</w:t>
            </w:r>
          </w:p>
        </w:tc>
        <w:tc>
          <w:tcPr>
            <w:tcW w:type="dxa" w:w="1701"/>
          </w:tcPr>
          <w:p>
            <w:pPr>
              <w:spacing w:after="40" w:line="264" w:lineRule="auto"/>
            </w:pPr>
            <w:r/>
            <w:r>
              <w:rPr>
                <w:sz w:val="17"/>
              </w:rPr>
              <w:t>범주 2 (토론)</w:t>
            </w:r>
          </w:p>
        </w:tc>
      </w:tr>
      <w:tr>
        <w:tc>
          <w:tcPr>
            <w:tcW w:type="dxa" w:w="737"/>
            <w:shd w:val="clear" w:color="auto" w:fill="F3F6FA"/>
          </w:tcPr>
          <w:p>
            <w:pPr>
              <w:spacing w:after="40" w:line="264" w:lineRule="auto"/>
            </w:pPr>
            <w:r/>
            <w:r>
              <w:rPr>
                <w:sz w:val="17"/>
              </w:rPr>
              <w:t>CRM</w:t>
            </w:r>
          </w:p>
        </w:tc>
        <w:tc>
          <w:tcPr>
            <w:tcW w:type="dxa" w:w="1701"/>
            <w:shd w:val="clear" w:color="auto" w:fill="F3F6FA"/>
          </w:tcPr>
          <w:p>
            <w:pPr>
              <w:spacing w:after="40" w:line="264" w:lineRule="auto"/>
            </w:pPr>
            <w:r/>
            <w:r>
              <w:rPr>
                <w:sz w:val="17"/>
              </w:rPr>
              <w:t>고객관계관리</w:t>
            </w:r>
          </w:p>
        </w:tc>
        <w:tc>
          <w:tcPr>
            <w:tcW w:type="dxa" w:w="2948"/>
            <w:shd w:val="clear" w:color="auto" w:fill="F3F6FA"/>
          </w:tcPr>
          <w:p>
            <w:pPr>
              <w:spacing w:after="40" w:line="264" w:lineRule="auto"/>
            </w:pPr>
            <w:r/>
            <w:r>
              <w:rPr>
                <w:sz w:val="17"/>
              </w:rPr>
              <w:t>Customer relationship management process</w:t>
            </w:r>
          </w:p>
        </w:tc>
        <w:tc>
          <w:tcPr>
            <w:tcW w:type="dxa" w:w="737"/>
            <w:shd w:val="clear" w:color="auto" w:fill="F3F6FA"/>
          </w:tcPr>
          <w:p>
            <w:pPr>
              <w:spacing w:after="40" w:line="264" w:lineRule="auto"/>
            </w:pPr>
            <w:r/>
            <w:r>
              <w:rPr>
                <w:sz w:val="17"/>
              </w:rPr>
              <w:t>지원</w:t>
            </w:r>
          </w:p>
        </w:tc>
        <w:tc>
          <w:tcPr>
            <w:tcW w:type="dxa" w:w="794"/>
            <w:shd w:val="clear" w:color="auto" w:fill="F3F6FA"/>
          </w:tcPr>
          <w:p>
            <w:pPr>
              <w:spacing w:after="40" w:line="264" w:lineRule="auto"/>
            </w:pPr>
            <w:r/>
            <w:r>
              <w:rPr>
                <w:sz w:val="17"/>
              </w:rPr>
              <w:t>-</w:t>
            </w:r>
          </w:p>
        </w:tc>
        <w:tc>
          <w:tcPr>
            <w:tcW w:type="dxa" w:w="794"/>
            <w:shd w:val="clear" w:color="auto" w:fill="F3F6FA"/>
          </w:tcPr>
          <w:p>
            <w:pPr>
              <w:spacing w:after="40" w:line="264" w:lineRule="auto"/>
            </w:pPr>
            <w:r/>
            <w:r>
              <w:rPr>
                <w:sz w:val="17"/>
              </w:rPr>
              <w:t>3%</w:t>
            </w:r>
          </w:p>
        </w:tc>
        <w:tc>
          <w:tcPr>
            <w:tcW w:type="dxa" w:w="1701"/>
            <w:shd w:val="clear" w:color="auto" w:fill="F3F6FA"/>
          </w:tcPr>
          <w:p>
            <w:pPr>
              <w:spacing w:after="40" w:line="264" w:lineRule="auto"/>
            </w:pPr>
            <w:r/>
            <w:r>
              <w:rPr>
                <w:sz w:val="17"/>
              </w:rPr>
              <w:t>범주 3 (기각)</w:t>
            </w:r>
          </w:p>
        </w:tc>
      </w:tr>
    </w:tbl>
    <w:p>
      <w:pPr>
        <w:spacing w:after="40"/>
      </w:pPr>
    </w:p>
    <w:p>
      <w:r>
        <w:rPr>
          <w:b w:val="0"/>
          <w:i/>
          <w:color w:val="6B7A90"/>
          <w:sz w:val="18"/>
        </w:rPr>
        <w:t>출처: Arias-Aranda 외(2026) Table 5, PDF p.14(이름·지명률 22/22 원문 대조 일치); 지명률·분류 pp.11–13.</w:t>
      </w:r>
    </w:p>
    <w:p>
      <w:pPr>
        <w:pStyle w:val="Heading1"/>
      </w:pPr>
      <w:r>
        <w:t>4. 연결 찾기: 원문에서 관계로</w:t>
      </w:r>
    </w:p>
    <w:p>
      <w:pPr>
        <w:pStyle w:val="Heading2"/>
      </w:pPr>
      <w:r>
        <w:t>4.1 L06 한 건으로 보는 과정</w:t>
      </w:r>
    </w:p>
    <w:tbl>
      <w:tblPr>
        <w:tblStyle w:val="TableGrid"/>
        <w:tblW w:type="auto" w:w="0"/>
        <w:tblLayout w:type="fixed"/>
        <w:tblLook w:firstColumn="1" w:firstRow="1" w:lastColumn="0" w:lastRow="0" w:noHBand="0" w:noVBand="1" w:val="04A0"/>
      </w:tblPr>
      <w:tblGrid>
        <w:gridCol w:w="9411"/>
      </w:tblGrid>
      <w:tr>
        <w:tc>
          <w:tcPr>
            <w:tcW w:type="dxa" w:w="9411"/>
            <w:shd w:val="clear" w:color="auto" w:fill="EEF4FB"/>
          </w:tcPr>
          <w:p>
            <w:r>
              <w:rPr>
                <w:b/>
                <w:color w:val="2F6DB5"/>
                <w:sz w:val="19"/>
              </w:rPr>
              <w:t xml:space="preserve">원문 A14 · Arias §4.3 · PDF p.15  </w:t>
            </w:r>
            <w:r>
              <w:rPr>
                <w:sz w:val="20"/>
              </w:rPr>
              <w:t>“After the completion of the business impact assessment and criticality analysis process, the approved business continuity requirements guide the determination and selection of suitable BC strategies and solutions”</w:t>
              <w:br/>
              <w:t>참고 번역(연구자): BIA·중요도 분석 프로세스가 완료된 후, 승인된 업무연속성 요구사항이 적절한 BC 전략·솔루션의 결정과 선정을 안내한다.</w:t>
            </w:r>
          </w:p>
        </w:tc>
      </w:tr>
    </w:tbl>
    <w:p>
      <w:pPr>
        <w:spacing w:after="40"/>
      </w:pPr>
    </w:p>
    <w:tbl>
      <w:tblPr>
        <w:tblStyle w:val="TableGrid"/>
        <w:tblW w:type="auto" w:w="0"/>
        <w:tblLayout w:type="fixed"/>
        <w:tblLook w:firstColumn="1" w:firstRow="1" w:lastColumn="0" w:lastRow="0" w:noHBand="0" w:noVBand="1" w:val="04A0"/>
      </w:tblPr>
      <w:tblGrid>
        <w:gridCol w:w="9411"/>
      </w:tblGrid>
      <w:tr>
        <w:tc>
          <w:tcPr>
            <w:tcW w:type="dxa" w:w="9411"/>
            <w:shd w:val="clear" w:color="auto" w:fill="FEF3E6"/>
          </w:tcPr>
          <w:p>
            <w:r>
              <w:rPr>
                <w:b/>
                <w:color w:val="C86A10"/>
                <w:sz w:val="19"/>
              </w:rPr>
              <w:t xml:space="preserve">연구자 정규화  </w:t>
            </w:r>
            <w:r>
              <w:rPr>
                <w:sz w:val="20"/>
              </w:rPr>
              <w:t>“guide”를 “BIA의 산출물이 전략·솔루션 선정의 입력·기준이 된다(informs)”로 해석 → 관계 L06: BIA → STR, 의미 “근거가 된다”, 등급 E1, 운영 후보. 주의: 승인된 업무연속성 요구사항은 BIA 산출물이며 REQ의 법규·계약 요구사항과 구별한다.</w:t>
            </w:r>
          </w:p>
        </w:tc>
      </w:tr>
    </w:tbl>
    <w:p>
      <w:pPr>
        <w:spacing w:after="40"/>
      </w:pPr>
    </w:p>
    <w:p>
      <w:pPr>
        <w:pStyle w:val="Heading2"/>
      </w:pPr>
      <w:r>
        <w:t>4.2 31개 기록의 분류와 등급</w:t>
      </w:r>
    </w:p>
    <w:tbl>
      <w:tblPr>
        <w:tblStyle w:val="TableGrid"/>
        <w:tblW w:type="auto" w:w="0"/>
        <w:jc w:val="center"/>
        <w:tblLayout w:type="fixed"/>
        <w:tblLook w:firstColumn="1" w:firstRow="1" w:lastColumn="0" w:lastRow="0" w:noHBand="0" w:noVBand="1" w:val="04A0"/>
      </w:tblPr>
      <w:tblGrid>
        <w:gridCol w:w="2835"/>
        <w:gridCol w:w="907"/>
        <w:gridCol w:w="5669"/>
      </w:tblGrid>
      <w:tr>
        <w:trPr>
          <w:tblHeader w:val="true"/>
        </w:trPr>
        <w:tc>
          <w:tcPr>
            <w:tcW w:type="dxa" w:w="2835"/>
            <w:shd w:val="clear" w:color="auto" w:fill="14213D"/>
          </w:tcPr>
          <w:p>
            <w:pPr>
              <w:spacing w:after="40" w:line="264" w:lineRule="auto"/>
            </w:pPr>
            <w:r/>
            <w:r>
              <w:rPr>
                <w:b/>
                <w:color w:val="FFFFFF"/>
                <w:sz w:val="20"/>
              </w:rPr>
              <w:t>분류</w:t>
            </w:r>
          </w:p>
        </w:tc>
        <w:tc>
          <w:tcPr>
            <w:tcW w:type="dxa" w:w="907"/>
            <w:shd w:val="clear" w:color="auto" w:fill="14213D"/>
          </w:tcPr>
          <w:p>
            <w:pPr>
              <w:spacing w:after="40" w:line="264" w:lineRule="auto"/>
            </w:pPr>
            <w:r/>
            <w:r>
              <w:rPr>
                <w:b/>
                <w:color w:val="FFFFFF"/>
                <w:sz w:val="20"/>
              </w:rPr>
              <w:t>수</w:t>
            </w:r>
          </w:p>
        </w:tc>
        <w:tc>
          <w:tcPr>
            <w:tcW w:type="dxa" w:w="5669"/>
            <w:shd w:val="clear" w:color="auto" w:fill="14213D"/>
          </w:tcPr>
          <w:p>
            <w:pPr>
              <w:spacing w:after="40" w:line="264" w:lineRule="auto"/>
            </w:pPr>
            <w:r/>
            <w:r>
              <w:rPr>
                <w:b/>
                <w:color w:val="FFFFFF"/>
                <w:sz w:val="20"/>
              </w:rPr>
              <w:t>처리</w:t>
            </w:r>
          </w:p>
        </w:tc>
      </w:tr>
      <w:tr>
        <w:tc>
          <w:tcPr>
            <w:tcW w:type="dxa" w:w="2835"/>
          </w:tcPr>
          <w:p>
            <w:pPr>
              <w:spacing w:after="40" w:line="264" w:lineRule="auto"/>
            </w:pPr>
            <w:r/>
            <w:r>
              <w:rPr>
                <w:sz w:val="20"/>
              </w:rPr>
              <w:t>운영 후보</w:t>
            </w:r>
          </w:p>
        </w:tc>
        <w:tc>
          <w:tcPr>
            <w:tcW w:type="dxa" w:w="907"/>
          </w:tcPr>
          <w:p>
            <w:pPr>
              <w:spacing w:after="40" w:line="264" w:lineRule="auto"/>
            </w:pPr>
            <w:r/>
            <w:r>
              <w:rPr>
                <w:sz w:val="20"/>
              </w:rPr>
              <w:t>24</w:t>
            </w:r>
          </w:p>
        </w:tc>
        <w:tc>
          <w:tcPr>
            <w:tcW w:type="dxa" w:w="5669"/>
          </w:tcPr>
          <w:p>
            <w:pPr>
              <w:spacing w:after="40" w:line="264" w:lineRule="auto"/>
            </w:pPr>
            <w:r/>
            <w:r>
              <w:rPr>
                <w:sz w:val="20"/>
              </w:rPr>
              <w:t>산출물·사용 목적·품질 개념 적합성 검토</w:t>
            </w:r>
          </w:p>
        </w:tc>
      </w:tr>
      <w:tr>
        <w:tc>
          <w:tcPr>
            <w:tcW w:type="dxa" w:w="2835"/>
            <w:shd w:val="clear" w:color="auto" w:fill="F3F6FA"/>
          </w:tcPr>
          <w:p>
            <w:pPr>
              <w:spacing w:after="40" w:line="264" w:lineRule="auto"/>
            </w:pPr>
            <w:r/>
            <w:r>
              <w:rPr>
                <w:sz w:val="20"/>
              </w:rPr>
              <w:t>위계 표시 L13·L14</w:t>
            </w:r>
          </w:p>
        </w:tc>
        <w:tc>
          <w:tcPr>
            <w:tcW w:type="dxa" w:w="907"/>
            <w:shd w:val="clear" w:color="auto" w:fill="F3F6FA"/>
          </w:tcPr>
          <w:p>
            <w:pPr>
              <w:spacing w:after="40" w:line="264" w:lineRule="auto"/>
            </w:pPr>
            <w:r/>
            <w:r>
              <w:rPr>
                <w:sz w:val="20"/>
              </w:rPr>
              <w:t>2</w:t>
            </w:r>
          </w:p>
        </w:tc>
        <w:tc>
          <w:tcPr>
            <w:tcW w:type="dxa" w:w="5669"/>
            <w:shd w:val="clear" w:color="auto" w:fill="F3F6FA"/>
          </w:tcPr>
          <w:p>
            <w:pPr>
              <w:spacing w:after="40" w:line="264" w:lineRule="auto"/>
            </w:pPr>
            <w:r/>
            <w:r>
              <w:rPr>
                <w:sz w:val="20"/>
              </w:rPr>
              <w:t>위계만 표시, 운영 전달 품질 문항 제외</w:t>
            </w:r>
          </w:p>
        </w:tc>
      </w:tr>
      <w:tr>
        <w:tc>
          <w:tcPr>
            <w:tcW w:type="dxa" w:w="2835"/>
          </w:tcPr>
          <w:p>
            <w:pPr>
              <w:spacing w:after="40" w:line="264" w:lineRule="auto"/>
            </w:pPr>
            <w:r/>
            <w:r>
              <w:rPr>
                <w:sz w:val="20"/>
              </w:rPr>
              <w:t>집단 진술 L27·L30</w:t>
            </w:r>
          </w:p>
        </w:tc>
        <w:tc>
          <w:tcPr>
            <w:tcW w:type="dxa" w:w="907"/>
          </w:tcPr>
          <w:p>
            <w:pPr>
              <w:spacing w:after="40" w:line="264" w:lineRule="auto"/>
            </w:pPr>
            <w:r/>
            <w:r>
              <w:rPr>
                <w:sz w:val="20"/>
              </w:rPr>
              <w:t>2</w:t>
            </w:r>
          </w:p>
        </w:tc>
        <w:tc>
          <w:tcPr>
            <w:tcW w:type="dxa" w:w="5669"/>
          </w:tcPr>
          <w:p>
            <w:pPr>
              <w:spacing w:after="40" w:line="264" w:lineRule="auto"/>
            </w:pPr>
            <w:r/>
            <w:r>
              <w:rPr>
                <w:sz w:val="20"/>
              </w:rPr>
              <w:t>주석 보존, CORE는 23번째 객체가 아님</w:t>
            </w:r>
          </w:p>
        </w:tc>
      </w:tr>
      <w:tr>
        <w:tc>
          <w:tcPr>
            <w:tcW w:type="dxa" w:w="2835"/>
            <w:shd w:val="clear" w:color="auto" w:fill="F3F6FA"/>
          </w:tcPr>
          <w:p>
            <w:pPr>
              <w:spacing w:after="40" w:line="264" w:lineRule="auto"/>
            </w:pPr>
            <w:r/>
            <w:r>
              <w:rPr>
                <w:sz w:val="20"/>
              </w:rPr>
              <w:t>근거 보류 L11·L17·L29</w:t>
            </w:r>
          </w:p>
        </w:tc>
        <w:tc>
          <w:tcPr>
            <w:tcW w:type="dxa" w:w="907"/>
            <w:shd w:val="clear" w:color="auto" w:fill="F3F6FA"/>
          </w:tcPr>
          <w:p>
            <w:pPr>
              <w:spacing w:after="40" w:line="264" w:lineRule="auto"/>
            </w:pPr>
            <w:r/>
            <w:r>
              <w:rPr>
                <w:sz w:val="20"/>
              </w:rPr>
              <w:t>3</w:t>
            </w:r>
          </w:p>
        </w:tc>
        <w:tc>
          <w:tcPr>
            <w:tcW w:type="dxa" w:w="5669"/>
            <w:shd w:val="clear" w:color="auto" w:fill="F3F6FA"/>
          </w:tcPr>
          <w:p>
            <w:pPr>
              <w:spacing w:after="40" w:line="264" w:lineRule="auto"/>
            </w:pPr>
            <w:r/>
            <w:r>
              <w:rPr>
                <w:sz w:val="20"/>
              </w:rPr>
              <w:t>추가 근거 전 문항 심사·투입 보류</w:t>
            </w:r>
          </w:p>
        </w:tc>
      </w:tr>
    </w:tbl>
    <w:p>
      <w:pPr>
        <w:spacing w:after="40"/>
      </w:pPr>
    </w:p>
    <w:tbl>
      <w:tblPr>
        <w:tblStyle w:val="TableGrid"/>
        <w:tblW w:type="auto" w:w="0"/>
        <w:jc w:val="center"/>
        <w:tblLayout w:type="fixed"/>
        <w:tblLook w:firstColumn="1" w:firstRow="1" w:lastColumn="0" w:lastRow="0" w:noHBand="0" w:noVBand="1" w:val="04A0"/>
      </w:tblPr>
      <w:tblGrid>
        <w:gridCol w:w="1134"/>
        <w:gridCol w:w="907"/>
        <w:gridCol w:w="7370"/>
      </w:tblGrid>
      <w:tr>
        <w:trPr>
          <w:tblHeader w:val="true"/>
        </w:trPr>
        <w:tc>
          <w:tcPr>
            <w:tcW w:type="dxa" w:w="1134"/>
            <w:shd w:val="clear" w:color="auto" w:fill="14213D"/>
          </w:tcPr>
          <w:p>
            <w:pPr>
              <w:spacing w:after="40" w:line="264" w:lineRule="auto"/>
            </w:pPr>
            <w:r/>
            <w:r>
              <w:rPr>
                <w:b/>
                <w:color w:val="FFFFFF"/>
                <w:sz w:val="20"/>
              </w:rPr>
              <w:t>등급</w:t>
            </w:r>
          </w:p>
        </w:tc>
        <w:tc>
          <w:tcPr>
            <w:tcW w:type="dxa" w:w="907"/>
            <w:shd w:val="clear" w:color="auto" w:fill="14213D"/>
          </w:tcPr>
          <w:p>
            <w:pPr>
              <w:spacing w:after="40" w:line="264" w:lineRule="auto"/>
            </w:pPr>
            <w:r/>
            <w:r>
              <w:rPr>
                <w:b/>
                <w:color w:val="FFFFFF"/>
                <w:sz w:val="20"/>
              </w:rPr>
              <w:t>수</w:t>
            </w:r>
          </w:p>
        </w:tc>
        <w:tc>
          <w:tcPr>
            <w:tcW w:type="dxa" w:w="7370"/>
            <w:shd w:val="clear" w:color="auto" w:fill="14213D"/>
          </w:tcPr>
          <w:p>
            <w:pPr>
              <w:spacing w:after="40" w:line="264" w:lineRule="auto"/>
            </w:pPr>
            <w:r/>
            <w:r>
              <w:rPr>
                <w:b/>
                <w:color w:val="FFFFFF"/>
                <w:sz w:val="20"/>
              </w:rPr>
              <w:t>뜻(문헌 직접성)</w:t>
            </w:r>
          </w:p>
        </w:tc>
      </w:tr>
      <w:tr>
        <w:tc>
          <w:tcPr>
            <w:tcW w:type="dxa" w:w="1134"/>
          </w:tcPr>
          <w:p>
            <w:pPr>
              <w:spacing w:after="40" w:line="264" w:lineRule="auto"/>
            </w:pPr>
            <w:r/>
            <w:r>
              <w:rPr>
                <w:sz w:val="20"/>
              </w:rPr>
              <w:t>E1</w:t>
            </w:r>
          </w:p>
        </w:tc>
        <w:tc>
          <w:tcPr>
            <w:tcW w:type="dxa" w:w="907"/>
          </w:tcPr>
          <w:p>
            <w:pPr>
              <w:spacing w:after="40" w:line="264" w:lineRule="auto"/>
            </w:pPr>
            <w:r/>
            <w:r>
              <w:rPr>
                <w:sz w:val="20"/>
              </w:rPr>
              <w:t>19</w:t>
            </w:r>
          </w:p>
        </w:tc>
        <w:tc>
          <w:tcPr>
            <w:tcW w:type="dxa" w:w="7370"/>
          </w:tcPr>
          <w:p>
            <w:pPr>
              <w:spacing w:after="40" w:line="264" w:lineRule="auto"/>
            </w:pPr>
            <w:r/>
            <w:r>
              <w:rPr>
                <w:sz w:val="20"/>
              </w:rPr>
              <w:t>끝점·의미를 원문이 직접 서술</w:t>
            </w:r>
          </w:p>
        </w:tc>
      </w:tr>
      <w:tr>
        <w:tc>
          <w:tcPr>
            <w:tcW w:type="dxa" w:w="1134"/>
            <w:shd w:val="clear" w:color="auto" w:fill="F3F6FA"/>
          </w:tcPr>
          <w:p>
            <w:pPr>
              <w:spacing w:after="40" w:line="264" w:lineRule="auto"/>
            </w:pPr>
            <w:r/>
            <w:r>
              <w:rPr>
                <w:sz w:val="20"/>
              </w:rPr>
              <w:t>E2</w:t>
            </w:r>
          </w:p>
        </w:tc>
        <w:tc>
          <w:tcPr>
            <w:tcW w:type="dxa" w:w="907"/>
            <w:shd w:val="clear" w:color="auto" w:fill="F3F6FA"/>
          </w:tcPr>
          <w:p>
            <w:pPr>
              <w:spacing w:after="40" w:line="264" w:lineRule="auto"/>
            </w:pPr>
            <w:r/>
            <w:r>
              <w:rPr>
                <w:sz w:val="20"/>
              </w:rPr>
              <w:t>9</w:t>
            </w:r>
          </w:p>
        </w:tc>
        <w:tc>
          <w:tcPr>
            <w:tcW w:type="dxa" w:w="7370"/>
            <w:shd w:val="clear" w:color="auto" w:fill="F3F6FA"/>
          </w:tcPr>
          <w:p>
            <w:pPr>
              <w:spacing w:after="40" w:line="264" w:lineRule="auto"/>
            </w:pPr>
            <w:r/>
            <w:r>
              <w:rPr>
                <w:sz w:val="20"/>
              </w:rPr>
              <w:t>끝점·방향·대상을 연구자가 정규화 (L10, L12, L16, L23–L27, L31)</w:t>
            </w:r>
          </w:p>
        </w:tc>
      </w:tr>
      <w:tr>
        <w:tc>
          <w:tcPr>
            <w:tcW w:type="dxa" w:w="1134"/>
          </w:tcPr>
          <w:p>
            <w:pPr>
              <w:spacing w:after="40" w:line="264" w:lineRule="auto"/>
            </w:pPr>
            <w:r/>
            <w:r>
              <w:rPr>
                <w:sz w:val="20"/>
              </w:rPr>
              <w:t>E3</w:t>
            </w:r>
          </w:p>
        </w:tc>
        <w:tc>
          <w:tcPr>
            <w:tcW w:type="dxa" w:w="907"/>
          </w:tcPr>
          <w:p>
            <w:pPr>
              <w:spacing w:after="40" w:line="264" w:lineRule="auto"/>
            </w:pPr>
            <w:r/>
            <w:r>
              <w:rPr>
                <w:sz w:val="20"/>
              </w:rPr>
              <w:t>3</w:t>
            </w:r>
          </w:p>
        </w:tc>
        <w:tc>
          <w:tcPr>
            <w:tcW w:type="dxa" w:w="7370"/>
          </w:tcPr>
          <w:p>
            <w:pPr>
              <w:spacing w:after="40" w:line="264" w:lineRule="auto"/>
            </w:pPr>
            <w:r/>
            <w:r>
              <w:rPr>
                <w:sz w:val="20"/>
              </w:rPr>
              <w:t>직접 관계 근거 부족</w:t>
            </w:r>
          </w:p>
        </w:tc>
      </w:tr>
    </w:tbl>
    <w:p>
      <w:pPr>
        <w:spacing w:after="40"/>
      </w:pPr>
    </w:p>
    <w:p>
      <w:r>
        <w:rPr>
          <w:b w:val="0"/>
          <w:i/>
          <w:color w:val="6B7A90"/>
          <w:sz w:val="18"/>
        </w:rPr>
        <w:t>E1/E2는 문헌 직접성 분류이며 전문가 합의가 아니다. V3의 E1 중 L16, L23–L27, L31은 정규화가 필요하여 E2로 조정했다(수정이력 R10). 출처: 시트 관계근거31·온톨로지규칙; Arias §4.3 A18·A23·A29·A30.</w:t>
      </w:r>
    </w:p>
    <w:p>
      <w:pPr>
        <w:pStyle w:val="Heading2"/>
      </w:pPr>
      <w:r>
        <w:t>4.3 22×22 관계 MAP</w:t>
      </w:r>
    </w:p>
    <w:p>
      <w:r>
        <w:drawing>
          <wp:inline xmlns:a="http://schemas.openxmlformats.org/drawingml/2006/main" xmlns:pic="http://schemas.openxmlformats.org/drawingml/2006/picture">
            <wp:extent cx="5976000" cy="4384530"/>
            <wp:docPr id="1" name="Picture 1"/>
            <wp:cNvGraphicFramePr>
              <a:graphicFrameLocks noChangeAspect="1"/>
            </wp:cNvGraphicFramePr>
            <a:graphic>
              <a:graphicData uri="http://schemas.openxmlformats.org/drawingml/2006/picture">
                <pic:pic>
                  <pic:nvPicPr>
                    <pic:cNvPr id="0" name="BCMS_관계MAP_22x22_V5.png"/>
                    <pic:cNvPicPr/>
                  </pic:nvPicPr>
                  <pic:blipFill>
                    <a:blip r:embed="rId10"/>
                    <a:stretch>
                      <a:fillRect/>
                    </a:stretch>
                  </pic:blipFill>
                  <pic:spPr>
                    <a:xfrm>
                      <a:off x="0" y="0"/>
                      <a:ext cx="5976000" cy="4384530"/>
                    </a:xfrm>
                    <a:prstGeom prst="rect"/>
                  </pic:spPr>
                </pic:pic>
              </a:graphicData>
            </a:graphic>
          </wp:inline>
        </w:drawing>
      </w:r>
    </w:p>
    <w:p>
      <w:r>
        <w:rPr>
          <w:b w:val="0"/>
          <w:i/>
          <w:color w:val="6B7A90"/>
          <w:sz w:val="18"/>
        </w:rPr>
        <w:t>그림. 행 = 출발 유형, 열 = 도착 유형. 빈 셀은 미등록이며 관계 부재의 증거가 아니다. 출처: 객체 Arias Table 5 p.14; 관계 §4.3 pp.14–16(연구자 추출).</w:t>
      </w:r>
    </w:p>
    <w:p>
      <w:pPr>
        <w:pStyle w:val="Heading2"/>
      </w:pPr>
      <w:r>
        <w:t>4.4 범위의 공백</w:t>
      </w:r>
    </w:p>
    <w:p>
      <w:r>
        <w:rPr>
          <w:b w:val="0"/>
          <w:i w:val="0"/>
        </w:rPr>
        <w:t>운영 후보 24개에 등장하는 유형은 22개 중 18개이다. POL·AWR·WARN·REC는 운영 연결 공백으로 표시하며 근거 보강 또는 범위 제한으로 다룬다. 이 18/22는 객체 등장 범위일 뿐 BCMS 전체 활동의 포괄률이 아니다.</w:t>
      </w:r>
    </w:p>
    <w:tbl>
      <w:tblPr>
        <w:tblStyle w:val="TableGrid"/>
        <w:tblW w:type="auto" w:w="0"/>
        <w:jc w:val="center"/>
        <w:tblLayout w:type="fixed"/>
        <w:tblLook w:firstColumn="1" w:firstRow="1" w:lastColumn="0" w:lastRow="0" w:noHBand="0" w:noVBand="1" w:val="04A0"/>
      </w:tblPr>
      <w:tblGrid>
        <w:gridCol w:w="680"/>
        <w:gridCol w:w="1474"/>
        <w:gridCol w:w="2041"/>
        <w:gridCol w:w="3742"/>
        <w:gridCol w:w="1474"/>
      </w:tblGrid>
      <w:tr>
        <w:trPr>
          <w:tblHeader w:val="true"/>
        </w:trPr>
        <w:tc>
          <w:tcPr>
            <w:tcW w:type="dxa" w:w="680"/>
            <w:shd w:val="clear" w:color="auto" w:fill="14213D"/>
          </w:tcPr>
          <w:p>
            <w:pPr>
              <w:spacing w:after="40" w:line="264" w:lineRule="auto"/>
            </w:pPr>
            <w:r/>
            <w:r>
              <w:rPr>
                <w:b/>
                <w:color w:val="FFFFFF"/>
                <w:sz w:val="17"/>
              </w:rPr>
              <w:t>ID</w:t>
            </w:r>
          </w:p>
        </w:tc>
        <w:tc>
          <w:tcPr>
            <w:tcW w:type="dxa" w:w="1474"/>
            <w:shd w:val="clear" w:color="auto" w:fill="14213D"/>
          </w:tcPr>
          <w:p>
            <w:pPr>
              <w:spacing w:after="40" w:line="264" w:lineRule="auto"/>
            </w:pPr>
            <w:r/>
            <w:r>
              <w:rPr>
                <w:b/>
                <w:color w:val="FFFFFF"/>
                <w:sz w:val="17"/>
              </w:rPr>
              <w:t>후보</w:t>
            </w:r>
          </w:p>
        </w:tc>
        <w:tc>
          <w:tcPr>
            <w:tcW w:type="dxa" w:w="2041"/>
            <w:shd w:val="clear" w:color="auto" w:fill="14213D"/>
          </w:tcPr>
          <w:p>
            <w:pPr>
              <w:spacing w:after="40" w:line="264" w:lineRule="auto"/>
            </w:pPr>
            <w:r/>
            <w:r>
              <w:rPr>
                <w:b/>
                <w:color w:val="FFFFFF"/>
                <w:sz w:val="17"/>
              </w:rPr>
              <w:t>내용</w:t>
            </w:r>
          </w:p>
        </w:tc>
        <w:tc>
          <w:tcPr>
            <w:tcW w:type="dxa" w:w="3742"/>
            <w:shd w:val="clear" w:color="auto" w:fill="14213D"/>
          </w:tcPr>
          <w:p>
            <w:pPr>
              <w:spacing w:after="40" w:line="264" w:lineRule="auto"/>
            </w:pPr>
            <w:r/>
            <w:r>
              <w:rPr>
                <w:b/>
                <w:color w:val="FFFFFF"/>
                <w:sz w:val="17"/>
              </w:rPr>
              <w:t>근거·사유</w:t>
            </w:r>
          </w:p>
        </w:tc>
        <w:tc>
          <w:tcPr>
            <w:tcW w:type="dxa" w:w="1474"/>
            <w:shd w:val="clear" w:color="auto" w:fill="14213D"/>
          </w:tcPr>
          <w:p>
            <w:pPr>
              <w:spacing w:after="40" w:line="264" w:lineRule="auto"/>
            </w:pPr>
            <w:r/>
            <w:r>
              <w:rPr>
                <w:b/>
                <w:color w:val="FFFFFF"/>
                <w:sz w:val="17"/>
              </w:rPr>
              <w:t>처리</w:t>
            </w:r>
          </w:p>
        </w:tc>
      </w:tr>
      <w:tr>
        <w:tc>
          <w:tcPr>
            <w:tcW w:type="dxa" w:w="680"/>
          </w:tcPr>
          <w:p>
            <w:pPr>
              <w:spacing w:after="40" w:line="264" w:lineRule="auto"/>
            </w:pPr>
            <w:r/>
            <w:r>
              <w:rPr>
                <w:sz w:val="17"/>
              </w:rPr>
              <w:t>H01</w:t>
            </w:r>
          </w:p>
        </w:tc>
        <w:tc>
          <w:tcPr>
            <w:tcW w:type="dxa" w:w="1474"/>
          </w:tcPr>
          <w:p>
            <w:pPr>
              <w:spacing w:after="40" w:line="264" w:lineRule="auto"/>
            </w:pPr>
            <w:r/>
            <w:r>
              <w:rPr>
                <w:sz w:val="17"/>
              </w:rPr>
              <w:t>INC→PLAN</w:t>
            </w:r>
          </w:p>
        </w:tc>
        <w:tc>
          <w:tcPr>
            <w:tcW w:type="dxa" w:w="2041"/>
          </w:tcPr>
          <w:p>
            <w:pPr>
              <w:spacing w:after="40" w:line="264" w:lineRule="auto"/>
            </w:pPr>
            <w:r/>
            <w:r>
              <w:rPr>
                <w:sz w:val="17"/>
              </w:rPr>
              <w:t>사고 경험을 계획 개정에 사용</w:t>
            </w:r>
          </w:p>
        </w:tc>
        <w:tc>
          <w:tcPr>
            <w:tcW w:type="dxa" w:w="3742"/>
          </w:tcPr>
          <w:p>
            <w:pPr>
              <w:spacing w:after="40" w:line="264" w:lineRule="auto"/>
            </w:pPr>
            <w:r/>
            <w:r>
              <w:rPr>
                <w:sz w:val="17"/>
              </w:rPr>
              <w:t>독립 관계 직접 근거 보강 필요. 변경관리 경유 경로와 구별.</w:t>
            </w:r>
          </w:p>
        </w:tc>
        <w:tc>
          <w:tcPr>
            <w:tcW w:type="dxa" w:w="1474"/>
          </w:tcPr>
          <w:p>
            <w:pPr>
              <w:spacing w:after="40" w:line="264" w:lineRule="auto"/>
            </w:pPr>
            <w:r/>
            <w:r>
              <w:rPr>
                <w:sz w:val="17"/>
              </w:rPr>
              <w:t>보류</w:t>
            </w:r>
          </w:p>
        </w:tc>
      </w:tr>
      <w:tr>
        <w:tc>
          <w:tcPr>
            <w:tcW w:type="dxa" w:w="680"/>
            <w:shd w:val="clear" w:color="auto" w:fill="F3F6FA"/>
          </w:tcPr>
          <w:p>
            <w:pPr>
              <w:spacing w:after="40" w:line="264" w:lineRule="auto"/>
            </w:pPr>
            <w:r/>
            <w:r>
              <w:rPr>
                <w:sz w:val="17"/>
              </w:rPr>
              <w:t>H02</w:t>
            </w:r>
          </w:p>
        </w:tc>
        <w:tc>
          <w:tcPr>
            <w:tcW w:type="dxa" w:w="1474"/>
            <w:shd w:val="clear" w:color="auto" w:fill="F3F6FA"/>
          </w:tcPr>
          <w:p>
            <w:pPr>
              <w:spacing w:after="40" w:line="264" w:lineRule="auto"/>
            </w:pPr>
            <w:r/>
            <w:r>
              <w:rPr>
                <w:sz w:val="17"/>
              </w:rPr>
              <w:t>RA→CHG</w:t>
            </w:r>
          </w:p>
        </w:tc>
        <w:tc>
          <w:tcPr>
            <w:tcW w:type="dxa" w:w="2041"/>
            <w:shd w:val="clear" w:color="auto" w:fill="F3F6FA"/>
          </w:tcPr>
          <w:p>
            <w:pPr>
              <w:spacing w:after="40" w:line="264" w:lineRule="auto"/>
            </w:pPr>
            <w:r/>
            <w:r>
              <w:rPr>
                <w:sz w:val="17"/>
              </w:rPr>
              <w:t>위험평가와 변경관리의 양방향 관계</w:t>
            </w:r>
          </w:p>
        </w:tc>
        <w:tc>
          <w:tcPr>
            <w:tcW w:type="dxa" w:w="3742"/>
            <w:shd w:val="clear" w:color="auto" w:fill="F3F6FA"/>
          </w:tcPr>
          <w:p>
            <w:pPr>
              <w:spacing w:after="40" w:line="264" w:lineRule="auto"/>
            </w:pPr>
            <w:r/>
            <w:r>
              <w:rPr>
                <w:sz w:val="17"/>
              </w:rPr>
              <w:t>A26 for and from은 추가 추출 후보. direction·artifact를 특정한 뒤 판단.</w:t>
            </w:r>
          </w:p>
        </w:tc>
        <w:tc>
          <w:tcPr>
            <w:tcW w:type="dxa" w:w="1474"/>
            <w:shd w:val="clear" w:color="auto" w:fill="F3F6FA"/>
          </w:tcPr>
          <w:p>
            <w:pPr>
              <w:spacing w:after="40" w:line="264" w:lineRule="auto"/>
            </w:pPr>
            <w:r/>
            <w:r>
              <w:rPr>
                <w:sz w:val="17"/>
              </w:rPr>
              <w:t>추출 검토</w:t>
            </w:r>
          </w:p>
        </w:tc>
      </w:tr>
      <w:tr>
        <w:tc>
          <w:tcPr>
            <w:tcW w:type="dxa" w:w="680"/>
          </w:tcPr>
          <w:p>
            <w:pPr>
              <w:spacing w:after="40" w:line="264" w:lineRule="auto"/>
            </w:pPr>
            <w:r/>
            <w:r>
              <w:rPr>
                <w:sz w:val="17"/>
              </w:rPr>
              <w:t>H03</w:t>
            </w:r>
          </w:p>
        </w:tc>
        <w:tc>
          <w:tcPr>
            <w:tcW w:type="dxa" w:w="1474"/>
          </w:tcPr>
          <w:p>
            <w:pPr>
              <w:spacing w:after="40" w:line="264" w:lineRule="auto"/>
            </w:pPr>
            <w:r/>
            <w:r>
              <w:rPr>
                <w:sz w:val="17"/>
              </w:rPr>
              <w:t>EXE→AWR</w:t>
            </w:r>
          </w:p>
        </w:tc>
        <w:tc>
          <w:tcPr>
            <w:tcW w:type="dxa" w:w="2041"/>
          </w:tcPr>
          <w:p>
            <w:pPr>
              <w:spacing w:after="40" w:line="264" w:lineRule="auto"/>
            </w:pPr>
            <w:r/>
            <w:r>
              <w:rPr>
                <w:sz w:val="17"/>
              </w:rPr>
              <w:t>연습 결과를 교육에 사용</w:t>
            </w:r>
          </w:p>
        </w:tc>
        <w:tc>
          <w:tcPr>
            <w:tcW w:type="dxa" w:w="3742"/>
          </w:tcPr>
          <w:p>
            <w:pPr>
              <w:spacing w:after="40" w:line="264" w:lineRule="auto"/>
            </w:pPr>
            <w:r/>
            <w:r>
              <w:rPr>
                <w:sz w:val="17"/>
              </w:rPr>
              <w:t>두 논문의 개별 교육·연습 설명을 직접 전달 관계로 단정하지 않음.</w:t>
            </w:r>
          </w:p>
        </w:tc>
        <w:tc>
          <w:tcPr>
            <w:tcW w:type="dxa" w:w="1474"/>
          </w:tcPr>
          <w:p>
            <w:pPr>
              <w:spacing w:after="40" w:line="264" w:lineRule="auto"/>
            </w:pPr>
            <w:r/>
            <w:r>
              <w:rPr>
                <w:sz w:val="17"/>
              </w:rPr>
              <w:t>보류</w:t>
            </w:r>
          </w:p>
        </w:tc>
      </w:tr>
      <w:tr>
        <w:tc>
          <w:tcPr>
            <w:tcW w:type="dxa" w:w="680"/>
            <w:shd w:val="clear" w:color="auto" w:fill="F3F6FA"/>
          </w:tcPr>
          <w:p>
            <w:pPr>
              <w:spacing w:after="40" w:line="264" w:lineRule="auto"/>
            </w:pPr>
            <w:r/>
            <w:r>
              <w:rPr>
                <w:sz w:val="17"/>
              </w:rPr>
              <w:t>H04</w:t>
            </w:r>
          </w:p>
        </w:tc>
        <w:tc>
          <w:tcPr>
            <w:tcW w:type="dxa" w:w="1474"/>
            <w:shd w:val="clear" w:color="auto" w:fill="F3F6FA"/>
          </w:tcPr>
          <w:p>
            <w:pPr>
              <w:spacing w:after="40" w:line="264" w:lineRule="auto"/>
            </w:pPr>
            <w:r/>
            <w:r>
              <w:rPr>
                <w:sz w:val="17"/>
              </w:rPr>
              <w:t>GOV→CRM</w:t>
            </w:r>
          </w:p>
        </w:tc>
        <w:tc>
          <w:tcPr>
            <w:tcW w:type="dxa" w:w="2041"/>
            <w:shd w:val="clear" w:color="auto" w:fill="F3F6FA"/>
          </w:tcPr>
          <w:p>
            <w:pPr>
              <w:spacing w:after="40" w:line="264" w:lineRule="auto"/>
            </w:pPr>
            <w:r/>
            <w:r>
              <w:rPr>
                <w:sz w:val="17"/>
              </w:rPr>
              <w:t>거버넌스와 고객관계관리</w:t>
            </w:r>
          </w:p>
        </w:tc>
        <w:tc>
          <w:tcPr>
            <w:tcW w:type="dxa" w:w="3742"/>
            <w:shd w:val="clear" w:color="auto" w:fill="F3F6FA"/>
          </w:tcPr>
          <w:p>
            <w:pPr>
              <w:spacing w:after="40" w:line="264" w:lineRule="auto"/>
            </w:pPr>
            <w:r/>
            <w:r>
              <w:rPr>
                <w:sz w:val="17"/>
              </w:rPr>
              <w:t>In addition to는 병렬 설명이며 직접 연결을 확립하지 않음.</w:t>
            </w:r>
          </w:p>
        </w:tc>
        <w:tc>
          <w:tcPr>
            <w:tcW w:type="dxa" w:w="1474"/>
            <w:shd w:val="clear" w:color="auto" w:fill="F3F6FA"/>
          </w:tcPr>
          <w:p>
            <w:pPr>
              <w:spacing w:after="40" w:line="264" w:lineRule="auto"/>
            </w:pPr>
            <w:r/>
            <w:r>
              <w:rPr>
                <w:sz w:val="17"/>
              </w:rPr>
              <w:t>보류</w:t>
            </w:r>
          </w:p>
        </w:tc>
      </w:tr>
      <w:tr>
        <w:tc>
          <w:tcPr>
            <w:tcW w:type="dxa" w:w="680"/>
          </w:tcPr>
          <w:p>
            <w:pPr>
              <w:spacing w:after="40" w:line="264" w:lineRule="auto"/>
            </w:pPr>
            <w:r/>
            <w:r>
              <w:rPr>
                <w:sz w:val="17"/>
              </w:rPr>
              <w:t>M01</w:t>
            </w:r>
          </w:p>
        </w:tc>
        <w:tc>
          <w:tcPr>
            <w:tcW w:type="dxa" w:w="1474"/>
          </w:tcPr>
          <w:p>
            <w:pPr>
              <w:spacing w:after="40" w:line="264" w:lineRule="auto"/>
            </w:pPr>
            <w:r/>
            <w:r>
              <w:rPr>
                <w:sz w:val="17"/>
              </w:rPr>
              <w:t>STR→EXE</w:t>
            </w:r>
          </w:p>
        </w:tc>
        <w:tc>
          <w:tcPr>
            <w:tcW w:type="dxa" w:w="2041"/>
          </w:tcPr>
          <w:p>
            <w:pPr>
              <w:spacing w:after="40" w:line="264" w:lineRule="auto"/>
            </w:pPr>
            <w:r/>
            <w:r>
              <w:rPr>
                <w:sz w:val="17"/>
              </w:rPr>
              <w:t>전략·솔루션의 시험</w:t>
            </w:r>
          </w:p>
        </w:tc>
        <w:tc>
          <w:tcPr>
            <w:tcW w:type="dxa" w:w="3742"/>
          </w:tcPr>
          <w:p>
            <w:pPr>
              <w:spacing w:after="40" w:line="264" w:lineRule="auto"/>
            </w:pPr>
            <w:r/>
            <w:r>
              <w:rPr>
                <w:sz w:val="17"/>
              </w:rPr>
              <w:t>A23 p.15에서 시험 대상을 명시. 현 31개에는 PLAN→EXE만 등록.</w:t>
            </w:r>
          </w:p>
        </w:tc>
        <w:tc>
          <w:tcPr>
            <w:tcW w:type="dxa" w:w="1474"/>
          </w:tcPr>
          <w:p>
            <w:pPr>
              <w:spacing w:after="40" w:line="264" w:lineRule="auto"/>
            </w:pPr>
            <w:r/>
            <w:r>
              <w:rPr>
                <w:sz w:val="17"/>
              </w:rPr>
              <w:t>추가 후보 문항 미생성</w:t>
            </w:r>
          </w:p>
        </w:tc>
      </w:tr>
      <w:tr>
        <w:tc>
          <w:tcPr>
            <w:tcW w:type="dxa" w:w="680"/>
            <w:shd w:val="clear" w:color="auto" w:fill="F3F6FA"/>
          </w:tcPr>
          <w:p>
            <w:pPr>
              <w:spacing w:after="40" w:line="264" w:lineRule="auto"/>
            </w:pPr>
            <w:r/>
            <w:r>
              <w:rPr>
                <w:sz w:val="17"/>
              </w:rPr>
              <w:t>M02</w:t>
            </w:r>
          </w:p>
        </w:tc>
        <w:tc>
          <w:tcPr>
            <w:tcW w:type="dxa" w:w="1474"/>
            <w:shd w:val="clear" w:color="auto" w:fill="F3F6FA"/>
          </w:tcPr>
          <w:p>
            <w:pPr>
              <w:spacing w:after="40" w:line="264" w:lineRule="auto"/>
            </w:pPr>
            <w:r/>
            <w:r>
              <w:rPr>
                <w:sz w:val="17"/>
              </w:rPr>
              <w:t>WARN→EXE</w:t>
            </w:r>
          </w:p>
        </w:tc>
        <w:tc>
          <w:tcPr>
            <w:tcW w:type="dxa" w:w="2041"/>
            <w:shd w:val="clear" w:color="auto" w:fill="F3F6FA"/>
          </w:tcPr>
          <w:p>
            <w:pPr>
              <w:spacing w:after="40" w:line="264" w:lineRule="auto"/>
            </w:pPr>
            <w:r/>
            <w:r>
              <w:rPr>
                <w:sz w:val="17"/>
              </w:rPr>
              <w:t>경보·의사소통 절차의 시험</w:t>
            </w:r>
          </w:p>
        </w:tc>
        <w:tc>
          <w:tcPr>
            <w:tcW w:type="dxa" w:w="3742"/>
            <w:shd w:val="clear" w:color="auto" w:fill="F3F6FA"/>
          </w:tcPr>
          <w:p>
            <w:pPr>
              <w:spacing w:after="40" w:line="264" w:lineRule="auto"/>
            </w:pPr>
            <w:r/>
            <w:r>
              <w:rPr>
                <w:sz w:val="17"/>
              </w:rPr>
              <w:t>A23 p.15의 명시 대상. WARN 프로세스와 절차 간 정규화 필요.</w:t>
            </w:r>
          </w:p>
        </w:tc>
        <w:tc>
          <w:tcPr>
            <w:tcW w:type="dxa" w:w="1474"/>
            <w:shd w:val="clear" w:color="auto" w:fill="F3F6FA"/>
          </w:tcPr>
          <w:p>
            <w:pPr>
              <w:spacing w:after="40" w:line="264" w:lineRule="auto"/>
            </w:pPr>
            <w:r/>
            <w:r>
              <w:rPr>
                <w:sz w:val="17"/>
              </w:rPr>
              <w:t>추가 후보 문항 미생성</w:t>
            </w:r>
          </w:p>
        </w:tc>
      </w:tr>
      <w:tr>
        <w:tc>
          <w:tcPr>
            <w:tcW w:type="dxa" w:w="680"/>
          </w:tcPr>
          <w:p>
            <w:pPr>
              <w:spacing w:after="40" w:line="264" w:lineRule="auto"/>
            </w:pPr>
            <w:r/>
            <w:r>
              <w:rPr>
                <w:sz w:val="17"/>
              </w:rPr>
              <w:t>M03</w:t>
            </w:r>
          </w:p>
        </w:tc>
        <w:tc>
          <w:tcPr>
            <w:tcW w:type="dxa" w:w="1474"/>
          </w:tcPr>
          <w:p>
            <w:pPr>
              <w:spacing w:after="40" w:line="264" w:lineRule="auto"/>
            </w:pPr>
            <w:r/>
            <w:r>
              <w:rPr>
                <w:sz w:val="17"/>
              </w:rPr>
              <w:t>CI→STR 또는 PLAN</w:t>
            </w:r>
          </w:p>
        </w:tc>
        <w:tc>
          <w:tcPr>
            <w:tcW w:type="dxa" w:w="2041"/>
          </w:tcPr>
          <w:p>
            <w:pPr>
              <w:spacing w:after="40" w:line="264" w:lineRule="auto"/>
            </w:pPr>
            <w:r/>
            <w:r>
              <w:rPr>
                <w:sz w:val="17"/>
              </w:rPr>
              <w:t>개선 결과의 도착 대상</w:t>
            </w:r>
          </w:p>
        </w:tc>
        <w:tc>
          <w:tcPr>
            <w:tcW w:type="dxa" w:w="3742"/>
          </w:tcPr>
          <w:p>
            <w:pPr>
              <w:spacing w:after="40" w:line="264" w:lineRule="auto"/>
            </w:pPr>
            <w:r/>
            <w:r>
              <w:rPr>
                <w:sz w:val="17"/>
              </w:rPr>
              <w:t>A25 p.16은 전략·계획·절차 개선을 언급. 대상별 중복·방향 검토 필요.</w:t>
            </w:r>
          </w:p>
        </w:tc>
        <w:tc>
          <w:tcPr>
            <w:tcW w:type="dxa" w:w="1474"/>
          </w:tcPr>
          <w:p>
            <w:pPr>
              <w:spacing w:after="40" w:line="264" w:lineRule="auto"/>
            </w:pPr>
            <w:r/>
            <w:r>
              <w:rPr>
                <w:sz w:val="17"/>
              </w:rPr>
              <w:t>추가 후보 문항 미생성</w:t>
            </w:r>
          </w:p>
        </w:tc>
      </w:tr>
      <w:tr>
        <w:tc>
          <w:tcPr>
            <w:tcW w:type="dxa" w:w="680"/>
            <w:shd w:val="clear" w:color="auto" w:fill="F3F6FA"/>
          </w:tcPr>
          <w:p>
            <w:pPr>
              <w:spacing w:after="40" w:line="264" w:lineRule="auto"/>
            </w:pPr>
            <w:r/>
            <w:r>
              <w:rPr>
                <w:sz w:val="17"/>
              </w:rPr>
              <w:t>M04</w:t>
            </w:r>
          </w:p>
        </w:tc>
        <w:tc>
          <w:tcPr>
            <w:tcW w:type="dxa" w:w="1474"/>
            <w:shd w:val="clear" w:color="auto" w:fill="F3F6FA"/>
          </w:tcPr>
          <w:p>
            <w:pPr>
              <w:spacing w:after="40" w:line="264" w:lineRule="auto"/>
            </w:pPr>
            <w:r/>
            <w:r>
              <w:rPr>
                <w:sz w:val="17"/>
              </w:rPr>
              <w:t>RA→COM</w:t>
            </w:r>
          </w:p>
        </w:tc>
        <w:tc>
          <w:tcPr>
            <w:tcW w:type="dxa" w:w="2041"/>
            <w:shd w:val="clear" w:color="auto" w:fill="F3F6FA"/>
          </w:tcPr>
          <w:p>
            <w:pPr>
              <w:spacing w:after="40" w:line="264" w:lineRule="auto"/>
            </w:pPr>
            <w:r/>
            <w:r>
              <w:rPr>
                <w:sz w:val="17"/>
              </w:rPr>
              <w:t>위험 정보의 의사소통</w:t>
            </w:r>
          </w:p>
        </w:tc>
        <w:tc>
          <w:tcPr>
            <w:tcW w:type="dxa" w:w="3742"/>
            <w:shd w:val="clear" w:color="auto" w:fill="F3F6FA"/>
          </w:tcPr>
          <w:p>
            <w:pPr>
              <w:spacing w:after="40" w:line="264" w:lineRule="auto"/>
            </w:pPr>
            <w:r/>
            <w:r>
              <w:rPr>
                <w:sz w:val="17"/>
              </w:rPr>
              <w:t>Arias p.15은 위험 결과의 communication activities 입력을 언급. COM인지 WARN인지 대상 특정 필요.</w:t>
            </w:r>
          </w:p>
        </w:tc>
        <w:tc>
          <w:tcPr>
            <w:tcW w:type="dxa" w:w="1474"/>
            <w:shd w:val="clear" w:color="auto" w:fill="F3F6FA"/>
          </w:tcPr>
          <w:p>
            <w:pPr>
              <w:spacing w:after="40" w:line="264" w:lineRule="auto"/>
            </w:pPr>
            <w:r/>
            <w:r>
              <w:rPr>
                <w:sz w:val="17"/>
              </w:rPr>
              <w:t>추가 후보 문항 미생성</w:t>
            </w:r>
          </w:p>
        </w:tc>
      </w:tr>
      <w:tr>
        <w:tc>
          <w:tcPr>
            <w:tcW w:type="dxa" w:w="680"/>
          </w:tcPr>
          <w:p>
            <w:pPr>
              <w:spacing w:after="40" w:line="264" w:lineRule="auto"/>
            </w:pPr>
            <w:r/>
            <w:r>
              <w:rPr>
                <w:sz w:val="17"/>
              </w:rPr>
              <w:t>M05</w:t>
            </w:r>
          </w:p>
        </w:tc>
        <w:tc>
          <w:tcPr>
            <w:tcW w:type="dxa" w:w="1474"/>
          </w:tcPr>
          <w:p>
            <w:pPr>
              <w:spacing w:after="40" w:line="264" w:lineRule="auto"/>
            </w:pPr>
            <w:r/>
            <w:r>
              <w:rPr>
                <w:sz w:val="17"/>
              </w:rPr>
              <w:t>POL·AWR·REC</w:t>
            </w:r>
          </w:p>
        </w:tc>
        <w:tc>
          <w:tcPr>
            <w:tcW w:type="dxa" w:w="2041"/>
          </w:tcPr>
          <w:p>
            <w:pPr>
              <w:spacing w:after="40" w:line="264" w:lineRule="auto"/>
            </w:pPr>
            <w:r/>
            <w:r>
              <w:rPr>
                <w:sz w:val="17"/>
              </w:rPr>
              <w:t>운영 연결 공백</w:t>
            </w:r>
          </w:p>
        </w:tc>
        <w:tc>
          <w:tcPr>
            <w:tcW w:type="dxa" w:w="3742"/>
          </w:tcPr>
          <w:p>
            <w:pPr>
              <w:spacing w:after="40" w:line="264" w:lineRule="auto"/>
            </w:pPr>
            <w:r/>
            <w:r>
              <w:rPr>
                <w:sz w:val="17"/>
              </w:rPr>
              <w:t>22개 유형 목록에는 존재하나 운영 후보 쌍의 직접 근거가 부족. 임의로 연결을 채우지 않음.</w:t>
            </w:r>
          </w:p>
        </w:tc>
        <w:tc>
          <w:tcPr>
            <w:tcW w:type="dxa" w:w="1474"/>
          </w:tcPr>
          <w:p>
            <w:pPr>
              <w:spacing w:after="40" w:line="264" w:lineRule="auto"/>
            </w:pPr>
            <w:r/>
            <w:r>
              <w:rPr>
                <w:sz w:val="17"/>
              </w:rPr>
              <w:t>범위 제한 표시</w:t>
            </w:r>
          </w:p>
        </w:tc>
      </w:tr>
    </w:tbl>
    <w:p>
      <w:pPr>
        <w:spacing w:after="40"/>
      </w:pPr>
    </w:p>
    <w:p>
      <w:r>
        <w:rPr>
          <w:b w:val="0"/>
          <w:i/>
          <w:color w:val="6B7A90"/>
          <w:sz w:val="18"/>
        </w:rPr>
        <w:t>출처: 시트 보류및누락(V4); Arias §4.3 A23 p.15, A25 p.16; 수정이력 R16.</w:t>
      </w:r>
    </w:p>
    <w:p>
      <w:pPr>
        <w:pStyle w:val="Heading1"/>
      </w:pPr>
      <w:r>
        <w:t>5. 무엇을 묻는가: 개념 후보와 학술 근거</w:t>
      </w:r>
    </w:p>
    <w:p>
      <w:r>
        <w:rPr>
          <w:b w:val="0"/>
          <w:i w:val="0"/>
        </w:rPr>
        <w:t>여섯 개 개념은 후보이다. 연결품질 후보 4(CO·TR·EV·TM), 관리조건 후보 1(AC), 경로 후보 1(FC)로 역할을 구분했고 요인 수는 확정하지 않았다(수정이력 R02). 각 개념에 대해 문헌이 말하는 범위와 BCMS 적용의 한계를 함께 적는다.</w:t>
      </w:r>
    </w:p>
    <w:p>
      <w:pPr>
        <w:pStyle w:val="Heading2"/>
      </w:pPr>
      <w:r>
        <w:t>CO 정합성 — 연결 품질 후보</w:t>
      </w:r>
    </w:p>
    <w:tbl>
      <w:tblPr>
        <w:tblStyle w:val="TableGrid"/>
        <w:tblW w:type="auto" w:w="0"/>
        <w:jc w:val="center"/>
        <w:tblLayout w:type="fixed"/>
        <w:tblLook w:firstColumn="1" w:firstRow="1" w:lastColumn="0" w:lastRow="0" w:noHBand="0" w:noVBand="1" w:val="04A0"/>
      </w:tblPr>
      <w:tblGrid>
        <w:gridCol w:w="2041"/>
        <w:gridCol w:w="7370"/>
      </w:tblGrid>
      <w:tr>
        <w:tc>
          <w:tcPr>
            <w:tcW w:type="dxa" w:w="2041"/>
            <w:shd w:val="clear" w:color="auto" w:fill="F3F6FA"/>
          </w:tcPr>
          <w:p>
            <w:pPr>
              <w:spacing w:after="40" w:line="264" w:lineRule="auto"/>
            </w:pPr>
            <w:r/>
            <w:r>
              <w:rPr>
                <w:sz w:val="19"/>
              </w:rPr>
              <w:t>조작적 정의 후보(연구자)</w:t>
            </w:r>
          </w:p>
        </w:tc>
        <w:tc>
          <w:tcPr>
            <w:tcW w:type="dxa" w:w="7370"/>
            <w:shd w:val="clear" w:color="auto" w:fill="F3F6FA"/>
          </w:tcPr>
          <w:p>
            <w:pPr>
              <w:spacing w:after="40" w:line="264" w:lineRule="auto"/>
            </w:pPr>
            <w:r/>
            <w:r>
              <w:rPr>
                <w:sz w:val="19"/>
              </w:rPr>
              <w:t>연결된 산출물과 후속 사용 내용 중 서로 대응해야 하는 기준·수치·전제가 모순되지 않는 정도. 내용 전체의 동일성을 뜻하지 않는다.</w:t>
            </w:r>
          </w:p>
        </w:tc>
      </w:tr>
      <w:tr>
        <w:tc>
          <w:tcPr>
            <w:tcW w:type="dxa" w:w="2041"/>
          </w:tcPr>
          <w:p>
            <w:pPr>
              <w:spacing w:after="40" w:line="264" w:lineRule="auto"/>
            </w:pPr>
            <w:r/>
            <w:r>
              <w:rPr>
                <w:sz w:val="19"/>
              </w:rPr>
              <w:t>출처·위치</w:t>
            </w:r>
          </w:p>
        </w:tc>
        <w:tc>
          <w:tcPr>
            <w:tcW w:type="dxa" w:w="7370"/>
          </w:tcPr>
          <w:p>
            <w:pPr>
              <w:spacing w:after="40" w:line="264" w:lineRule="auto"/>
            </w:pPr>
            <w:r/>
            <w:r>
              <w:rPr>
                <w:sz w:val="19"/>
              </w:rPr>
              <w:t>A12·A14·A16; S06</w:t>
            </w:r>
          </w:p>
        </w:tc>
      </w:tr>
      <w:tr>
        <w:tc>
          <w:tcPr>
            <w:tcW w:type="dxa" w:w="2041"/>
            <w:shd w:val="clear" w:color="auto" w:fill="F3F6FA"/>
          </w:tcPr>
          <w:p>
            <w:pPr>
              <w:spacing w:after="40" w:line="264" w:lineRule="auto"/>
            </w:pPr>
            <w:r/>
            <w:r>
              <w:rPr>
                <w:sz w:val="19"/>
              </w:rPr>
              <w:t>확인 수준</w:t>
            </w:r>
          </w:p>
        </w:tc>
        <w:tc>
          <w:tcPr>
            <w:tcW w:type="dxa" w:w="7370"/>
            <w:shd w:val="clear" w:color="auto" w:fill="F3F6FA"/>
          </w:tcPr>
          <w:p>
            <w:pPr>
              <w:spacing w:after="40" w:line="264" w:lineRule="auto"/>
            </w:pPr>
            <w:r/>
            <w:r>
              <w:rPr>
                <w:sz w:val="19"/>
              </w:rPr>
              <w:t>S03 연구자 본문 확인(Appendix D1) · S06 저자기관 초록만 확인</w:t>
            </w:r>
          </w:p>
        </w:tc>
      </w:tr>
      <w:tr>
        <w:tc>
          <w:tcPr>
            <w:tcW w:type="dxa" w:w="2041"/>
          </w:tcPr>
          <w:p>
            <w:pPr>
              <w:spacing w:after="40" w:line="264" w:lineRule="auto"/>
            </w:pPr>
            <w:r/>
            <w:r>
              <w:rPr>
                <w:sz w:val="19"/>
              </w:rPr>
              <w:t>원문이 말하는 범위</w:t>
            </w:r>
          </w:p>
        </w:tc>
        <w:tc>
          <w:tcPr>
            <w:tcW w:type="dxa" w:w="7370"/>
          </w:tcPr>
          <w:p>
            <w:pPr>
              <w:spacing w:after="40" w:line="264" w:lineRule="auto"/>
            </w:pPr>
            <w:r/>
            <w:r>
              <w:rPr>
                <w:sz w:val="19"/>
              </w:rPr>
              <w:t>S06 저자기관 초록에서 요구사항 일관성과 검증 논의 확인. 본문 미확인. S03의 표현 일관성은 동일한 형식의 표현이므로 의미적 정합성과 구별.</w:t>
            </w:r>
          </w:p>
        </w:tc>
      </w:tr>
      <w:tr>
        <w:tc>
          <w:tcPr>
            <w:tcW w:type="dxa" w:w="2041"/>
            <w:shd w:val="clear" w:color="auto" w:fill="F3F6FA"/>
          </w:tcPr>
          <w:p>
            <w:pPr>
              <w:spacing w:after="40" w:line="264" w:lineRule="auto"/>
            </w:pPr>
            <w:r/>
            <w:r>
              <w:rPr>
                <w:sz w:val="19"/>
              </w:rPr>
              <w:t>전이·한계</w:t>
            </w:r>
          </w:p>
        </w:tc>
        <w:tc>
          <w:tcPr>
            <w:tcW w:type="dxa" w:w="7370"/>
            <w:shd w:val="clear" w:color="auto" w:fill="F3F6FA"/>
          </w:tcPr>
          <w:p>
            <w:pPr>
              <w:spacing w:after="40" w:line="264" w:lineRule="auto"/>
            </w:pPr>
            <w:r/>
            <w:r>
              <w:rPr>
                <w:sz w:val="19"/>
              </w:rPr>
              <w:t>BCMS 산출물 간 적용은 연구자 확장. 확정 요인 아님.</w:t>
            </w:r>
          </w:p>
        </w:tc>
      </w:tr>
    </w:tbl>
    <w:p>
      <w:pPr>
        <w:spacing w:after="40"/>
      </w:pPr>
    </w:p>
    <w:p>
      <w:pPr>
        <w:pStyle w:val="Heading2"/>
      </w:pPr>
      <w:r>
        <w:t>TR 근거 추적가능성 — 연결 품질 후보</w:t>
      </w:r>
    </w:p>
    <w:tbl>
      <w:tblPr>
        <w:tblStyle w:val="TableGrid"/>
        <w:tblW w:type="auto" w:w="0"/>
        <w:jc w:val="center"/>
        <w:tblLayout w:type="fixed"/>
        <w:tblLook w:firstColumn="1" w:firstRow="1" w:lastColumn="0" w:lastRow="0" w:noHBand="0" w:noVBand="1" w:val="04A0"/>
      </w:tblPr>
      <w:tblGrid>
        <w:gridCol w:w="2041"/>
        <w:gridCol w:w="7370"/>
      </w:tblGrid>
      <w:tr>
        <w:tc>
          <w:tcPr>
            <w:tcW w:type="dxa" w:w="2041"/>
            <w:shd w:val="clear" w:color="auto" w:fill="F3F6FA"/>
          </w:tcPr>
          <w:p>
            <w:pPr>
              <w:spacing w:after="40" w:line="264" w:lineRule="auto"/>
            </w:pPr>
            <w:r/>
            <w:r>
              <w:rPr>
                <w:sz w:val="19"/>
              </w:rPr>
              <w:t>조작적 정의 후보(연구자)</w:t>
            </w:r>
          </w:p>
        </w:tc>
        <w:tc>
          <w:tcPr>
            <w:tcW w:type="dxa" w:w="7370"/>
            <w:shd w:val="clear" w:color="auto" w:fill="F3F6FA"/>
          </w:tcPr>
          <w:p>
            <w:pPr>
              <w:spacing w:after="40" w:line="264" w:lineRule="auto"/>
            </w:pPr>
            <w:r/>
            <w:r>
              <w:rPr>
                <w:sz w:val="19"/>
              </w:rPr>
              <w:t>후속 산출물에서 해당 연결에 사용한 선행 근거의 식별자·위치를 찾을 수 있는 정도. 현재 문항은 후방 추적을 묻는다.</w:t>
            </w:r>
          </w:p>
        </w:tc>
      </w:tr>
      <w:tr>
        <w:tc>
          <w:tcPr>
            <w:tcW w:type="dxa" w:w="2041"/>
          </w:tcPr>
          <w:p>
            <w:pPr>
              <w:spacing w:after="40" w:line="264" w:lineRule="auto"/>
            </w:pPr>
            <w:r/>
            <w:r>
              <w:rPr>
                <w:sz w:val="19"/>
              </w:rPr>
              <w:t>출처·위치</w:t>
            </w:r>
          </w:p>
        </w:tc>
        <w:tc>
          <w:tcPr>
            <w:tcW w:type="dxa" w:w="7370"/>
          </w:tcPr>
          <w:p>
            <w:pPr>
              <w:spacing w:after="40" w:line="264" w:lineRule="auto"/>
            </w:pPr>
            <w:r/>
            <w:r>
              <w:rPr>
                <w:sz w:val="19"/>
              </w:rPr>
              <w:t>S01 §5.1 PDF p.4 저널 pp.94–101</w:t>
            </w:r>
          </w:p>
        </w:tc>
      </w:tr>
      <w:tr>
        <w:tc>
          <w:tcPr>
            <w:tcW w:type="dxa" w:w="2041"/>
            <w:shd w:val="clear" w:color="auto" w:fill="F3F6FA"/>
          </w:tcPr>
          <w:p>
            <w:pPr>
              <w:spacing w:after="40" w:line="264" w:lineRule="auto"/>
            </w:pPr>
            <w:r/>
            <w:r>
              <w:rPr>
                <w:sz w:val="19"/>
              </w:rPr>
              <w:t>확인 수준</w:t>
            </w:r>
          </w:p>
        </w:tc>
        <w:tc>
          <w:tcPr>
            <w:tcW w:type="dxa" w:w="7370"/>
            <w:shd w:val="clear" w:color="auto" w:fill="F3F6FA"/>
          </w:tcPr>
          <w:p>
            <w:pPr>
              <w:spacing w:after="40" w:line="264" w:lineRule="auto"/>
            </w:pPr>
            <w:r/>
            <w:r>
              <w:rPr>
                <w:sz w:val="19"/>
              </w:rPr>
              <w:t>S01 연구자 본문 확인(§5.1 PDF p.4)</w:t>
            </w:r>
          </w:p>
        </w:tc>
      </w:tr>
      <w:tr>
        <w:tc>
          <w:tcPr>
            <w:tcW w:type="dxa" w:w="2041"/>
          </w:tcPr>
          <w:p>
            <w:pPr>
              <w:spacing w:after="40" w:line="264" w:lineRule="auto"/>
            </w:pPr>
            <w:r/>
            <w:r>
              <w:rPr>
                <w:sz w:val="19"/>
              </w:rPr>
              <w:t>원문이 말하는 범위</w:t>
            </w:r>
          </w:p>
        </w:tc>
        <w:tc>
          <w:tcPr>
            <w:tcW w:type="dxa" w:w="7370"/>
          </w:tcPr>
          <w:p>
            <w:pPr>
              <w:spacing w:after="40" w:line="264" w:lineRule="auto"/>
            </w:pPr>
            <w:r/>
            <w:r>
              <w:rPr>
                <w:sz w:val="19"/>
              </w:rPr>
              <w:t>Gotel·Finkelstein의 추적성은 전방·후방 생애 추적을 포함. 현 문항은 그 중 후방 근거 추적만을 조작화.</w:t>
            </w:r>
          </w:p>
        </w:tc>
      </w:tr>
      <w:tr>
        <w:tc>
          <w:tcPr>
            <w:tcW w:type="dxa" w:w="2041"/>
            <w:shd w:val="clear" w:color="auto" w:fill="F3F6FA"/>
          </w:tcPr>
          <w:p>
            <w:pPr>
              <w:spacing w:after="40" w:line="264" w:lineRule="auto"/>
            </w:pPr>
            <w:r/>
            <w:r>
              <w:rPr>
                <w:sz w:val="19"/>
              </w:rPr>
              <w:t>전이·한계</w:t>
            </w:r>
          </w:p>
        </w:tc>
        <w:tc>
          <w:tcPr>
            <w:tcW w:type="dxa" w:w="7370"/>
            <w:shd w:val="clear" w:color="auto" w:fill="F3F6FA"/>
          </w:tcPr>
          <w:p>
            <w:pPr>
              <w:spacing w:after="40" w:line="264" w:lineRule="auto"/>
            </w:pPr>
            <w:r/>
            <w:r>
              <w:rPr>
                <w:sz w:val="19"/>
              </w:rPr>
              <w:t>소프트웨어 요구사항에서 BCMS로 전이. 전방 추적을 추가할지 Gate 2에서 판단.</w:t>
            </w:r>
          </w:p>
        </w:tc>
      </w:tr>
    </w:tbl>
    <w:p>
      <w:pPr>
        <w:spacing w:after="40"/>
      </w:pPr>
    </w:p>
    <w:p>
      <w:pPr>
        <w:pStyle w:val="Heading2"/>
      </w:pPr>
      <w:r>
        <w:t>EV 연결 증빙가능성 — 연결 품질 후보</w:t>
      </w:r>
    </w:p>
    <w:tbl>
      <w:tblPr>
        <w:tblStyle w:val="TableGrid"/>
        <w:tblW w:type="auto" w:w="0"/>
        <w:jc w:val="center"/>
        <w:tblLayout w:type="fixed"/>
        <w:tblLook w:firstColumn="1" w:firstRow="1" w:lastColumn="0" w:lastRow="0" w:noHBand="0" w:noVBand="1" w:val="04A0"/>
      </w:tblPr>
      <w:tblGrid>
        <w:gridCol w:w="2041"/>
        <w:gridCol w:w="7370"/>
      </w:tblGrid>
      <w:tr>
        <w:tc>
          <w:tcPr>
            <w:tcW w:type="dxa" w:w="2041"/>
            <w:shd w:val="clear" w:color="auto" w:fill="F3F6FA"/>
          </w:tcPr>
          <w:p>
            <w:pPr>
              <w:spacing w:after="40" w:line="264" w:lineRule="auto"/>
            </w:pPr>
            <w:r/>
            <w:r>
              <w:rPr>
                <w:sz w:val="19"/>
              </w:rPr>
              <w:t>조작적 정의 후보(연구자)</w:t>
            </w:r>
          </w:p>
        </w:tc>
        <w:tc>
          <w:tcPr>
            <w:tcW w:type="dxa" w:w="7370"/>
            <w:shd w:val="clear" w:color="auto" w:fill="F3F6FA"/>
          </w:tcPr>
          <w:p>
            <w:pPr>
              <w:spacing w:after="40" w:line="264" w:lineRule="auto"/>
            </w:pPr>
            <w:r/>
            <w:r>
              <w:rPr>
                <w:sz w:val="19"/>
              </w:rPr>
              <w:t>선행 산출물이 후속 프로세스에서 실제 사용·평가된 사실을 검증할 수 있는 기록이 존재하는 정도.</w:t>
            </w:r>
          </w:p>
        </w:tc>
      </w:tr>
      <w:tr>
        <w:tc>
          <w:tcPr>
            <w:tcW w:type="dxa" w:w="2041"/>
          </w:tcPr>
          <w:p>
            <w:pPr>
              <w:spacing w:after="40" w:line="264" w:lineRule="auto"/>
            </w:pPr>
            <w:r/>
            <w:r>
              <w:rPr>
                <w:sz w:val="19"/>
              </w:rPr>
              <w:t>출처·위치</w:t>
            </w:r>
          </w:p>
        </w:tc>
        <w:tc>
          <w:tcPr>
            <w:tcW w:type="dxa" w:w="7370"/>
          </w:tcPr>
          <w:p>
            <w:pPr>
              <w:spacing w:after="40" w:line="264" w:lineRule="auto"/>
            </w:pPr>
            <w:r/>
            <w:r>
              <w:rPr>
                <w:sz w:val="19"/>
              </w:rPr>
              <w:t>B17 PDF p.5; A13·A37</w:t>
            </w:r>
          </w:p>
        </w:tc>
      </w:tr>
      <w:tr>
        <w:tc>
          <w:tcPr>
            <w:tcW w:type="dxa" w:w="2041"/>
            <w:shd w:val="clear" w:color="auto" w:fill="F3F6FA"/>
          </w:tcPr>
          <w:p>
            <w:pPr>
              <w:spacing w:after="40" w:line="264" w:lineRule="auto"/>
            </w:pPr>
            <w:r/>
            <w:r>
              <w:rPr>
                <w:sz w:val="19"/>
              </w:rPr>
              <w:t>확인 수준</w:t>
            </w:r>
          </w:p>
        </w:tc>
        <w:tc>
          <w:tcPr>
            <w:tcW w:type="dxa" w:w="7370"/>
            <w:shd w:val="clear" w:color="auto" w:fill="F3F6FA"/>
          </w:tcPr>
          <w:p>
            <w:pPr>
              <w:spacing w:after="40" w:line="264" w:lineRule="auto"/>
            </w:pPr>
            <w:r/>
            <w:r>
              <w:rPr>
                <w:sz w:val="19"/>
              </w:rPr>
              <w:t>B17 제공 PDF 문자열 대조 일치(PDF p.5 §2.8)</w:t>
            </w:r>
          </w:p>
        </w:tc>
      </w:tr>
      <w:tr>
        <w:tc>
          <w:tcPr>
            <w:tcW w:type="dxa" w:w="2041"/>
          </w:tcPr>
          <w:p>
            <w:pPr>
              <w:spacing w:after="40" w:line="264" w:lineRule="auto"/>
            </w:pPr>
            <w:r/>
            <w:r>
              <w:rPr>
                <w:sz w:val="19"/>
              </w:rPr>
              <w:t>원문이 말하는 범위</w:t>
            </w:r>
          </w:p>
        </w:tc>
        <w:tc>
          <w:tcPr>
            <w:tcW w:type="dxa" w:w="7370"/>
          </w:tcPr>
          <w:p>
            <w:pPr>
              <w:spacing w:after="40" w:line="264" w:lineRule="auto"/>
            </w:pPr>
            <w:r/>
            <w:r>
              <w:rPr>
                <w:sz w:val="19"/>
              </w:rPr>
              <w:t>Białas는 훈련 결과·기록의 인증 증거 역할을 설명. 연결 전체에 대한 차원은 제시하지 않음.</w:t>
            </w:r>
          </w:p>
        </w:tc>
      </w:tr>
      <w:tr>
        <w:tc>
          <w:tcPr>
            <w:tcW w:type="dxa" w:w="2041"/>
            <w:shd w:val="clear" w:color="auto" w:fill="F3F6FA"/>
          </w:tcPr>
          <w:p>
            <w:pPr>
              <w:spacing w:after="40" w:line="264" w:lineRule="auto"/>
            </w:pPr>
            <w:r/>
            <w:r>
              <w:rPr>
                <w:sz w:val="19"/>
              </w:rPr>
              <w:t>전이·한계</w:t>
            </w:r>
          </w:p>
        </w:tc>
        <w:tc>
          <w:tcPr>
            <w:tcW w:type="dxa" w:w="7370"/>
            <w:shd w:val="clear" w:color="auto" w:fill="F3F6FA"/>
          </w:tcPr>
          <w:p>
            <w:pPr>
              <w:spacing w:after="40" w:line="264" w:lineRule="auto"/>
            </w:pPr>
            <w:r/>
            <w:r>
              <w:rPr>
                <w:sz w:val="19"/>
              </w:rPr>
              <w:t>문서의 단순 보유와 구별. TR은 근거 위치, EV는 실제 사용 사실의 증거. 중복 검토 필요.</w:t>
            </w:r>
          </w:p>
        </w:tc>
      </w:tr>
    </w:tbl>
    <w:p>
      <w:pPr>
        <w:spacing w:after="40"/>
      </w:pPr>
    </w:p>
    <w:p>
      <w:pPr>
        <w:pStyle w:val="Heading2"/>
      </w:pPr>
      <w:r>
        <w:t>TM 변경전파 적시성 — 연결 품질 후보</w:t>
      </w:r>
    </w:p>
    <w:tbl>
      <w:tblPr>
        <w:tblStyle w:val="TableGrid"/>
        <w:tblW w:type="auto" w:w="0"/>
        <w:jc w:val="center"/>
        <w:tblLayout w:type="fixed"/>
        <w:tblLook w:firstColumn="1" w:firstRow="1" w:lastColumn="0" w:lastRow="0" w:noHBand="0" w:noVBand="1" w:val="04A0"/>
      </w:tblPr>
      <w:tblGrid>
        <w:gridCol w:w="2041"/>
        <w:gridCol w:w="7370"/>
      </w:tblGrid>
      <w:tr>
        <w:tc>
          <w:tcPr>
            <w:tcW w:type="dxa" w:w="2041"/>
            <w:shd w:val="clear" w:color="auto" w:fill="F3F6FA"/>
          </w:tcPr>
          <w:p>
            <w:pPr>
              <w:spacing w:after="40" w:line="264" w:lineRule="auto"/>
            </w:pPr>
            <w:r/>
            <w:r>
              <w:rPr>
                <w:sz w:val="19"/>
              </w:rPr>
              <w:t>조작적 정의 후보(연구자)</w:t>
            </w:r>
          </w:p>
        </w:tc>
        <w:tc>
          <w:tcPr>
            <w:tcW w:type="dxa" w:w="7370"/>
            <w:shd w:val="clear" w:color="auto" w:fill="F3F6FA"/>
          </w:tcPr>
          <w:p>
            <w:pPr>
              <w:spacing w:after="40" w:line="264" w:lineRule="auto"/>
            </w:pPr>
            <w:r/>
            <w:r>
              <w:rPr>
                <w:sz w:val="19"/>
              </w:rPr>
              <w:t>연결에 영향을 주는 선행 정보의 변경이 후속 업무에 필요한 시점 이전에 전달·처리되는 정도.</w:t>
            </w:r>
          </w:p>
        </w:tc>
      </w:tr>
      <w:tr>
        <w:tc>
          <w:tcPr>
            <w:tcW w:type="dxa" w:w="2041"/>
          </w:tcPr>
          <w:p>
            <w:pPr>
              <w:spacing w:after="40" w:line="264" w:lineRule="auto"/>
            </w:pPr>
            <w:r/>
            <w:r>
              <w:rPr>
                <w:sz w:val="19"/>
              </w:rPr>
              <w:t>출처·위치</w:t>
            </w:r>
          </w:p>
        </w:tc>
        <w:tc>
          <w:tcPr>
            <w:tcW w:type="dxa" w:w="7370"/>
          </w:tcPr>
          <w:p>
            <w:pPr>
              <w:spacing w:after="40" w:line="264" w:lineRule="auto"/>
            </w:pPr>
            <w:r/>
            <w:r>
              <w:rPr>
                <w:sz w:val="19"/>
              </w:rPr>
              <w:t>S04 PDF pp.4–5 저널 pp.214–215; A27·A28·A41</w:t>
            </w:r>
          </w:p>
        </w:tc>
      </w:tr>
      <w:tr>
        <w:tc>
          <w:tcPr>
            <w:tcW w:type="dxa" w:w="2041"/>
            <w:shd w:val="clear" w:color="auto" w:fill="F3F6FA"/>
          </w:tcPr>
          <w:p>
            <w:pPr>
              <w:spacing w:after="40" w:line="264" w:lineRule="auto"/>
            </w:pPr>
            <w:r/>
            <w:r>
              <w:rPr>
                <w:sz w:val="19"/>
              </w:rPr>
              <w:t>확인 수준</w:t>
            </w:r>
          </w:p>
        </w:tc>
        <w:tc>
          <w:tcPr>
            <w:tcW w:type="dxa" w:w="7370"/>
            <w:shd w:val="clear" w:color="auto" w:fill="F3F6FA"/>
          </w:tcPr>
          <w:p>
            <w:pPr>
              <w:spacing w:after="40" w:line="264" w:lineRule="auto"/>
            </w:pPr>
            <w:r/>
            <w:r>
              <w:rPr>
                <w:sz w:val="19"/>
              </w:rPr>
              <w:t>S04 연구자 본문 확인(저널 pp.214–215)</w:t>
            </w:r>
          </w:p>
        </w:tc>
      </w:tr>
      <w:tr>
        <w:tc>
          <w:tcPr>
            <w:tcW w:type="dxa" w:w="2041"/>
          </w:tcPr>
          <w:p>
            <w:pPr>
              <w:spacing w:after="40" w:line="264" w:lineRule="auto"/>
            </w:pPr>
            <w:r/>
            <w:r>
              <w:rPr>
                <w:sz w:val="19"/>
              </w:rPr>
              <w:t>원문이 말하는 범위</w:t>
            </w:r>
          </w:p>
        </w:tc>
        <w:tc>
          <w:tcPr>
            <w:tcW w:type="dxa" w:w="7370"/>
          </w:tcPr>
          <w:p>
            <w:pPr>
              <w:spacing w:after="40" w:line="264" w:lineRule="auto"/>
            </w:pPr>
            <w:r/>
            <w:r>
              <w:rPr>
                <w:sz w:val="19"/>
              </w:rPr>
              <w:t>Pipino 등은 과업과 관련된 데이터의 적시성과 currency를 구분해 논의. 변경 전달기한 자체는 BCMS 적용을 위한 연구자 정의.</w:t>
            </w:r>
          </w:p>
        </w:tc>
      </w:tr>
      <w:tr>
        <w:tc>
          <w:tcPr>
            <w:tcW w:type="dxa" w:w="2041"/>
            <w:shd w:val="clear" w:color="auto" w:fill="F3F6FA"/>
          </w:tcPr>
          <w:p>
            <w:pPr>
              <w:spacing w:after="40" w:line="264" w:lineRule="auto"/>
            </w:pPr>
            <w:r/>
            <w:r>
              <w:rPr>
                <w:sz w:val="19"/>
              </w:rPr>
              <w:t>전이·한계</w:t>
            </w:r>
          </w:p>
        </w:tc>
        <w:tc>
          <w:tcPr>
            <w:tcW w:type="dxa" w:w="7370"/>
            <w:shd w:val="clear" w:color="auto" w:fill="F3F6FA"/>
          </w:tcPr>
          <w:p>
            <w:pPr>
              <w:spacing w:after="40" w:line="264" w:lineRule="auto"/>
            </w:pPr>
            <w:r/>
            <w:r>
              <w:rPr>
                <w:sz w:val="19"/>
              </w:rPr>
              <w:t>정보의 오래됨만 묻는 최신성과 구별. 변경 없음은 별도 코드. 보편적인 고정 기한을 가정하지 않는다.</w:t>
            </w:r>
          </w:p>
        </w:tc>
      </w:tr>
    </w:tbl>
    <w:p>
      <w:pPr>
        <w:spacing w:after="40"/>
      </w:pPr>
    </w:p>
    <w:p>
      <w:pPr>
        <w:pStyle w:val="Heading2"/>
      </w:pPr>
      <w:r>
        <w:t>AC 연결 책임명확성 — 관리조건 후보</w:t>
      </w:r>
    </w:p>
    <w:tbl>
      <w:tblPr>
        <w:tblStyle w:val="TableGrid"/>
        <w:tblW w:type="auto" w:w="0"/>
        <w:jc w:val="center"/>
        <w:tblLayout w:type="fixed"/>
        <w:tblLook w:firstColumn="1" w:firstRow="1" w:lastColumn="0" w:lastRow="0" w:noHBand="0" w:noVBand="1" w:val="04A0"/>
      </w:tblPr>
      <w:tblGrid>
        <w:gridCol w:w="2041"/>
        <w:gridCol w:w="7370"/>
      </w:tblGrid>
      <w:tr>
        <w:tc>
          <w:tcPr>
            <w:tcW w:type="dxa" w:w="2041"/>
            <w:shd w:val="clear" w:color="auto" w:fill="F3F6FA"/>
          </w:tcPr>
          <w:p>
            <w:pPr>
              <w:spacing w:after="40" w:line="264" w:lineRule="auto"/>
            </w:pPr>
            <w:r/>
            <w:r>
              <w:rPr>
                <w:sz w:val="19"/>
              </w:rPr>
              <w:t>조작적 정의 후보(연구자)</w:t>
            </w:r>
          </w:p>
        </w:tc>
        <w:tc>
          <w:tcPr>
            <w:tcW w:type="dxa" w:w="7370"/>
            <w:shd w:val="clear" w:color="auto" w:fill="F3F6FA"/>
          </w:tcPr>
          <w:p>
            <w:pPr>
              <w:spacing w:after="40" w:line="264" w:lineRule="auto"/>
            </w:pPr>
            <w:r/>
            <w:r>
              <w:rPr>
                <w:sz w:val="19"/>
              </w:rPr>
              <w:t>두 프로세스 사이의 전달·조정에 책임을 지는 담당 역할 또는 부서가 명확한 정도.</w:t>
            </w:r>
          </w:p>
        </w:tc>
      </w:tr>
      <w:tr>
        <w:tc>
          <w:tcPr>
            <w:tcW w:type="dxa" w:w="2041"/>
          </w:tcPr>
          <w:p>
            <w:pPr>
              <w:spacing w:after="40" w:line="264" w:lineRule="auto"/>
            </w:pPr>
            <w:r/>
            <w:r>
              <w:rPr>
                <w:sz w:val="19"/>
              </w:rPr>
              <w:t>출처·위치</w:t>
            </w:r>
          </w:p>
        </w:tc>
        <w:tc>
          <w:tcPr>
            <w:tcW w:type="dxa" w:w="7370"/>
          </w:tcPr>
          <w:p>
            <w:pPr>
              <w:spacing w:after="40" w:line="264" w:lineRule="auto"/>
            </w:pPr>
            <w:r/>
            <w:r>
              <w:rPr>
                <w:sz w:val="19"/>
              </w:rPr>
              <w:t>A49·A50; S07 출판사 초록</w:t>
            </w:r>
          </w:p>
        </w:tc>
      </w:tr>
      <w:tr>
        <w:tc>
          <w:tcPr>
            <w:tcW w:type="dxa" w:w="2041"/>
            <w:shd w:val="clear" w:color="auto" w:fill="F3F6FA"/>
          </w:tcPr>
          <w:p>
            <w:pPr>
              <w:spacing w:after="40" w:line="264" w:lineRule="auto"/>
            </w:pPr>
            <w:r/>
            <w:r>
              <w:rPr>
                <w:sz w:val="19"/>
              </w:rPr>
              <w:t>확인 수준</w:t>
            </w:r>
          </w:p>
        </w:tc>
        <w:tc>
          <w:tcPr>
            <w:tcW w:type="dxa" w:w="7370"/>
            <w:shd w:val="clear" w:color="auto" w:fill="F3F6FA"/>
          </w:tcPr>
          <w:p>
            <w:pPr>
              <w:spacing w:after="40" w:line="264" w:lineRule="auto"/>
            </w:pPr>
            <w:r/>
            <w:r>
              <w:rPr>
                <w:sz w:val="19"/>
              </w:rPr>
              <w:t>A49·A50 문자열 대조 일치 · S07 출판사 초록만 확인</w:t>
            </w:r>
          </w:p>
        </w:tc>
      </w:tr>
      <w:tr>
        <w:tc>
          <w:tcPr>
            <w:tcW w:type="dxa" w:w="2041"/>
          </w:tcPr>
          <w:p>
            <w:pPr>
              <w:spacing w:after="40" w:line="264" w:lineRule="auto"/>
            </w:pPr>
            <w:r/>
            <w:r>
              <w:rPr>
                <w:sz w:val="19"/>
              </w:rPr>
              <w:t>원문이 말하는 범위</w:t>
            </w:r>
          </w:p>
        </w:tc>
        <w:tc>
          <w:tcPr>
            <w:tcW w:type="dxa" w:w="7370"/>
          </w:tcPr>
          <w:p>
            <w:pPr>
              <w:spacing w:after="40" w:line="264" w:lineRule="auto"/>
            </w:pPr>
            <w:r/>
            <w:r>
              <w:rPr>
                <w:sz w:val="19"/>
              </w:rPr>
              <w:t>Arias는 프로세스 전체 책임을 설명. Bovens의 accountability는 설명·정당화 의무와 질문·판단·결과 부담을 포함하므로 담당 지정과 다름.</w:t>
            </w:r>
          </w:p>
        </w:tc>
      </w:tr>
      <w:tr>
        <w:tc>
          <w:tcPr>
            <w:tcW w:type="dxa" w:w="2041"/>
            <w:shd w:val="clear" w:color="auto" w:fill="F3F6FA"/>
          </w:tcPr>
          <w:p>
            <w:pPr>
              <w:spacing w:after="40" w:line="264" w:lineRule="auto"/>
            </w:pPr>
            <w:r/>
            <w:r>
              <w:rPr>
                <w:sz w:val="19"/>
              </w:rPr>
              <w:t>전이·한계</w:t>
            </w:r>
          </w:p>
        </w:tc>
        <w:tc>
          <w:tcPr>
            <w:tcW w:type="dxa" w:w="7370"/>
            <w:shd w:val="clear" w:color="auto" w:fill="F3F6FA"/>
          </w:tcPr>
          <w:p>
            <w:pPr>
              <w:spacing w:after="40" w:line="264" w:lineRule="auto"/>
            </w:pPr>
            <w:r/>
            <w:r>
              <w:rPr>
                <w:sz w:val="19"/>
              </w:rPr>
              <w:t>Accountability의 번역 척도로 인용하지 않는다. 품질의 구성 차원인지 선행조건인지 별도 판단.</w:t>
            </w:r>
          </w:p>
        </w:tc>
      </w:tr>
    </w:tbl>
    <w:p>
      <w:pPr>
        <w:spacing w:after="40"/>
      </w:pPr>
    </w:p>
    <w:p>
      <w:pPr>
        <w:pStyle w:val="Heading2"/>
      </w:pPr>
      <w:r>
        <w:t>FC 개선조치 완결성 — 경로 수준 후보</w:t>
      </w:r>
    </w:p>
    <w:tbl>
      <w:tblPr>
        <w:tblStyle w:val="TableGrid"/>
        <w:tblW w:type="auto" w:w="0"/>
        <w:jc w:val="center"/>
        <w:tblLayout w:type="fixed"/>
        <w:tblLook w:firstColumn="1" w:firstRow="1" w:lastColumn="0" w:lastRow="0" w:noHBand="0" w:noVBand="1" w:val="04A0"/>
      </w:tblPr>
      <w:tblGrid>
        <w:gridCol w:w="2041"/>
        <w:gridCol w:w="7370"/>
      </w:tblGrid>
      <w:tr>
        <w:tc>
          <w:tcPr>
            <w:tcW w:type="dxa" w:w="2041"/>
            <w:shd w:val="clear" w:color="auto" w:fill="F3F6FA"/>
          </w:tcPr>
          <w:p>
            <w:pPr>
              <w:spacing w:after="40" w:line="264" w:lineRule="auto"/>
            </w:pPr>
            <w:r/>
            <w:r>
              <w:rPr>
                <w:sz w:val="19"/>
              </w:rPr>
              <w:t>조작적 정의 후보(연구자)</w:t>
            </w:r>
          </w:p>
        </w:tc>
        <w:tc>
          <w:tcPr>
            <w:tcW w:type="dxa" w:w="7370"/>
            <w:shd w:val="clear" w:color="auto" w:fill="F3F6FA"/>
          </w:tcPr>
          <w:p>
            <w:pPr>
              <w:spacing w:after="40" w:line="264" w:lineRule="auto"/>
            </w:pPr>
            <w:r/>
            <w:r>
              <w:rPr>
                <w:sz w:val="19"/>
              </w:rPr>
              <w:t>평가·훈련·사고에서 시작한 개선조치가 지정된 종료 기준을 충족하여 종결되는 정도.</w:t>
            </w:r>
          </w:p>
        </w:tc>
      </w:tr>
      <w:tr>
        <w:tc>
          <w:tcPr>
            <w:tcW w:type="dxa" w:w="2041"/>
          </w:tcPr>
          <w:p>
            <w:pPr>
              <w:spacing w:after="40" w:line="264" w:lineRule="auto"/>
            </w:pPr>
            <w:r/>
            <w:r>
              <w:rPr>
                <w:sz w:val="19"/>
              </w:rPr>
              <w:t>출처·위치</w:t>
            </w:r>
          </w:p>
        </w:tc>
        <w:tc>
          <w:tcPr>
            <w:tcW w:type="dxa" w:w="7370"/>
          </w:tcPr>
          <w:p>
            <w:pPr>
              <w:spacing w:after="40" w:line="264" w:lineRule="auto"/>
            </w:pPr>
            <w:r/>
            <w:r>
              <w:rPr>
                <w:sz w:val="19"/>
              </w:rPr>
              <w:t>A23·A25·A29; 추가 직접 근거 필요</w:t>
            </w:r>
          </w:p>
        </w:tc>
      </w:tr>
      <w:tr>
        <w:tc>
          <w:tcPr>
            <w:tcW w:type="dxa" w:w="2041"/>
            <w:shd w:val="clear" w:color="auto" w:fill="F3F6FA"/>
          </w:tcPr>
          <w:p>
            <w:pPr>
              <w:spacing w:after="40" w:line="264" w:lineRule="auto"/>
            </w:pPr>
            <w:r/>
            <w:r>
              <w:rPr>
                <w:sz w:val="19"/>
              </w:rPr>
              <w:t>확인 수준</w:t>
            </w:r>
          </w:p>
        </w:tc>
        <w:tc>
          <w:tcPr>
            <w:tcW w:type="dxa" w:w="7370"/>
            <w:shd w:val="clear" w:color="auto" w:fill="F3F6FA"/>
          </w:tcPr>
          <w:p>
            <w:pPr>
              <w:spacing w:after="40" w:line="264" w:lineRule="auto"/>
            </w:pPr>
            <w:r/>
            <w:r>
              <w:rPr>
                <w:sz w:val="19"/>
              </w:rPr>
              <w:t>A23·A25·A29 문자열 대조 일치 · S08 출판사 소개만 확인, 직접 근거에서 제외</w:t>
            </w:r>
          </w:p>
        </w:tc>
      </w:tr>
      <w:tr>
        <w:tc>
          <w:tcPr>
            <w:tcW w:type="dxa" w:w="2041"/>
          </w:tcPr>
          <w:p>
            <w:pPr>
              <w:spacing w:after="40" w:line="264" w:lineRule="auto"/>
            </w:pPr>
            <w:r/>
            <w:r>
              <w:rPr>
                <w:sz w:val="19"/>
              </w:rPr>
              <w:t>원문이 말하는 범위</w:t>
            </w:r>
          </w:p>
        </w:tc>
        <w:tc>
          <w:tcPr>
            <w:tcW w:type="dxa" w:w="7370"/>
          </w:tcPr>
          <w:p>
            <w:pPr>
              <w:spacing w:after="40" w:line="264" w:lineRule="auto"/>
            </w:pPr>
            <w:r/>
            <w:r>
              <w:rPr>
                <w:sz w:val="19"/>
              </w:rPr>
              <w:t>Arias는 평가 결과의 개선 활용을 설명하지만 조치 완료까지의 닫힌 순환을 실증하지 않음. S08은 차원 정의의 직접 근거에서 제외.</w:t>
            </w:r>
          </w:p>
        </w:tc>
      </w:tr>
      <w:tr>
        <w:tc>
          <w:tcPr>
            <w:tcW w:type="dxa" w:w="2041"/>
            <w:shd w:val="clear" w:color="auto" w:fill="F3F6FA"/>
          </w:tcPr>
          <w:p>
            <w:pPr>
              <w:spacing w:after="40" w:line="264" w:lineRule="auto"/>
            </w:pPr>
            <w:r/>
            <w:r>
              <w:rPr>
                <w:sz w:val="19"/>
              </w:rPr>
              <w:t>전이·한계</w:t>
            </w:r>
          </w:p>
        </w:tc>
        <w:tc>
          <w:tcPr>
            <w:tcW w:type="dxa" w:w="7370"/>
            <w:shd w:val="clear" w:color="auto" w:fill="F3F6FA"/>
          </w:tcPr>
          <w:p>
            <w:pPr>
              <w:spacing w:after="40" w:line="264" w:lineRule="auto"/>
            </w:pPr>
            <w:r/>
            <w:r>
              <w:rPr>
                <w:sz w:val="19"/>
              </w:rPr>
              <w:t>단일 연결보다 여러 연결을 잇는 경로의 상태. 8개 문항은 경로 지정·종료 기준 보강 전까지 개념 보류.</w:t>
            </w:r>
          </w:p>
        </w:tc>
      </w:tr>
    </w:tbl>
    <w:p>
      <w:pPr>
        <w:spacing w:after="40"/>
      </w:pPr>
    </w:p>
    <w:tbl>
      <w:tblPr>
        <w:tblStyle w:val="TableGrid"/>
        <w:tblW w:type="auto" w:w="0"/>
        <w:tblLayout w:type="fixed"/>
        <w:tblLook w:firstColumn="1" w:firstRow="1" w:lastColumn="0" w:lastRow="0" w:noHBand="0" w:noVBand="1" w:val="04A0"/>
      </w:tblPr>
      <w:tblGrid>
        <w:gridCol w:w="9411"/>
      </w:tblGrid>
      <w:tr>
        <w:tc>
          <w:tcPr>
            <w:tcW w:type="dxa" w:w="9411"/>
            <w:shd w:val="clear" w:color="auto" w:fill="EEF4FB"/>
          </w:tcPr>
          <w:p>
            <w:r>
              <w:rPr>
                <w:b/>
                <w:color w:val="2F6DB5"/>
                <w:sz w:val="19"/>
              </w:rPr>
              <w:t xml:space="preserve">원문 B17 · Białas §2.8 (Fig.3 설명) · PDF p.5  </w:t>
            </w:r>
            <w:r>
              <w:rPr>
                <w:sz w:val="20"/>
              </w:rPr>
              <w:t>“results and records (used as evidences during BCMS certification)”</w:t>
              <w:br/>
              <w:t>참고 번역(연구자): 결과와 기록(BCMS 인증 과정에서 증거로 사용됨)</w:t>
            </w:r>
          </w:p>
        </w:tc>
      </w:tr>
    </w:tbl>
    <w:p>
      <w:pPr>
        <w:spacing w:after="40"/>
      </w:pPr>
    </w:p>
    <w:tbl>
      <w:tblPr>
        <w:tblStyle w:val="TableGrid"/>
        <w:tblW w:type="auto" w:w="0"/>
        <w:tblLayout w:type="fixed"/>
        <w:tblLook w:firstColumn="1" w:firstRow="1" w:lastColumn="0" w:lastRow="0" w:noHBand="0" w:noVBand="1" w:val="04A0"/>
      </w:tblPr>
      <w:tblGrid>
        <w:gridCol w:w="9411"/>
      </w:tblGrid>
      <w:tr>
        <w:tc>
          <w:tcPr>
            <w:tcW w:type="dxa" w:w="9411"/>
            <w:shd w:val="clear" w:color="auto" w:fill="FEF3E6"/>
          </w:tcPr>
          <w:p>
            <w:r>
              <w:rPr>
                <w:b/>
                <w:color w:val="C86A10"/>
                <w:sz w:val="19"/>
              </w:rPr>
              <w:t xml:space="preserve">연구자 해석  </w:t>
            </w:r>
            <w:r>
              <w:rPr>
                <w:sz w:val="20"/>
              </w:rPr>
              <w:t>B17은 훈련 결과와 기록이 인증 과정의 증거로 쓰인다는 서술이다. 이를 모든 연결의 “증빙가능성” 차원으로 일반화한 것은 연구자 확장이며 TR과의 중복을 검토한다. (V4의 “B17 PDF p.6” 표기는 Białas PDF 5쪽 확인 결과 p.5로 정정함 — 수정이력 R26)</w:t>
            </w:r>
          </w:p>
        </w:tc>
      </w:tr>
    </w:tbl>
    <w:p>
      <w:pPr>
        <w:spacing w:after="40"/>
      </w:pPr>
    </w:p>
    <w:tbl>
      <w:tblPr>
        <w:tblStyle w:val="TableGrid"/>
        <w:tblW w:type="auto" w:w="0"/>
        <w:tblLayout w:type="fixed"/>
        <w:tblLook w:firstColumn="1" w:firstRow="1" w:lastColumn="0" w:lastRow="0" w:noHBand="0" w:noVBand="1" w:val="04A0"/>
      </w:tblPr>
      <w:tblGrid>
        <w:gridCol w:w="9411"/>
      </w:tblGrid>
      <w:tr>
        <w:tc>
          <w:tcPr>
            <w:tcW w:type="dxa" w:w="9411"/>
            <w:shd w:val="clear" w:color="auto" w:fill="EEF4FB"/>
          </w:tcPr>
          <w:p>
            <w:r>
              <w:rPr>
                <w:b/>
                <w:color w:val="2F6DB5"/>
                <w:sz w:val="19"/>
              </w:rPr>
              <w:t xml:space="preserve">원문 A49 · Arias §4.1 · PDF p.9  </w:t>
            </w:r>
            <w:r>
              <w:rPr>
                <w:sz w:val="20"/>
              </w:rPr>
              <w:t>“This means that the business continuity manager is accountable for the whole process.”</w:t>
              <w:br/>
              <w:t>참고 번역(연구자): 이는 업무연속성 관리자가 프로세스 전체에 대해 책임(accountable)을 진다는 뜻이다.</w:t>
            </w:r>
          </w:p>
        </w:tc>
      </w:tr>
    </w:tbl>
    <w:p>
      <w:pPr>
        <w:spacing w:after="40"/>
      </w:pPr>
    </w:p>
    <w:p>
      <w:r>
        <w:rPr>
          <w:b w:val="0"/>
          <w:i/>
          <w:color w:val="6B7A90"/>
          <w:sz w:val="18"/>
        </w:rPr>
        <w:t>출처: 시트 품질개념6·인용지도; Gotel &amp; Finkelstein(1994) §5.1; Wang &amp; Strong(1996) App. D1; Pipino 외(2002) pp.214–215; Zowghi &amp; Gervasi(2003)·Bovens(2007) 초록; Argyris(1977).</w:t>
      </w:r>
    </w:p>
    <w:p>
      <w:pPr>
        <w:pStyle w:val="Heading1"/>
      </w:pPr>
      <w:r>
        <w:t>6. 문항과 응답 설계</w:t>
      </w:r>
    </w:p>
    <w:p>
      <w:pPr>
        <w:pStyle w:val="Heading2"/>
      </w:pPr>
      <w:r>
        <w:t>6.1 L06 한 연결에서 나오는 문항 후보</w:t>
      </w:r>
    </w:p>
    <w:tbl>
      <w:tblPr>
        <w:tblStyle w:val="TableGrid"/>
        <w:tblW w:type="auto" w:w="0"/>
        <w:jc w:val="center"/>
        <w:tblLayout w:type="fixed"/>
        <w:tblLook w:firstColumn="1" w:firstRow="1" w:lastColumn="0" w:lastRow="0" w:noHBand="0" w:noVBand="1" w:val="04A0"/>
      </w:tblPr>
      <w:tblGrid>
        <w:gridCol w:w="1928"/>
        <w:gridCol w:w="7483"/>
      </w:tblGrid>
      <w:tr>
        <w:trPr>
          <w:tblHeader w:val="true"/>
        </w:trPr>
        <w:tc>
          <w:tcPr>
            <w:tcW w:type="dxa" w:w="1928"/>
            <w:shd w:val="clear" w:color="auto" w:fill="14213D"/>
          </w:tcPr>
          <w:p>
            <w:pPr>
              <w:spacing w:after="40" w:line="264" w:lineRule="auto"/>
            </w:pPr>
            <w:r/>
            <w:r>
              <w:rPr>
                <w:b/>
                <w:color w:val="FFFFFF"/>
                <w:sz w:val="19"/>
              </w:rPr>
              <w:t>개념</w:t>
            </w:r>
          </w:p>
        </w:tc>
        <w:tc>
          <w:tcPr>
            <w:tcW w:type="dxa" w:w="7483"/>
            <w:shd w:val="clear" w:color="auto" w:fill="14213D"/>
          </w:tcPr>
          <w:p>
            <w:pPr>
              <w:spacing w:after="40" w:line="264" w:lineRule="auto"/>
            </w:pPr>
            <w:r/>
            <w:r>
              <w:rPr>
                <w:b/>
                <w:color w:val="FFFFFF"/>
                <w:sz w:val="19"/>
              </w:rPr>
              <w:t>L06 문항 후보 (V4)</w:t>
            </w:r>
          </w:p>
        </w:tc>
      </w:tr>
      <w:tr>
        <w:tc>
          <w:tcPr>
            <w:tcW w:type="dxa" w:w="1928"/>
          </w:tcPr>
          <w:p>
            <w:pPr>
              <w:spacing w:after="40" w:line="264" w:lineRule="auto"/>
            </w:pPr>
            <w:r/>
            <w:r>
              <w:rPr>
                <w:sz w:val="19"/>
              </w:rPr>
              <w:t>정합성</w:t>
            </w:r>
          </w:p>
        </w:tc>
        <w:tc>
          <w:tcPr>
            <w:tcW w:type="dxa" w:w="7483"/>
          </w:tcPr>
          <w:p>
            <w:pPr>
              <w:spacing w:after="40" w:line="264" w:lineRule="auto"/>
            </w:pPr>
            <w:r/>
            <w:r>
              <w:rPr>
                <w:sz w:val="19"/>
              </w:rPr>
              <w:t>우리 조직에서는 BIA에서 도출·승인된 업무연속성 요구사항가 전략·솔루션 선정의 근거가 될 때, 두 내용 중 서로 대응해야 하는 기준·수치·전제에 모순이 없다.</w:t>
            </w:r>
          </w:p>
        </w:tc>
      </w:tr>
      <w:tr>
        <w:tc>
          <w:tcPr>
            <w:tcW w:type="dxa" w:w="1928"/>
            <w:shd w:val="clear" w:color="auto" w:fill="F3F6FA"/>
          </w:tcPr>
          <w:p>
            <w:pPr>
              <w:spacing w:after="40" w:line="264" w:lineRule="auto"/>
            </w:pPr>
            <w:r/>
            <w:r>
              <w:rPr>
                <w:sz w:val="19"/>
              </w:rPr>
              <w:t>근거 추적가능성</w:t>
            </w:r>
          </w:p>
        </w:tc>
        <w:tc>
          <w:tcPr>
            <w:tcW w:type="dxa" w:w="7483"/>
            <w:shd w:val="clear" w:color="auto" w:fill="F3F6FA"/>
          </w:tcPr>
          <w:p>
            <w:pPr>
              <w:spacing w:after="40" w:line="264" w:lineRule="auto"/>
            </w:pPr>
            <w:r/>
            <w:r>
              <w:rPr>
                <w:sz w:val="19"/>
              </w:rPr>
              <w:t>우리 조직에서는 전략·솔루션 선정 결과에서 근거가 된 BIA에서 도출·승인된 업무연속성 요구사항를 식별자나 문서 위치를 통해 찾아갈 수 있다.</w:t>
            </w:r>
          </w:p>
        </w:tc>
      </w:tr>
      <w:tr>
        <w:tc>
          <w:tcPr>
            <w:tcW w:type="dxa" w:w="1928"/>
          </w:tcPr>
          <w:p>
            <w:pPr>
              <w:spacing w:after="40" w:line="264" w:lineRule="auto"/>
            </w:pPr>
            <w:r/>
            <w:r>
              <w:rPr>
                <w:sz w:val="19"/>
              </w:rPr>
              <w:t>연결 증빙가능성</w:t>
            </w:r>
          </w:p>
        </w:tc>
        <w:tc>
          <w:tcPr>
            <w:tcW w:type="dxa" w:w="7483"/>
          </w:tcPr>
          <w:p>
            <w:pPr>
              <w:spacing w:after="40" w:line="264" w:lineRule="auto"/>
            </w:pPr>
            <w:r/>
            <w:r>
              <w:rPr>
                <w:sz w:val="19"/>
              </w:rPr>
              <w:t>우리 조직에서는 BIA에서 도출·승인된 업무연속성 요구사항가 전략·솔루션 선정의 근거가 될 때, 실제 사용 또는 평가 사실을 보여 주는 기록이 남아 있다.</w:t>
            </w:r>
          </w:p>
        </w:tc>
      </w:tr>
      <w:tr>
        <w:tc>
          <w:tcPr>
            <w:tcW w:type="dxa" w:w="1928"/>
            <w:shd w:val="clear" w:color="auto" w:fill="F3F6FA"/>
          </w:tcPr>
          <w:p>
            <w:pPr>
              <w:spacing w:after="40" w:line="264" w:lineRule="auto"/>
            </w:pPr>
            <w:r/>
            <w:r>
              <w:rPr>
                <w:sz w:val="19"/>
              </w:rPr>
              <w:t>변경전파 적시성</w:t>
            </w:r>
          </w:p>
        </w:tc>
        <w:tc>
          <w:tcPr>
            <w:tcW w:type="dxa" w:w="7483"/>
            <w:shd w:val="clear" w:color="auto" w:fill="F3F6FA"/>
          </w:tcPr>
          <w:p>
            <w:pPr>
              <w:spacing w:after="40" w:line="264" w:lineRule="auto"/>
            </w:pPr>
            <w:r/>
            <w:r>
              <w:rPr>
                <w:sz w:val="19"/>
              </w:rPr>
              <w:t>우리 조직에서는 BIA에서 도출·승인된 업무연속성 요구사항가 바뀌면, 그 변경 정보가 BC 전략·솔루션 결정·선정 업무에 필요한 시점 이전에 전달·처리된다.</w:t>
            </w:r>
          </w:p>
        </w:tc>
      </w:tr>
      <w:tr>
        <w:tc>
          <w:tcPr>
            <w:tcW w:type="dxa" w:w="1928"/>
          </w:tcPr>
          <w:p>
            <w:pPr>
              <w:spacing w:after="40" w:line="264" w:lineRule="auto"/>
            </w:pPr>
            <w:r/>
            <w:r>
              <w:rPr>
                <w:sz w:val="19"/>
              </w:rPr>
              <w:t>연결 책임명확성</w:t>
            </w:r>
          </w:p>
        </w:tc>
        <w:tc>
          <w:tcPr>
            <w:tcW w:type="dxa" w:w="7483"/>
          </w:tcPr>
          <w:p>
            <w:pPr>
              <w:spacing w:after="40" w:line="264" w:lineRule="auto"/>
            </w:pPr>
            <w:r/>
            <w:r>
              <w:rPr>
                <w:sz w:val="19"/>
              </w:rPr>
              <w:t>우리 조직에서는 BIA·중요도 분석와 BC 전략·솔루션 결정·선정 사이의 해당 연결을 조정할 책임 역할 또는 부서가 명확하다.</w:t>
            </w:r>
          </w:p>
        </w:tc>
      </w:tr>
    </w:tbl>
    <w:p>
      <w:pPr>
        <w:spacing w:after="40"/>
      </w:pPr>
    </w:p>
    <w:p>
      <w:r>
        <w:rPr>
          <w:b w:val="0"/>
          <w:i w:val="0"/>
          <w:sz w:val="20"/>
        </w:rPr>
        <w:t>문항은 연구자 작성 후보이며 상태는 “미검토”이다. 연결의 내용과 품질 개념이 모두 적합한 곳에서만 문항을 만들고 전 관계×전 개념 배정은 하지 않는다.</w:t>
      </w:r>
    </w:p>
    <w:p>
      <w:pPr>
        <w:pStyle w:val="Heading2"/>
      </w:pPr>
      <w:r>
        <w:t>6.2 문항 은행 179의 구성</w:t>
      </w:r>
    </w:p>
    <w:tbl>
      <w:tblPr>
        <w:tblStyle w:val="TableGrid"/>
        <w:tblW w:type="auto" w:w="0"/>
        <w:jc w:val="center"/>
        <w:tblLayout w:type="fixed"/>
        <w:tblLook w:firstColumn="1" w:firstRow="1" w:lastColumn="0" w:lastRow="0" w:noHBand="0" w:noVBand="1" w:val="04A0"/>
      </w:tblPr>
      <w:tblGrid>
        <w:gridCol w:w="2835"/>
        <w:gridCol w:w="907"/>
        <w:gridCol w:w="5669"/>
      </w:tblGrid>
      <w:tr>
        <w:trPr>
          <w:tblHeader w:val="true"/>
        </w:trPr>
        <w:tc>
          <w:tcPr>
            <w:tcW w:type="dxa" w:w="2835"/>
            <w:shd w:val="clear" w:color="auto" w:fill="14213D"/>
          </w:tcPr>
          <w:p>
            <w:pPr>
              <w:spacing w:after="40" w:line="264" w:lineRule="auto"/>
            </w:pPr>
            <w:r/>
            <w:r>
              <w:rPr>
                <w:b/>
                <w:color w:val="FFFFFF"/>
                <w:sz w:val="20"/>
              </w:rPr>
              <w:t>검토 기록</w:t>
            </w:r>
          </w:p>
        </w:tc>
        <w:tc>
          <w:tcPr>
            <w:tcW w:type="dxa" w:w="907"/>
            <w:shd w:val="clear" w:color="auto" w:fill="14213D"/>
          </w:tcPr>
          <w:p>
            <w:pPr>
              <w:spacing w:after="40" w:line="264" w:lineRule="auto"/>
            </w:pPr>
            <w:r/>
            <w:r>
              <w:rPr>
                <w:b/>
                <w:color w:val="FFFFFF"/>
                <w:sz w:val="20"/>
              </w:rPr>
              <w:t>수</w:t>
            </w:r>
          </w:p>
        </w:tc>
        <w:tc>
          <w:tcPr>
            <w:tcW w:type="dxa" w:w="5669"/>
            <w:shd w:val="clear" w:color="auto" w:fill="14213D"/>
          </w:tcPr>
          <w:p>
            <w:pPr>
              <w:spacing w:after="40" w:line="264" w:lineRule="auto"/>
            </w:pPr>
            <w:r/>
            <w:r>
              <w:rPr>
                <w:b/>
                <w:color w:val="FFFFFF"/>
                <w:sz w:val="20"/>
              </w:rPr>
              <w:t>다음 처리</w:t>
            </w:r>
          </w:p>
        </w:tc>
      </w:tr>
      <w:tr>
        <w:tc>
          <w:tcPr>
            <w:tcW w:type="dxa" w:w="2835"/>
          </w:tcPr>
          <w:p>
            <w:pPr>
              <w:spacing w:after="40" w:line="264" w:lineRule="auto"/>
            </w:pPr>
            <w:r/>
            <w:r>
              <w:rPr>
                <w:sz w:val="20"/>
              </w:rPr>
              <w:t>연결품질 후보</w:t>
            </w:r>
          </w:p>
        </w:tc>
        <w:tc>
          <w:tcPr>
            <w:tcW w:type="dxa" w:w="907"/>
          </w:tcPr>
          <w:p>
            <w:pPr>
              <w:spacing w:after="40" w:line="264" w:lineRule="auto"/>
            </w:pPr>
            <w:r/>
            <w:r>
              <w:rPr>
                <w:sz w:val="20"/>
              </w:rPr>
              <w:t>96</w:t>
            </w:r>
          </w:p>
        </w:tc>
        <w:tc>
          <w:tcPr>
            <w:tcW w:type="dxa" w:w="5669"/>
          </w:tcPr>
          <w:p>
            <w:pPr>
              <w:spacing w:after="40" w:line="264" w:lineRule="auto"/>
            </w:pPr>
            <w:r/>
            <w:r>
              <w:rPr>
                <w:sz w:val="20"/>
              </w:rPr>
              <w:t>4개 개념 적합성·중복 검토</w:t>
            </w:r>
          </w:p>
        </w:tc>
      </w:tr>
      <w:tr>
        <w:tc>
          <w:tcPr>
            <w:tcW w:type="dxa" w:w="2835"/>
            <w:shd w:val="clear" w:color="auto" w:fill="F3F6FA"/>
          </w:tcPr>
          <w:p>
            <w:pPr>
              <w:spacing w:after="40" w:line="264" w:lineRule="auto"/>
            </w:pPr>
            <w:r/>
            <w:r>
              <w:rPr>
                <w:sz w:val="20"/>
              </w:rPr>
              <w:t>관리조건 후보</w:t>
            </w:r>
          </w:p>
        </w:tc>
        <w:tc>
          <w:tcPr>
            <w:tcW w:type="dxa" w:w="907"/>
            <w:shd w:val="clear" w:color="auto" w:fill="F3F6FA"/>
          </w:tcPr>
          <w:p>
            <w:pPr>
              <w:spacing w:after="40" w:line="264" w:lineRule="auto"/>
            </w:pPr>
            <w:r/>
            <w:r>
              <w:rPr>
                <w:sz w:val="20"/>
              </w:rPr>
              <w:t>24</w:t>
            </w:r>
          </w:p>
        </w:tc>
        <w:tc>
          <w:tcPr>
            <w:tcW w:type="dxa" w:w="5669"/>
            <w:shd w:val="clear" w:color="auto" w:fill="F3F6FA"/>
          </w:tcPr>
          <w:p>
            <w:pPr>
              <w:spacing w:after="40" w:line="264" w:lineRule="auto"/>
            </w:pPr>
            <w:r/>
            <w:r>
              <w:rPr>
                <w:sz w:val="20"/>
              </w:rPr>
              <w:t>역할 구분 후 포함 여부 판단</w:t>
            </w:r>
          </w:p>
        </w:tc>
      </w:tr>
      <w:tr>
        <w:tc>
          <w:tcPr>
            <w:tcW w:type="dxa" w:w="2835"/>
          </w:tcPr>
          <w:p>
            <w:pPr>
              <w:spacing w:after="40" w:line="264" w:lineRule="auto"/>
            </w:pPr>
            <w:r/>
            <w:r>
              <w:rPr>
                <w:sz w:val="20"/>
              </w:rPr>
              <w:t>개선 경로 후보</w:t>
            </w:r>
          </w:p>
        </w:tc>
        <w:tc>
          <w:tcPr>
            <w:tcW w:type="dxa" w:w="907"/>
          </w:tcPr>
          <w:p>
            <w:pPr>
              <w:spacing w:after="40" w:line="264" w:lineRule="auto"/>
            </w:pPr>
            <w:r/>
            <w:r>
              <w:rPr>
                <w:sz w:val="20"/>
              </w:rPr>
              <w:t>8</w:t>
            </w:r>
          </w:p>
        </w:tc>
        <w:tc>
          <w:tcPr>
            <w:tcW w:type="dxa" w:w="5669"/>
          </w:tcPr>
          <w:p>
            <w:pPr>
              <w:spacing w:after="40" w:line="264" w:lineRule="auto"/>
            </w:pPr>
            <w:r/>
            <w:r>
              <w:rPr>
                <w:sz w:val="20"/>
              </w:rPr>
              <w:t>직접 근거·경로·종료 기준 보강 전 개념 보류</w:t>
            </w:r>
          </w:p>
        </w:tc>
      </w:tr>
      <w:tr>
        <w:tc>
          <w:tcPr>
            <w:tcW w:type="dxa" w:w="2835"/>
            <w:shd w:val="clear" w:color="auto" w:fill="F3F6FA"/>
          </w:tcPr>
          <w:p>
            <w:pPr>
              <w:spacing w:after="40" w:line="264" w:lineRule="auto"/>
            </w:pPr>
            <w:r/>
            <w:r>
              <w:rPr>
                <w:sz w:val="20"/>
              </w:rPr>
              <w:t>구조·근거 보류</w:t>
            </w:r>
          </w:p>
        </w:tc>
        <w:tc>
          <w:tcPr>
            <w:tcW w:type="dxa" w:w="907"/>
            <w:shd w:val="clear" w:color="auto" w:fill="F3F6FA"/>
          </w:tcPr>
          <w:p>
            <w:pPr>
              <w:spacing w:after="40" w:line="264" w:lineRule="auto"/>
            </w:pPr>
            <w:r/>
            <w:r>
              <w:rPr>
                <w:sz w:val="20"/>
              </w:rPr>
              <w:t>35</w:t>
            </w:r>
          </w:p>
        </w:tc>
        <w:tc>
          <w:tcPr>
            <w:tcW w:type="dxa" w:w="5669"/>
            <w:shd w:val="clear" w:color="auto" w:fill="F3F6FA"/>
          </w:tcPr>
          <w:p>
            <w:pPr>
              <w:spacing w:after="40" w:line="264" w:lineRule="auto"/>
            </w:pPr>
            <w:r/>
            <w:r>
              <w:rPr>
                <w:sz w:val="20"/>
              </w:rPr>
              <w:t>ID 보존, 현재 투입 제외</w:t>
            </w:r>
          </w:p>
        </w:tc>
      </w:tr>
      <w:tr>
        <w:tc>
          <w:tcPr>
            <w:tcW w:type="dxa" w:w="2835"/>
          </w:tcPr>
          <w:p>
            <w:pPr>
              <w:spacing w:after="40" w:line="264" w:lineRule="auto"/>
            </w:pPr>
            <w:r/>
            <w:r>
              <w:rPr>
                <w:sz w:val="20"/>
              </w:rPr>
              <w:t>종합 7 + 응답 검토·준거 9</w:t>
            </w:r>
          </w:p>
        </w:tc>
        <w:tc>
          <w:tcPr>
            <w:tcW w:type="dxa" w:w="907"/>
          </w:tcPr>
          <w:p>
            <w:pPr>
              <w:spacing w:after="40" w:line="264" w:lineRule="auto"/>
            </w:pPr>
            <w:r/>
            <w:r>
              <w:rPr>
                <w:sz w:val="20"/>
              </w:rPr>
              <w:t>16</w:t>
            </w:r>
          </w:p>
        </w:tc>
        <w:tc>
          <w:tcPr>
            <w:tcW w:type="dxa" w:w="5669"/>
          </w:tcPr>
          <w:p>
            <w:pPr>
              <w:spacing w:after="40" w:line="264" w:lineRule="auto"/>
            </w:pPr>
            <w:r/>
            <w:r>
              <w:rPr>
                <w:sz w:val="20"/>
              </w:rPr>
              <w:t>보조 용도, 독립 외부타당도 근거로 자동 사용 금지</w:t>
            </w:r>
          </w:p>
        </w:tc>
      </w:tr>
    </w:tbl>
    <w:p>
      <w:pPr>
        <w:spacing w:after="40"/>
      </w:pPr>
    </w:p>
    <w:p>
      <w:r>
        <w:rPr>
          <w:b w:val="0"/>
          <w:i/>
          <w:color w:val="6B7A90"/>
          <w:sz w:val="18"/>
        </w:rPr>
        <w:t>합계 96+24+8+35+16=179. 179개는 검토 은행이며 최종 문항 수가 아니다(수정이력 R17). 출처: 시트 예비문항179; Boateng 외(2018) Table 1.</w:t>
      </w:r>
    </w:p>
    <w:p>
      <w:pPr>
        <w:pStyle w:val="Heading2"/>
      </w:pPr>
      <w:r>
        <w:t>6.3 객체·관계·관측의 층 (Białas 방식 차용)</w:t>
      </w:r>
    </w:p>
    <w:tbl>
      <w:tblPr>
        <w:tblStyle w:val="TableGrid"/>
        <w:tblW w:type="auto" w:w="0"/>
        <w:jc w:val="center"/>
        <w:tblLayout w:type="fixed"/>
        <w:tblLook w:firstColumn="1" w:firstRow="1" w:lastColumn="0" w:lastRow="0" w:noHBand="0" w:noVBand="1" w:val="04A0"/>
      </w:tblPr>
      <w:tblGrid>
        <w:gridCol w:w="2381"/>
        <w:gridCol w:w="4195"/>
        <w:gridCol w:w="2835"/>
      </w:tblGrid>
      <w:tr>
        <w:trPr>
          <w:tblHeader w:val="true"/>
        </w:trPr>
        <w:tc>
          <w:tcPr>
            <w:tcW w:type="dxa" w:w="2381"/>
            <w:shd w:val="clear" w:color="auto" w:fill="14213D"/>
          </w:tcPr>
          <w:p>
            <w:pPr>
              <w:spacing w:after="40" w:line="264" w:lineRule="auto"/>
            </w:pPr>
            <w:r/>
            <w:r>
              <w:rPr>
                <w:b/>
                <w:color w:val="FFFFFF"/>
                <w:sz w:val="18"/>
              </w:rPr>
              <w:t>층</w:t>
            </w:r>
          </w:p>
        </w:tc>
        <w:tc>
          <w:tcPr>
            <w:tcW w:type="dxa" w:w="4195"/>
            <w:shd w:val="clear" w:color="auto" w:fill="14213D"/>
          </w:tcPr>
          <w:p>
            <w:pPr>
              <w:spacing w:after="40" w:line="264" w:lineRule="auto"/>
            </w:pPr>
            <w:r/>
            <w:r>
              <w:rPr>
                <w:b/>
                <w:color w:val="FFFFFF"/>
                <w:sz w:val="18"/>
              </w:rPr>
              <w:t>정의</w:t>
            </w:r>
          </w:p>
        </w:tc>
        <w:tc>
          <w:tcPr>
            <w:tcW w:type="dxa" w:w="2835"/>
            <w:shd w:val="clear" w:color="auto" w:fill="14213D"/>
          </w:tcPr>
          <w:p>
            <w:pPr>
              <w:spacing w:after="40" w:line="264" w:lineRule="auto"/>
            </w:pPr>
            <w:r/>
            <w:r>
              <w:rPr>
                <w:b/>
                <w:color w:val="FFFFFF"/>
                <w:sz w:val="18"/>
              </w:rPr>
              <w:t>L06 예</w:t>
            </w:r>
          </w:p>
        </w:tc>
      </w:tr>
      <w:tr>
        <w:tc>
          <w:tcPr>
            <w:tcW w:type="dxa" w:w="2381"/>
          </w:tcPr>
          <w:p>
            <w:pPr>
              <w:spacing w:after="40" w:line="264" w:lineRule="auto"/>
            </w:pPr>
            <w:r/>
            <w:r>
              <w:rPr>
                <w:sz w:val="18"/>
              </w:rPr>
              <w:t>범위 · ProcessType</w:t>
            </w:r>
          </w:p>
        </w:tc>
        <w:tc>
          <w:tcPr>
            <w:tcW w:type="dxa" w:w="4195"/>
          </w:tcPr>
          <w:p>
            <w:pPr>
              <w:spacing w:after="40" w:line="264" w:lineRule="auto"/>
            </w:pPr>
            <w:r/>
            <w:r>
              <w:rPr>
                <w:sz w:val="18"/>
              </w:rPr>
              <w:t>Arias Table 5의 22개 프로세스 유형. 실제 조직에서 수행되는 ProcessInstance와 구별.</w:t>
            </w:r>
          </w:p>
        </w:tc>
        <w:tc>
          <w:tcPr>
            <w:tcW w:type="dxa" w:w="2835"/>
          </w:tcPr>
          <w:p>
            <w:pPr>
              <w:spacing w:after="40" w:line="264" w:lineRule="auto"/>
            </w:pPr>
            <w:r/>
            <w:r>
              <w:rPr>
                <w:sz w:val="18"/>
              </w:rPr>
              <w:t>GOV·POL·REQ 등 22개</w:t>
            </w:r>
          </w:p>
        </w:tc>
      </w:tr>
      <w:tr>
        <w:tc>
          <w:tcPr>
            <w:tcW w:type="dxa" w:w="2381"/>
            <w:shd w:val="clear" w:color="auto" w:fill="F3F6FA"/>
          </w:tcPr>
          <w:p>
            <w:pPr>
              <w:spacing w:after="40" w:line="264" w:lineRule="auto"/>
            </w:pPr>
            <w:r/>
            <w:r>
              <w:rPr>
                <w:sz w:val="18"/>
              </w:rPr>
              <w:t>산출물 · Artifact</w:t>
            </w:r>
          </w:p>
        </w:tc>
        <w:tc>
          <w:tcPr>
            <w:tcW w:type="dxa" w:w="4195"/>
            <w:shd w:val="clear" w:color="auto" w:fill="F3F6FA"/>
          </w:tcPr>
          <w:p>
            <w:pPr>
              <w:spacing w:after="40" w:line="264" w:lineRule="auto"/>
            </w:pPr>
            <w:r/>
            <w:r>
              <w:rPr>
                <w:sz w:val="18"/>
              </w:rPr>
              <w:t>보고서·승인 요구사항·기록·자원 사용 보고. 프로세스와 산출물을 혼합하지 않음.</w:t>
            </w:r>
          </w:p>
        </w:tc>
        <w:tc>
          <w:tcPr>
            <w:tcW w:type="dxa" w:w="2835"/>
            <w:shd w:val="clear" w:color="auto" w:fill="F3F6FA"/>
          </w:tcPr>
          <w:p>
            <w:pPr>
              <w:spacing w:after="40" w:line="264" w:lineRule="auto"/>
            </w:pPr>
            <w:r/>
            <w:r>
              <w:rPr>
                <w:sz w:val="18"/>
              </w:rPr>
              <w:t>BIA 보고서 ≠ BIA 프로세스</w:t>
            </w:r>
          </w:p>
        </w:tc>
      </w:tr>
      <w:tr>
        <w:tc>
          <w:tcPr>
            <w:tcW w:type="dxa" w:w="2381"/>
          </w:tcPr>
          <w:p>
            <w:pPr>
              <w:spacing w:after="40" w:line="264" w:lineRule="auto"/>
            </w:pPr>
            <w:r/>
            <w:r>
              <w:rPr>
                <w:sz w:val="18"/>
              </w:rPr>
              <w:t>관계 · ProcessLink</w:t>
            </w:r>
          </w:p>
        </w:tc>
        <w:tc>
          <w:tcPr>
            <w:tcW w:type="dxa" w:w="4195"/>
          </w:tcPr>
          <w:p>
            <w:pPr>
              <w:spacing w:after="40" w:line="264" w:lineRule="auto"/>
            </w:pPr>
            <w:r/>
            <w:r>
              <w:rPr>
                <w:sz w:val="18"/>
              </w:rPr>
              <w:t>sourceProcess·targetProcess·predicate·매개 산출물·원문 출처·문헌 직접성을 기록.</w:t>
            </w:r>
          </w:p>
        </w:tc>
        <w:tc>
          <w:tcPr>
            <w:tcW w:type="dxa" w:w="2835"/>
          </w:tcPr>
          <w:p>
            <w:pPr>
              <w:spacing w:after="40" w:line="264" w:lineRule="auto"/>
            </w:pPr>
            <w:r/>
            <w:r>
              <w:rPr>
                <w:sz w:val="18"/>
              </w:rPr>
              <w:t>L06: BIA 승인 요구사항→전략 선정 기준</w:t>
            </w:r>
          </w:p>
        </w:tc>
      </w:tr>
      <w:tr>
        <w:tc>
          <w:tcPr>
            <w:tcW w:type="dxa" w:w="2381"/>
            <w:shd w:val="clear" w:color="auto" w:fill="F3F6FA"/>
          </w:tcPr>
          <w:p>
            <w:pPr>
              <w:spacing w:after="40" w:line="264" w:lineRule="auto"/>
            </w:pPr>
            <w:r/>
            <w:r>
              <w:rPr>
                <w:sz w:val="18"/>
              </w:rPr>
              <w:t>방향 · 의미 방향</w:t>
            </w:r>
          </w:p>
        </w:tc>
        <w:tc>
          <w:tcPr>
            <w:tcW w:type="dxa" w:w="4195"/>
            <w:shd w:val="clear" w:color="auto" w:fill="F3F6FA"/>
          </w:tcPr>
          <w:p>
            <w:pPr>
              <w:spacing w:after="40" w:line="264" w:lineRule="auto"/>
            </w:pPr>
            <w:r/>
            <w:r>
              <w:rPr>
                <w:sz w:val="18"/>
              </w:rPr>
              <w:t>testedBy는 시험 대상→시험 활동. 관계 방향이 실제 문서 이동 방향과 항상 같지는 않음.</w:t>
            </w:r>
          </w:p>
        </w:tc>
        <w:tc>
          <w:tcPr>
            <w:tcW w:type="dxa" w:w="2835"/>
            <w:shd w:val="clear" w:color="auto" w:fill="F3F6FA"/>
          </w:tcPr>
          <w:p>
            <w:pPr>
              <w:spacing w:after="40" w:line="264" w:lineRule="auto"/>
            </w:pPr>
            <w:r/>
            <w:r>
              <w:rPr>
                <w:sz w:val="18"/>
              </w:rPr>
              <w:t>L15 PLAN testedBy EXE</w:t>
            </w:r>
          </w:p>
        </w:tc>
      </w:tr>
      <w:tr>
        <w:tc>
          <w:tcPr>
            <w:tcW w:type="dxa" w:w="2381"/>
          </w:tcPr>
          <w:p>
            <w:pPr>
              <w:spacing w:after="40" w:line="264" w:lineRule="auto"/>
            </w:pPr>
            <w:r/>
            <w:r>
              <w:rPr>
                <w:sz w:val="18"/>
              </w:rPr>
              <w:t>관측 · LinkObservation</w:t>
            </w:r>
          </w:p>
        </w:tc>
        <w:tc>
          <w:tcPr>
            <w:tcW w:type="dxa" w:w="4195"/>
          </w:tcPr>
          <w:p>
            <w:pPr>
              <w:spacing w:after="40" w:line="264" w:lineRule="auto"/>
            </w:pPr>
            <w:r/>
            <w:r>
              <w:rPr>
                <w:sz w:val="18"/>
              </w:rPr>
              <w:t>조직·응답자·관측 기간·관계 인스턴스·문항 ID·응답 코드가 있어야 품질 상태 관측이 성립.</w:t>
            </w:r>
          </w:p>
        </w:tc>
        <w:tc>
          <w:tcPr>
            <w:tcW w:type="dxa" w:w="2835"/>
          </w:tcPr>
          <w:p>
            <w:pPr>
              <w:spacing w:after="40" w:line="264" w:lineRule="auto"/>
            </w:pPr>
            <w:r/>
            <w:r>
              <w:rPr>
                <w:sz w:val="18"/>
              </w:rPr>
              <w:t>같은 L06도 조직·시점별 상태가 다름</w:t>
            </w:r>
          </w:p>
        </w:tc>
      </w:tr>
      <w:tr>
        <w:tc>
          <w:tcPr>
            <w:tcW w:type="dxa" w:w="2381"/>
            <w:shd w:val="clear" w:color="auto" w:fill="F3F6FA"/>
          </w:tcPr>
          <w:p>
            <w:pPr>
              <w:spacing w:after="40" w:line="264" w:lineRule="auto"/>
            </w:pPr>
            <w:r/>
            <w:r>
              <w:rPr>
                <w:sz w:val="18"/>
              </w:rPr>
              <w:t>경로 · ImprovementPathObservation</w:t>
            </w:r>
          </w:p>
        </w:tc>
        <w:tc>
          <w:tcPr>
            <w:tcW w:type="dxa" w:w="4195"/>
            <w:shd w:val="clear" w:color="auto" w:fill="F3F6FA"/>
          </w:tcPr>
          <w:p>
            <w:pPr>
              <w:spacing w:after="40" w:line="264" w:lineRule="auto"/>
            </w:pPr>
            <w:r/>
            <w:r>
              <w:rPr>
                <w:sz w:val="18"/>
              </w:rPr>
              <w:t>개선 시작 사건·조치·관련 연결·종료 기준·종결 결과를 별도 기록.</w:t>
            </w:r>
          </w:p>
        </w:tc>
        <w:tc>
          <w:tcPr>
            <w:tcW w:type="dxa" w:w="2835"/>
            <w:shd w:val="clear" w:color="auto" w:fill="F3F6FA"/>
          </w:tcPr>
          <w:p>
            <w:pPr>
              <w:spacing w:after="40" w:line="264" w:lineRule="auto"/>
            </w:pPr>
            <w:r/>
            <w:r>
              <w:rPr>
                <w:sz w:val="18"/>
              </w:rPr>
              <w:t>FC는 단일 엣지 점수로 자동 귀속하지 않음</w:t>
            </w:r>
          </w:p>
        </w:tc>
      </w:tr>
      <w:tr>
        <w:tc>
          <w:tcPr>
            <w:tcW w:type="dxa" w:w="2381"/>
          </w:tcPr>
          <w:p>
            <w:pPr>
              <w:spacing w:after="40" w:line="264" w:lineRule="auto"/>
            </w:pPr>
            <w:r/>
            <w:r>
              <w:rPr>
                <w:sz w:val="18"/>
              </w:rPr>
              <w:t>위계 · contains</w:t>
            </w:r>
          </w:p>
        </w:tc>
        <w:tc>
          <w:tcPr>
            <w:tcW w:type="dxa" w:w="4195"/>
          </w:tcPr>
          <w:p>
            <w:pPr>
              <w:spacing w:after="40" w:line="264" w:lineRule="auto"/>
            </w:pPr>
            <w:r/>
            <w:r>
              <w:rPr>
                <w:sz w:val="18"/>
              </w:rPr>
              <w:t>L13·L14는 하위 프로세스 포함 관계. 산출물 전달 품질 문항 대상에서 제외.</w:t>
            </w:r>
          </w:p>
        </w:tc>
        <w:tc>
          <w:tcPr>
            <w:tcW w:type="dxa" w:w="2835"/>
          </w:tcPr>
          <w:p>
            <w:pPr>
              <w:spacing w:after="40" w:line="264" w:lineRule="auto"/>
            </w:pPr>
            <w:r/>
            <w:r>
              <w:rPr>
                <w:sz w:val="18"/>
              </w:rPr>
              <w:t>INC contains WARN·REC</w:t>
            </w:r>
          </w:p>
        </w:tc>
      </w:tr>
    </w:tbl>
    <w:p>
      <w:pPr>
        <w:spacing w:after="40"/>
      </w:pPr>
    </w:p>
    <w:p>
      <w:r>
        <w:rPr>
          <w:b w:val="0"/>
          <w:i/>
          <w:color w:val="6B7A90"/>
          <w:sz w:val="18"/>
        </w:rPr>
        <w:t>개념 온톨로지 단계이며 OWL 작성·추론·질의 테스트는 수행하지 않았다. CQ(역량질의)는 지식구조 질의이며 설문 문항과 같지 않다. 출처: Białas §2 pp.2–3(방법만 차용); Noy &amp; McGuinness(2001) Step 1; 시트 온톨로지규칙.</w:t>
      </w:r>
    </w:p>
    <w:p>
      <w:pPr>
        <w:pStyle w:val="Heading2"/>
      </w:pPr>
      <w:r>
        <w:t>6.4 응답 설계</w:t>
      </w:r>
    </w:p>
    <w:tbl>
      <w:tblPr>
        <w:tblStyle w:val="TableGrid"/>
        <w:tblW w:type="auto" w:w="0"/>
        <w:jc w:val="center"/>
        <w:tblLayout w:type="fixed"/>
        <w:tblLook w:firstColumn="1" w:firstRow="1" w:lastColumn="0" w:lastRow="0" w:noHBand="0" w:noVBand="1" w:val="04A0"/>
      </w:tblPr>
      <w:tblGrid>
        <w:gridCol w:w="1587"/>
        <w:gridCol w:w="2268"/>
        <w:gridCol w:w="5556"/>
      </w:tblGrid>
      <w:tr>
        <w:trPr>
          <w:tblHeader w:val="true"/>
        </w:trPr>
        <w:tc>
          <w:tcPr>
            <w:tcW w:type="dxa" w:w="1587"/>
            <w:shd w:val="clear" w:color="auto" w:fill="14213D"/>
          </w:tcPr>
          <w:p>
            <w:pPr>
              <w:spacing w:after="40" w:line="264" w:lineRule="auto"/>
            </w:pPr>
            <w:r/>
            <w:r>
              <w:rPr>
                <w:b/>
                <w:color w:val="FFFFFF"/>
                <w:sz w:val="18"/>
              </w:rPr>
              <w:t>항목</w:t>
            </w:r>
          </w:p>
        </w:tc>
        <w:tc>
          <w:tcPr>
            <w:tcW w:type="dxa" w:w="2268"/>
            <w:shd w:val="clear" w:color="auto" w:fill="14213D"/>
          </w:tcPr>
          <w:p>
            <w:pPr>
              <w:spacing w:after="40" w:line="264" w:lineRule="auto"/>
            </w:pPr>
            <w:r/>
            <w:r>
              <w:rPr>
                <w:b/>
                <w:color w:val="FFFFFF"/>
                <w:sz w:val="18"/>
              </w:rPr>
              <w:t>후보 규칙</w:t>
            </w:r>
          </w:p>
        </w:tc>
        <w:tc>
          <w:tcPr>
            <w:tcW w:type="dxa" w:w="5556"/>
            <w:shd w:val="clear" w:color="auto" w:fill="14213D"/>
          </w:tcPr>
          <w:p>
            <w:pPr>
              <w:spacing w:after="40" w:line="264" w:lineRule="auto"/>
            </w:pPr>
            <w:r/>
            <w:r>
              <w:rPr>
                <w:b/>
                <w:color w:val="FFFFFF"/>
                <w:sz w:val="18"/>
              </w:rPr>
              <w:t>운영·해석 조건</w:t>
            </w:r>
          </w:p>
        </w:tc>
      </w:tr>
      <w:tr>
        <w:tc>
          <w:tcPr>
            <w:tcW w:type="dxa" w:w="1587"/>
          </w:tcPr>
          <w:p>
            <w:pPr>
              <w:spacing w:after="40" w:line="264" w:lineRule="auto"/>
            </w:pPr>
            <w:r/>
            <w:r>
              <w:rPr>
                <w:sz w:val="18"/>
              </w:rPr>
              <w:t>단위</w:t>
            </w:r>
          </w:p>
        </w:tc>
        <w:tc>
          <w:tcPr>
            <w:tcW w:type="dxa" w:w="2268"/>
          </w:tcPr>
          <w:p>
            <w:pPr>
              <w:spacing w:after="40" w:line="264" w:lineRule="auto"/>
            </w:pPr>
            <w:r/>
            <w:r>
              <w:rPr>
                <w:sz w:val="18"/>
              </w:rPr>
              <w:t>한 조직의 BCMS</w:t>
            </w:r>
          </w:p>
        </w:tc>
        <w:tc>
          <w:tcPr>
            <w:tcW w:type="dxa" w:w="5556"/>
          </w:tcPr>
          <w:p>
            <w:pPr>
              <w:spacing w:after="40" w:line="264" w:lineRule="auto"/>
            </w:pPr>
            <w:r/>
            <w:r>
              <w:rPr>
                <w:sz w:val="18"/>
              </w:rPr>
              <w:t>동일 조직·동일 기간을 기준으로 해당 관계의 실무를 아는 담당자가 응답. 조직당 1인이면 조직에 대한 핵심정보제공자 보고임을 명시.</w:t>
            </w:r>
          </w:p>
        </w:tc>
      </w:tr>
      <w:tr>
        <w:tc>
          <w:tcPr>
            <w:tcW w:type="dxa" w:w="1587"/>
            <w:shd w:val="clear" w:color="auto" w:fill="F3F6FA"/>
          </w:tcPr>
          <w:p>
            <w:pPr>
              <w:spacing w:after="40" w:line="264" w:lineRule="auto"/>
            </w:pPr>
            <w:r/>
            <w:r>
              <w:rPr>
                <w:sz w:val="18"/>
              </w:rPr>
              <w:t>기간</w:t>
            </w:r>
          </w:p>
        </w:tc>
        <w:tc>
          <w:tcPr>
            <w:tcW w:type="dxa" w:w="2268"/>
            <w:shd w:val="clear" w:color="auto" w:fill="F3F6FA"/>
          </w:tcPr>
          <w:p>
            <w:pPr>
              <w:spacing w:after="40" w:line="264" w:lineRule="auto"/>
            </w:pPr>
            <w:r/>
            <w:r>
              <w:rPr>
                <w:sz w:val="18"/>
              </w:rPr>
              <w:t>최근 12개월 후보</w:t>
            </w:r>
          </w:p>
        </w:tc>
        <w:tc>
          <w:tcPr>
            <w:tcW w:type="dxa" w:w="5556"/>
            <w:shd w:val="clear" w:color="auto" w:fill="F3F6FA"/>
          </w:tcPr>
          <w:p>
            <w:pPr>
              <w:spacing w:after="40" w:line="264" w:lineRule="auto"/>
            </w:pPr>
            <w:r/>
            <w:r>
              <w:rPr>
                <w:sz w:val="18"/>
              </w:rPr>
              <w:t>회상·평가 주기를 고려한 연구자 제안. 전문가·인지면접에서 확정.</w:t>
            </w:r>
          </w:p>
        </w:tc>
      </w:tr>
      <w:tr>
        <w:tc>
          <w:tcPr>
            <w:tcW w:type="dxa" w:w="1587"/>
          </w:tcPr>
          <w:p>
            <w:pPr>
              <w:spacing w:after="40" w:line="264" w:lineRule="auto"/>
            </w:pPr>
            <w:r/>
            <w:r>
              <w:rPr>
                <w:sz w:val="18"/>
              </w:rPr>
              <w:t>척도</w:t>
            </w:r>
          </w:p>
        </w:tc>
        <w:tc>
          <w:tcPr>
            <w:tcW w:type="dxa" w:w="2268"/>
          </w:tcPr>
          <w:p>
            <w:pPr>
              <w:spacing w:after="40" w:line="264" w:lineRule="auto"/>
            </w:pPr>
            <w:r/>
            <w:r>
              <w:rPr>
                <w:sz w:val="18"/>
              </w:rPr>
              <w:t>1~5 후보</w:t>
            </w:r>
          </w:p>
        </w:tc>
        <w:tc>
          <w:tcPr>
            <w:tcW w:type="dxa" w:w="5556"/>
          </w:tcPr>
          <w:p>
            <w:pPr>
              <w:spacing w:after="40" w:line="264" w:lineRule="auto"/>
            </w:pPr>
            <w:r/>
            <w:r>
              <w:rPr>
                <w:sz w:val="18"/>
              </w:rPr>
              <w:t>문항 의미에 맞는 정도 척도 앵커를 인지면접 후 확정. 현재 일반 설문용 확정본 아님.</w:t>
            </w:r>
          </w:p>
        </w:tc>
      </w:tr>
      <w:tr>
        <w:tc>
          <w:tcPr>
            <w:tcW w:type="dxa" w:w="1587"/>
            <w:shd w:val="clear" w:color="auto" w:fill="F3F6FA"/>
          </w:tcPr>
          <w:p>
            <w:pPr>
              <w:spacing w:after="40" w:line="264" w:lineRule="auto"/>
            </w:pPr>
            <w:r/>
            <w:r>
              <w:rPr>
                <w:sz w:val="18"/>
              </w:rPr>
              <w:t>모름</w:t>
            </w:r>
          </w:p>
        </w:tc>
        <w:tc>
          <w:tcPr>
            <w:tcW w:type="dxa" w:w="2268"/>
            <w:shd w:val="clear" w:color="auto" w:fill="F3F6FA"/>
          </w:tcPr>
          <w:p>
            <w:pPr>
              <w:spacing w:after="40" w:line="264" w:lineRule="auto"/>
            </w:pPr>
            <w:r/>
            <w:r>
              <w:rPr>
                <w:sz w:val="18"/>
              </w:rPr>
              <w:t>DK 별도 코드</w:t>
            </w:r>
          </w:p>
        </w:tc>
        <w:tc>
          <w:tcPr>
            <w:tcW w:type="dxa" w:w="5556"/>
            <w:shd w:val="clear" w:color="auto" w:fill="F3F6FA"/>
          </w:tcPr>
          <w:p>
            <w:pPr>
              <w:spacing w:after="40" w:line="264" w:lineRule="auto"/>
            </w:pPr>
            <w:r/>
            <w:r>
              <w:rPr>
                <w:sz w:val="18"/>
              </w:rPr>
              <w:t>응답자 지식 부족. 낮은 품질이나 해당 없음으로 변환하지 않음.</w:t>
            </w:r>
          </w:p>
        </w:tc>
      </w:tr>
      <w:tr>
        <w:tc>
          <w:tcPr>
            <w:tcW w:type="dxa" w:w="1587"/>
          </w:tcPr>
          <w:p>
            <w:pPr>
              <w:spacing w:after="40" w:line="264" w:lineRule="auto"/>
            </w:pPr>
            <w:r/>
            <w:r>
              <w:rPr>
                <w:sz w:val="18"/>
              </w:rPr>
              <w:t>범위 밖</w:t>
            </w:r>
          </w:p>
        </w:tc>
        <w:tc>
          <w:tcPr>
            <w:tcW w:type="dxa" w:w="2268"/>
          </w:tcPr>
          <w:p>
            <w:pPr>
              <w:spacing w:after="40" w:line="264" w:lineRule="auto"/>
            </w:pPr>
            <w:r/>
            <w:r>
              <w:rPr>
                <w:sz w:val="18"/>
              </w:rPr>
              <w:t>NA 별도 코드</w:t>
            </w:r>
          </w:p>
        </w:tc>
        <w:tc>
          <w:tcPr>
            <w:tcW w:type="dxa" w:w="5556"/>
          </w:tcPr>
          <w:p>
            <w:pPr>
              <w:spacing w:after="40" w:line="264" w:lineRule="auto"/>
            </w:pPr>
            <w:r/>
            <w:r>
              <w:rPr>
                <w:sz w:val="18"/>
              </w:rPr>
              <w:t>연구 범위상 정당하게 적용되지 않는 관계. 사유를 수집하며 프로세스 미운영과 구별.</w:t>
            </w:r>
          </w:p>
        </w:tc>
      </w:tr>
      <w:tr>
        <w:tc>
          <w:tcPr>
            <w:tcW w:type="dxa" w:w="1587"/>
            <w:shd w:val="clear" w:color="auto" w:fill="F3F6FA"/>
          </w:tcPr>
          <w:p>
            <w:pPr>
              <w:spacing w:after="40" w:line="264" w:lineRule="auto"/>
            </w:pPr>
            <w:r/>
            <w:r>
              <w:rPr>
                <w:sz w:val="18"/>
              </w:rPr>
              <w:t>변경 없음</w:t>
            </w:r>
          </w:p>
        </w:tc>
        <w:tc>
          <w:tcPr>
            <w:tcW w:type="dxa" w:w="2268"/>
            <w:shd w:val="clear" w:color="auto" w:fill="F3F6FA"/>
          </w:tcPr>
          <w:p>
            <w:pPr>
              <w:spacing w:after="40" w:line="264" w:lineRule="auto"/>
            </w:pPr>
            <w:r/>
            <w:r>
              <w:rPr>
                <w:sz w:val="18"/>
              </w:rPr>
              <w:t>NC 별도 코드</w:t>
            </w:r>
          </w:p>
        </w:tc>
        <w:tc>
          <w:tcPr>
            <w:tcW w:type="dxa" w:w="5556"/>
            <w:shd w:val="clear" w:color="auto" w:fill="F3F6FA"/>
          </w:tcPr>
          <w:p>
            <w:pPr>
              <w:spacing w:after="40" w:line="264" w:lineRule="auto"/>
            </w:pPr>
            <w:r/>
            <w:r>
              <w:rPr>
                <w:sz w:val="18"/>
              </w:rPr>
              <w:t>TM에 필요한 변경 사건이 없었던 경우. 우수 점수·일반 결측으로 대체하지 않음.</w:t>
            </w:r>
          </w:p>
        </w:tc>
      </w:tr>
      <w:tr>
        <w:tc>
          <w:tcPr>
            <w:tcW w:type="dxa" w:w="1587"/>
          </w:tcPr>
          <w:p>
            <w:pPr>
              <w:spacing w:after="40" w:line="264" w:lineRule="auto"/>
            </w:pPr>
            <w:r/>
            <w:r>
              <w:rPr>
                <w:sz w:val="18"/>
              </w:rPr>
              <w:t>프로세스 미운영</w:t>
            </w:r>
          </w:p>
        </w:tc>
        <w:tc>
          <w:tcPr>
            <w:tcW w:type="dxa" w:w="2268"/>
          </w:tcPr>
          <w:p>
            <w:pPr>
              <w:spacing w:after="40" w:line="264" w:lineRule="auto"/>
            </w:pPr>
            <w:r/>
            <w:r>
              <w:rPr>
                <w:sz w:val="18"/>
              </w:rPr>
              <w:t>NO 별도 상태</w:t>
            </w:r>
          </w:p>
        </w:tc>
        <w:tc>
          <w:tcPr>
            <w:tcW w:type="dxa" w:w="5556"/>
          </w:tcPr>
          <w:p>
            <w:pPr>
              <w:spacing w:after="40" w:line="264" w:lineRule="auto"/>
            </w:pPr>
            <w:r/>
            <w:r>
              <w:rPr>
                <w:sz w:val="18"/>
              </w:rPr>
              <w:t>범위상 필요한 프로세스가 미운영이면 구조 결손 정보로 기록. 모든 관련 문항을 일괄 NA 처리하지 않음.</w:t>
            </w:r>
          </w:p>
        </w:tc>
      </w:tr>
      <w:tr>
        <w:tc>
          <w:tcPr>
            <w:tcW w:type="dxa" w:w="1587"/>
            <w:shd w:val="clear" w:color="auto" w:fill="F3F6FA"/>
          </w:tcPr>
          <w:p>
            <w:pPr>
              <w:spacing w:after="40" w:line="264" w:lineRule="auto"/>
            </w:pPr>
            <w:r/>
            <w:r>
              <w:rPr>
                <w:sz w:val="18"/>
              </w:rPr>
              <w:t>점수</w:t>
            </w:r>
          </w:p>
        </w:tc>
        <w:tc>
          <w:tcPr>
            <w:tcW w:type="dxa" w:w="2268"/>
            <w:shd w:val="clear" w:color="auto" w:fill="F3F6FA"/>
          </w:tcPr>
          <w:p>
            <w:pPr>
              <w:spacing w:after="40" w:line="264" w:lineRule="auto"/>
            </w:pPr>
            <w:r/>
            <w:r>
              <w:rPr>
                <w:sz w:val="18"/>
              </w:rPr>
              <w:t>확정 전 산출 중단</w:t>
            </w:r>
          </w:p>
        </w:tc>
        <w:tc>
          <w:tcPr>
            <w:tcW w:type="dxa" w:w="5556"/>
            <w:shd w:val="clear" w:color="auto" w:fill="F3F6FA"/>
          </w:tcPr>
          <w:p>
            <w:pPr>
              <w:spacing w:after="40" w:line="264" w:lineRule="auto"/>
            </w:pPr>
            <w:r/>
            <w:r>
              <w:rPr>
                <w:sz w:val="18"/>
              </w:rPr>
              <w:t>차원 평균·전체 지수·역채점·조직 집계는 측정모형과 결측 규칙 결정 후 구현.</w:t>
            </w:r>
          </w:p>
        </w:tc>
      </w:tr>
      <w:tr>
        <w:tc>
          <w:tcPr>
            <w:tcW w:type="dxa" w:w="1587"/>
          </w:tcPr>
          <w:p>
            <w:pPr>
              <w:spacing w:after="40" w:line="264" w:lineRule="auto"/>
            </w:pPr>
            <w:r/>
            <w:r>
              <w:rPr>
                <w:sz w:val="18"/>
              </w:rPr>
              <w:t>응답자 여럿</w:t>
            </w:r>
          </w:p>
        </w:tc>
        <w:tc>
          <w:tcPr>
            <w:tcW w:type="dxa" w:w="2268"/>
          </w:tcPr>
          <w:p>
            <w:pPr>
              <w:spacing w:after="40" w:line="264" w:lineRule="auto"/>
            </w:pPr>
            <w:r/>
            <w:r>
              <w:rPr>
                <w:sz w:val="18"/>
              </w:rPr>
              <w:t>조직 내 군집</w:t>
            </w:r>
          </w:p>
        </w:tc>
        <w:tc>
          <w:tcPr>
            <w:tcW w:type="dxa" w:w="5556"/>
          </w:tcPr>
          <w:p>
            <w:pPr>
              <w:spacing w:after="40" w:line="264" w:lineRule="auto"/>
            </w:pPr>
            <w:r/>
            <w:r>
              <w:rPr>
                <w:sz w:val="18"/>
              </w:rPr>
              <w:t>조직별 집계 시 합의도·신뢰도와 다층 구조 검토. 개인 수를 독립 조직 표본 수로 대체하지 않음.</w:t>
            </w:r>
          </w:p>
        </w:tc>
      </w:tr>
    </w:tbl>
    <w:p>
      <w:pPr>
        <w:spacing w:after="40"/>
      </w:pPr>
    </w:p>
    <w:p>
      <w:r>
        <w:rPr>
          <w:b w:val="0"/>
          <w:i/>
          <w:color w:val="6B7A90"/>
          <w:sz w:val="18"/>
        </w:rPr>
        <w:t>출처: 시트 응답설계(V4); 수정이력 R13.</w:t>
      </w:r>
    </w:p>
    <w:p>
      <w:pPr>
        <w:pStyle w:val="Heading1"/>
      </w:pPr>
      <w:r>
        <w:t>7. 검증, 점수, 한계</w:t>
      </w:r>
    </w:p>
    <w:p>
      <w:pPr>
        <w:pStyle w:val="Heading2"/>
      </w:pPr>
      <w:r>
        <w:t>7.1 Gate 1–8</w:t>
      </w:r>
    </w:p>
    <w:tbl>
      <w:tblPr>
        <w:tblStyle w:val="TableGrid"/>
        <w:tblW w:type="auto" w:w="0"/>
        <w:jc w:val="center"/>
        <w:tblLayout w:type="fixed"/>
        <w:tblLook w:firstColumn="1" w:firstRow="1" w:lastColumn="0" w:lastRow="0" w:noHBand="0" w:noVBand="1" w:val="04A0"/>
      </w:tblPr>
      <w:tblGrid>
        <w:gridCol w:w="850"/>
        <w:gridCol w:w="1814"/>
        <w:gridCol w:w="3175"/>
        <w:gridCol w:w="3572"/>
      </w:tblGrid>
      <w:tr>
        <w:trPr>
          <w:tblHeader w:val="true"/>
        </w:trPr>
        <w:tc>
          <w:tcPr>
            <w:tcW w:type="dxa" w:w="850"/>
            <w:shd w:val="clear" w:color="auto" w:fill="14213D"/>
          </w:tcPr>
          <w:p>
            <w:pPr>
              <w:spacing w:after="40" w:line="264" w:lineRule="auto"/>
            </w:pPr>
            <w:r/>
            <w:r>
              <w:rPr>
                <w:b/>
                <w:color w:val="FFFFFF"/>
                <w:sz w:val="17"/>
              </w:rPr>
              <w:t>Gate</w:t>
            </w:r>
          </w:p>
        </w:tc>
        <w:tc>
          <w:tcPr>
            <w:tcW w:type="dxa" w:w="1814"/>
            <w:shd w:val="clear" w:color="auto" w:fill="14213D"/>
          </w:tcPr>
          <w:p>
            <w:pPr>
              <w:spacing w:after="40" w:line="264" w:lineRule="auto"/>
            </w:pPr>
            <w:r/>
            <w:r>
              <w:rPr>
                <w:b/>
                <w:color w:val="FFFFFF"/>
                <w:sz w:val="17"/>
              </w:rPr>
              <w:t>목적</w:t>
            </w:r>
          </w:p>
        </w:tc>
        <w:tc>
          <w:tcPr>
            <w:tcW w:type="dxa" w:w="3175"/>
            <w:shd w:val="clear" w:color="auto" w:fill="14213D"/>
          </w:tcPr>
          <w:p>
            <w:pPr>
              <w:spacing w:after="40" w:line="264" w:lineRule="auto"/>
            </w:pPr>
            <w:r/>
            <w:r>
              <w:rPr>
                <w:b/>
                <w:color w:val="FFFFFF"/>
                <w:sz w:val="17"/>
              </w:rPr>
              <w:t>다음 검토</w:t>
            </w:r>
          </w:p>
        </w:tc>
        <w:tc>
          <w:tcPr>
            <w:tcW w:type="dxa" w:w="3572"/>
            <w:shd w:val="clear" w:color="auto" w:fill="14213D"/>
          </w:tcPr>
          <w:p>
            <w:pPr>
              <w:spacing w:after="40" w:line="264" w:lineRule="auto"/>
            </w:pPr>
            <w:r/>
            <w:r>
              <w:rPr>
                <w:b/>
                <w:color w:val="FFFFFF"/>
                <w:sz w:val="17"/>
              </w:rPr>
              <w:t>완료 조건·주의</w:t>
            </w:r>
          </w:p>
        </w:tc>
      </w:tr>
      <w:tr>
        <w:tc>
          <w:tcPr>
            <w:tcW w:type="dxa" w:w="850"/>
          </w:tcPr>
          <w:p>
            <w:pPr>
              <w:spacing w:after="40" w:line="264" w:lineRule="auto"/>
            </w:pPr>
            <w:r/>
            <w:r>
              <w:rPr>
                <w:sz w:val="17"/>
              </w:rPr>
              <w:t>Gate 1</w:t>
            </w:r>
          </w:p>
        </w:tc>
        <w:tc>
          <w:tcPr>
            <w:tcW w:type="dxa" w:w="1814"/>
          </w:tcPr>
          <w:p>
            <w:pPr>
              <w:spacing w:after="40" w:line="264" w:lineRule="auto"/>
            </w:pPr>
            <w:r/>
            <w:r>
              <w:rPr>
                <w:sz w:val="17"/>
              </w:rPr>
              <w:t>연구 범위 고정</w:t>
            </w:r>
          </w:p>
        </w:tc>
        <w:tc>
          <w:tcPr>
            <w:tcW w:type="dxa" w:w="3175"/>
          </w:tcPr>
          <w:p>
            <w:pPr>
              <w:spacing w:after="40" w:line="264" w:lineRule="auto"/>
            </w:pPr>
            <w:r/>
            <w:r>
              <w:rPr>
                <w:sz w:val="17"/>
              </w:rPr>
              <w:t>Arias 22개 객체 유형·V4 수정안·이전 세 관점 폐기</w:t>
            </w:r>
          </w:p>
        </w:tc>
        <w:tc>
          <w:tcPr>
            <w:tcW w:type="dxa" w:w="3572"/>
          </w:tcPr>
          <w:p>
            <w:pPr>
              <w:spacing w:after="40" w:line="264" w:lineRule="auto"/>
            </w:pPr>
            <w:r/>
            <w:r>
              <w:rPr>
                <w:sz w:val="17"/>
              </w:rPr>
              <w:t>사용자 확정. 품질 차원 수는 미확정.</w:t>
            </w:r>
          </w:p>
        </w:tc>
      </w:tr>
      <w:tr>
        <w:tc>
          <w:tcPr>
            <w:tcW w:type="dxa" w:w="850"/>
            <w:shd w:val="clear" w:color="auto" w:fill="F3F6FA"/>
          </w:tcPr>
          <w:p>
            <w:pPr>
              <w:spacing w:after="40" w:line="264" w:lineRule="auto"/>
            </w:pPr>
            <w:r/>
            <w:r>
              <w:rPr>
                <w:sz w:val="17"/>
              </w:rPr>
              <w:t>Gate 2</w:t>
            </w:r>
          </w:p>
        </w:tc>
        <w:tc>
          <w:tcPr>
            <w:tcW w:type="dxa" w:w="1814"/>
            <w:shd w:val="clear" w:color="auto" w:fill="F3F6FA"/>
          </w:tcPr>
          <w:p>
            <w:pPr>
              <w:spacing w:after="40" w:line="264" w:lineRule="auto"/>
            </w:pPr>
            <w:r/>
            <w:r>
              <w:rPr>
                <w:sz w:val="17"/>
              </w:rPr>
              <w:t>관계 의미 및 품질 영역</w:t>
            </w:r>
          </w:p>
        </w:tc>
        <w:tc>
          <w:tcPr>
            <w:tcW w:type="dxa" w:w="3175"/>
            <w:shd w:val="clear" w:color="auto" w:fill="F3F6FA"/>
          </w:tcPr>
          <w:p>
            <w:pPr>
              <w:spacing w:after="40" w:line="264" w:lineRule="auto"/>
            </w:pPr>
            <w:r/>
            <w:r>
              <w:rPr>
                <w:sz w:val="17"/>
              </w:rPr>
              <w:t>24개 운영 후보의 산출물·도착 사용 목적·필수성·대표성; 관리조건과 경로 구별</w:t>
            </w:r>
          </w:p>
        </w:tc>
        <w:tc>
          <w:tcPr>
            <w:tcW w:type="dxa" w:w="3572"/>
            <w:shd w:val="clear" w:color="auto" w:fill="F3F6FA"/>
          </w:tcPr>
          <w:p>
            <w:pPr>
              <w:spacing w:after="40" w:line="264" w:lineRule="auto"/>
            </w:pPr>
            <w:r/>
            <w:r>
              <w:rPr>
                <w:sz w:val="17"/>
              </w:rPr>
              <w:t>이번 수정 다음 작업. 관계 공백과 후보 누락을 전문가 평가 전에 정리.</w:t>
            </w:r>
          </w:p>
        </w:tc>
      </w:tr>
      <w:tr>
        <w:tc>
          <w:tcPr>
            <w:tcW w:type="dxa" w:w="850"/>
          </w:tcPr>
          <w:p>
            <w:pPr>
              <w:spacing w:after="40" w:line="264" w:lineRule="auto"/>
            </w:pPr>
            <w:r/>
            <w:r>
              <w:rPr>
                <w:sz w:val="17"/>
              </w:rPr>
              <w:t>Gate 3</w:t>
            </w:r>
          </w:p>
        </w:tc>
        <w:tc>
          <w:tcPr>
            <w:tcW w:type="dxa" w:w="1814"/>
          </w:tcPr>
          <w:p>
            <w:pPr>
              <w:spacing w:after="40" w:line="264" w:lineRule="auto"/>
            </w:pPr>
            <w:r/>
            <w:r>
              <w:rPr>
                <w:sz w:val="17"/>
              </w:rPr>
              <w:t>문항 후보와 내용타당화</w:t>
            </w:r>
          </w:p>
        </w:tc>
        <w:tc>
          <w:tcPr>
            <w:tcW w:type="dxa" w:w="3175"/>
          </w:tcPr>
          <w:p>
            <w:pPr>
              <w:spacing w:after="40" w:line="264" w:lineRule="auto"/>
            </w:pPr>
            <w:r/>
            <w:r>
              <w:rPr>
                <w:sz w:val="17"/>
              </w:rPr>
              <w:t>관계 타당성 평가와 문항 적합성·명료성·응답 가능성 평가를 별도 실시</w:t>
            </w:r>
          </w:p>
        </w:tc>
        <w:tc>
          <w:tcPr>
            <w:tcW w:type="dxa" w:w="3572"/>
          </w:tcPr>
          <w:p>
            <w:pPr>
              <w:spacing w:after="40" w:line="264" w:lineRule="auto"/>
            </w:pPr>
            <w:r/>
            <w:r>
              <w:rPr>
                <w:sz w:val="17"/>
              </w:rPr>
              <w:t>I-CVI는 보조 지표. 6인 기준 5/6 이상이 .78을 충족. 의견·개념 누락을 함께 판단.</w:t>
            </w:r>
          </w:p>
        </w:tc>
      </w:tr>
      <w:tr>
        <w:tc>
          <w:tcPr>
            <w:tcW w:type="dxa" w:w="850"/>
            <w:shd w:val="clear" w:color="auto" w:fill="F3F6FA"/>
          </w:tcPr>
          <w:p>
            <w:pPr>
              <w:spacing w:after="40" w:line="264" w:lineRule="auto"/>
            </w:pPr>
            <w:r/>
            <w:r>
              <w:rPr>
                <w:sz w:val="17"/>
              </w:rPr>
              <w:t>Gate 4</w:t>
            </w:r>
          </w:p>
        </w:tc>
        <w:tc>
          <w:tcPr>
            <w:tcW w:type="dxa" w:w="1814"/>
            <w:shd w:val="clear" w:color="auto" w:fill="F3F6FA"/>
          </w:tcPr>
          <w:p>
            <w:pPr>
              <w:spacing w:after="40" w:line="264" w:lineRule="auto"/>
            </w:pPr>
            <w:r/>
            <w:r>
              <w:rPr>
                <w:sz w:val="17"/>
              </w:rPr>
              <w:t>인지면접과 후보 축소</w:t>
            </w:r>
          </w:p>
        </w:tc>
        <w:tc>
          <w:tcPr>
            <w:tcW w:type="dxa" w:w="3175"/>
            <w:shd w:val="clear" w:color="auto" w:fill="F3F6FA"/>
          </w:tcPr>
          <w:p>
            <w:pPr>
              <w:spacing w:after="40" w:line="264" w:lineRule="auto"/>
            </w:pPr>
            <w:r/>
            <w:r>
              <w:rPr>
                <w:sz w:val="17"/>
              </w:rPr>
              <w:t>담당자의 이해·근거 검색·응답 가능성·TR/EV 중복·TM 조건을 확인</w:t>
            </w:r>
          </w:p>
        </w:tc>
        <w:tc>
          <w:tcPr>
            <w:tcW w:type="dxa" w:w="3572"/>
            <w:shd w:val="clear" w:color="auto" w:fill="F3F6FA"/>
          </w:tcPr>
          <w:p>
            <w:pPr>
              <w:spacing w:after="40" w:line="264" w:lineRule="auto"/>
            </w:pPr>
            <w:r/>
            <w:r>
              <w:rPr>
                <w:sz w:val="17"/>
              </w:rPr>
              <w:t>179개 전부를 설문으로 배포하지 않음. 보류 35와 경로 후보를 구별하고 심사 후 축소.</w:t>
            </w:r>
          </w:p>
        </w:tc>
      </w:tr>
      <w:tr>
        <w:tc>
          <w:tcPr>
            <w:tcW w:type="dxa" w:w="850"/>
          </w:tcPr>
          <w:p>
            <w:pPr>
              <w:spacing w:after="40" w:line="264" w:lineRule="auto"/>
            </w:pPr>
            <w:r/>
            <w:r>
              <w:rPr>
                <w:sz w:val="17"/>
              </w:rPr>
              <w:t>Gate 5</w:t>
            </w:r>
          </w:p>
        </w:tc>
        <w:tc>
          <w:tcPr>
            <w:tcW w:type="dxa" w:w="1814"/>
          </w:tcPr>
          <w:p>
            <w:pPr>
              <w:spacing w:after="40" w:line="264" w:lineRule="auto"/>
            </w:pPr>
            <w:r/>
            <w:r>
              <w:rPr>
                <w:sz w:val="17"/>
              </w:rPr>
              <w:t>예비조사 및 측정모형</w:t>
            </w:r>
          </w:p>
        </w:tc>
        <w:tc>
          <w:tcPr>
            <w:tcW w:type="dxa" w:w="3175"/>
          </w:tcPr>
          <w:p>
            <w:pPr>
              <w:spacing w:after="40" w:line="264" w:lineRule="auto"/>
            </w:pPr>
            <w:r/>
            <w:r>
              <w:rPr>
                <w:sz w:val="17"/>
              </w:rPr>
              <w:t>반영적 후보는 EFA/CFA, 형성적·복합 지표는 다른 모형 평가 절차</w:t>
            </w:r>
          </w:p>
        </w:tc>
        <w:tc>
          <w:tcPr>
            <w:tcW w:type="dxa" w:w="3572"/>
          </w:tcPr>
          <w:p>
            <w:pPr>
              <w:spacing w:after="40" w:line="264" w:lineRule="auto"/>
            </w:pPr>
            <w:r/>
            <w:r>
              <w:rPr>
                <w:sz w:val="17"/>
              </w:rPr>
              <w:t>요인분석 결과만으로 형성/반영을 결정하지 않음. 최종 항목·모형·효과·결측에 맞춰 표본 설계.</w:t>
            </w:r>
          </w:p>
        </w:tc>
      </w:tr>
      <w:tr>
        <w:tc>
          <w:tcPr>
            <w:tcW w:type="dxa" w:w="850"/>
            <w:shd w:val="clear" w:color="auto" w:fill="F3F6FA"/>
          </w:tcPr>
          <w:p>
            <w:pPr>
              <w:spacing w:after="40" w:line="264" w:lineRule="auto"/>
            </w:pPr>
            <w:r/>
            <w:r>
              <w:rPr>
                <w:sz w:val="17"/>
              </w:rPr>
              <w:t>Gate 6</w:t>
            </w:r>
          </w:p>
        </w:tc>
        <w:tc>
          <w:tcPr>
            <w:tcW w:type="dxa" w:w="1814"/>
            <w:shd w:val="clear" w:color="auto" w:fill="F3F6FA"/>
          </w:tcPr>
          <w:p>
            <w:pPr>
              <w:spacing w:after="40" w:line="264" w:lineRule="auto"/>
            </w:pPr>
            <w:r/>
            <w:r>
              <w:rPr>
                <w:sz w:val="17"/>
              </w:rPr>
              <w:t>ORAS 판별타당도</w:t>
            </w:r>
          </w:p>
        </w:tc>
        <w:tc>
          <w:tcPr>
            <w:tcW w:type="dxa" w:w="3175"/>
            <w:shd w:val="clear" w:color="auto" w:fill="F3F6FA"/>
          </w:tcPr>
          <w:p>
            <w:pPr>
              <w:spacing w:after="40" w:line="264" w:lineRule="auto"/>
            </w:pPr>
            <w:r/>
            <w:r>
              <w:rPr>
                <w:sz w:val="17"/>
              </w:rPr>
              <w:t>ORAS 원저·판본·문항·사용 조건·한국어 적용 근거를 확보</w:t>
            </w:r>
          </w:p>
        </w:tc>
        <w:tc>
          <w:tcPr>
            <w:tcW w:type="dxa" w:w="3572"/>
            <w:shd w:val="clear" w:color="auto" w:fill="F3F6FA"/>
          </w:tcPr>
          <w:p>
            <w:pPr>
              <w:spacing w:after="40" w:line="264" w:lineRule="auto"/>
            </w:pPr>
            <w:r/>
            <w:r>
              <w:rPr>
                <w:sz w:val="17"/>
              </w:rPr>
              <w:t>현재 파일에는 ORAS 척도 확정 근거가 없음. 상관 .85 단독 기준으로 판별타당도 판정 금지.</w:t>
            </w:r>
          </w:p>
        </w:tc>
      </w:tr>
      <w:tr>
        <w:tc>
          <w:tcPr>
            <w:tcW w:type="dxa" w:w="850"/>
          </w:tcPr>
          <w:p>
            <w:pPr>
              <w:spacing w:after="40" w:line="264" w:lineRule="auto"/>
            </w:pPr>
            <w:r/>
            <w:r>
              <w:rPr>
                <w:sz w:val="17"/>
              </w:rPr>
              <w:t>Gate 7</w:t>
            </w:r>
          </w:p>
        </w:tc>
        <w:tc>
          <w:tcPr>
            <w:tcW w:type="dxa" w:w="1814"/>
          </w:tcPr>
          <w:p>
            <w:pPr>
              <w:spacing w:after="40" w:line="264" w:lineRule="auto"/>
            </w:pPr>
            <w:r/>
            <w:r>
              <w:rPr>
                <w:sz w:val="17"/>
              </w:rPr>
              <w:t>구조적 관계 SEM</w:t>
            </w:r>
          </w:p>
        </w:tc>
        <w:tc>
          <w:tcPr>
            <w:tcW w:type="dxa" w:w="3175"/>
          </w:tcPr>
          <w:p>
            <w:pPr>
              <w:spacing w:after="40" w:line="264" w:lineRule="auto"/>
            </w:pPr>
            <w:r/>
            <w:r>
              <w:rPr>
                <w:sz w:val="17"/>
              </w:rPr>
              <w:t>측정모형 검증 후 연계성→조직회복탄력성의 구조적 관계 검증</w:t>
            </w:r>
          </w:p>
        </w:tc>
        <w:tc>
          <w:tcPr>
            <w:tcW w:type="dxa" w:w="3572"/>
          </w:tcPr>
          <w:p>
            <w:pPr>
              <w:spacing w:after="40" w:line="264" w:lineRule="auto"/>
            </w:pPr>
            <w:r/>
            <w:r>
              <w:rPr>
                <w:sz w:val="17"/>
              </w:rPr>
              <w:t>횡단 자기보고 SEM은 인과 효과 입증으로 표현하지 않음. 공통방법편의·통제·집계 수준 검토.</w:t>
            </w:r>
          </w:p>
        </w:tc>
      </w:tr>
      <w:tr>
        <w:tc>
          <w:tcPr>
            <w:tcW w:type="dxa" w:w="850"/>
            <w:shd w:val="clear" w:color="auto" w:fill="F3F6FA"/>
          </w:tcPr>
          <w:p>
            <w:pPr>
              <w:spacing w:after="40" w:line="264" w:lineRule="auto"/>
            </w:pPr>
            <w:r/>
            <w:r>
              <w:rPr>
                <w:sz w:val="17"/>
              </w:rPr>
              <w:t>Gate 8</w:t>
            </w:r>
          </w:p>
        </w:tc>
        <w:tc>
          <w:tcPr>
            <w:tcW w:type="dxa" w:w="1814"/>
            <w:shd w:val="clear" w:color="auto" w:fill="F3F6FA"/>
          </w:tcPr>
          <w:p>
            <w:pPr>
              <w:spacing w:after="40" w:line="264" w:lineRule="auto"/>
            </w:pPr>
            <w:r/>
            <w:r>
              <w:rPr>
                <w:sz w:val="17"/>
              </w:rPr>
              <w:t>제3장 연구방법</w:t>
            </w:r>
          </w:p>
        </w:tc>
        <w:tc>
          <w:tcPr>
            <w:tcW w:type="dxa" w:w="3175"/>
            <w:shd w:val="clear" w:color="auto" w:fill="F3F6FA"/>
          </w:tcPr>
          <w:p>
            <w:pPr>
              <w:spacing w:after="40" w:line="264" w:lineRule="auto"/>
            </w:pPr>
            <w:r/>
            <w:r>
              <w:rPr>
                <w:sz w:val="17"/>
              </w:rPr>
              <w:t>출처→객체→관계→개념→문항→제외 사유→검증 절차</w:t>
            </w:r>
          </w:p>
        </w:tc>
        <w:tc>
          <w:tcPr>
            <w:tcW w:type="dxa" w:w="3572"/>
            <w:shd w:val="clear" w:color="auto" w:fill="F3F6FA"/>
          </w:tcPr>
          <w:p>
            <w:pPr>
              <w:spacing w:after="40" w:line="264" w:lineRule="auto"/>
            </w:pPr>
            <w:r/>
            <w:r>
              <w:rPr>
                <w:sz w:val="17"/>
              </w:rPr>
              <w:t>완료된 작업과 예정된 검증을 분리하여 서술.</w:t>
            </w:r>
          </w:p>
        </w:tc>
      </w:tr>
    </w:tbl>
    <w:p>
      <w:pPr>
        <w:spacing w:after="40"/>
      </w:pPr>
    </w:p>
    <w:p>
      <w:pPr>
        <w:pStyle w:val="Heading2"/>
      </w:pPr>
      <w:r>
        <w:t>7.2 점수를 아직 내지 않는 이유</w:t>
      </w:r>
    </w:p>
    <w:p>
      <w:r>
        <w:rPr>
          <w:b w:val="0"/>
          <w:i w:val="0"/>
        </w:rPr>
        <w:t>이전 버전의 차원 평균·동일가중 지수는 지표와 개념의 관계(반영적/형성적)가 정해지기 전에는 의미를 보증할 수 없다. 반영적 후보는 EFA/CFA, 형성적·복합 지표는 다른 모형 평가, 프로파일 보고 가운데 개념 정의에 맞게 선택한다. 개인 응답 수를 조직 표본 수로 대체하지 않는다. 출처: MacKenzie 외(2011) pp.302–303; 시트 응답설계·검증계획; 수정이력 R12·R14.</w:t>
      </w:r>
    </w:p>
    <w:p>
      <w:pPr>
        <w:pStyle w:val="Heading2"/>
      </w:pPr>
      <w:r>
        <w:t>7.3 열린 과제 (연구자 수행)</w:t>
      </w:r>
    </w:p>
    <w:p>
      <w:pPr>
        <w:pStyle w:val="ListBullet"/>
      </w:pPr>
      <w:r>
        <w:t>외부 문헌: S06·S07·S14 초록만 확인, S08 소개만 확인, S02·S05·S09·S11·S12 본문·표준 원문 확인 필요(이번 작업에서 재확인 못 함)</w:t>
      </w:r>
    </w:p>
    <w:p>
      <w:pPr>
        <w:pStyle w:val="ListBullet"/>
      </w:pPr>
      <w:r>
        <w:t>Białas 논문의 게재지·권호·DOI 등 서지 정보</w:t>
      </w:r>
    </w:p>
    <w:p>
      <w:pPr>
        <w:pStyle w:val="ListBullet"/>
      </w:pPr>
      <w:r>
        <w:t>ORAS 원저·판본·문항·사용 조건·한국어 적용 근거 (후보 문헌만 있으며 확정하지 못함)</w:t>
      </w:r>
    </w:p>
    <w:p>
      <w:pPr>
        <w:pStyle w:val="ListBullet"/>
      </w:pPr>
      <w:r>
        <w:t>연결품질 차원 수, 책임명확성의 역할, FC의 종료 기준·경로, 측정모형</w:t>
      </w:r>
    </w:p>
    <w:p>
      <w:pPr>
        <w:pStyle w:val="ListBullet"/>
      </w:pPr>
      <w:r>
        <w:t>POL·AWR·WARN·REC 공백과 추가 추출 후보 M01–M05, 24개 운영 후보에 대한 전문가 검토(Gate 2–3)</w:t>
      </w:r>
    </w:p>
    <w:p>
      <w:pPr>
        <w:pStyle w:val="Heading2"/>
      </w:pPr>
      <w:r>
        <w:t>7.4 제3장 연구방법 서술안</w:t>
      </w:r>
    </w:p>
    <w:tbl>
      <w:tblPr>
        <w:tblStyle w:val="TableGrid"/>
        <w:tblW w:type="auto" w:w="0"/>
        <w:tblLayout w:type="fixed"/>
        <w:tblLook w:firstColumn="1" w:firstRow="1" w:lastColumn="0" w:lastRow="0" w:noHBand="0" w:noVBand="1" w:val="04A0"/>
      </w:tblPr>
      <w:tblGrid>
        <w:gridCol w:w="9411"/>
      </w:tblGrid>
      <w:tr>
        <w:tc>
          <w:tcPr>
            <w:tcW w:type="dxa" w:w="9411"/>
            <w:shd w:val="clear" w:color="auto" w:fill="F3F6FA"/>
          </w:tcPr>
          <w:p>
            <w:r>
              <w:rPr>
                <w:b/>
                <w:color w:val="6B7A90"/>
                <w:sz w:val="19"/>
              </w:rPr>
              <w:t xml:space="preserve">수행한 작업  </w:t>
            </w:r>
            <w:r>
              <w:rPr>
                <w:sz w:val="20"/>
              </w:rPr>
              <w:t>본 연구는 Arias-Aranda 등(2026)의 22개 BCMS 프로세스를 내용 영역으로 설정하였다. 프로세스 설명에서 관계 근거를 추출하고, Białas의 온톨로지 표현방식을 참고하여 객체 유형, 산출물, 관계 의미와 출처를 구조화하였다. 운영 관계 후보와 포함 관계·집단 진술·근거 부족 관계를 구분하였다.</w:t>
            </w:r>
          </w:p>
        </w:tc>
      </w:tr>
    </w:tbl>
    <w:p>
      <w:pPr>
        <w:spacing w:after="40"/>
      </w:pPr>
    </w:p>
    <w:tbl>
      <w:tblPr>
        <w:tblStyle w:val="TableGrid"/>
        <w:tblW w:type="auto" w:w="0"/>
        <w:tblLayout w:type="fixed"/>
        <w:tblLook w:firstColumn="1" w:firstRow="1" w:lastColumn="0" w:lastRow="0" w:noHBand="0" w:noVBand="1" w:val="04A0"/>
      </w:tblPr>
      <w:tblGrid>
        <w:gridCol w:w="9411"/>
      </w:tblGrid>
      <w:tr>
        <w:tc>
          <w:tcPr>
            <w:tcW w:type="dxa" w:w="9411"/>
            <w:shd w:val="clear" w:color="auto" w:fill="F3F6FA"/>
          </w:tcPr>
          <w:p>
            <w:r>
              <w:rPr>
                <w:b/>
                <w:color w:val="6B7A90"/>
                <w:sz w:val="19"/>
              </w:rPr>
              <w:t xml:space="preserve">예정된 검증  </w:t>
            </w:r>
            <w:r>
              <w:rPr>
                <w:sz w:val="20"/>
              </w:rPr>
              <w:t>정합성, 근거 추적가능성, 연결 증빙가능성, 변경전파 적시성을 연결품질 후보 개념으로 검토하며, 책임명확성과 개선조치 완결성의 역할은 별도로 평가한다. 전문가 심사와 인지면접으로 문항을 수정·축소하고 적합한 측정모형을 검증한 뒤, ORAS와의 판별타당도 및 조직회복탄력성과의 구조적 관계를 검증한다.</w:t>
            </w:r>
          </w:p>
        </w:tc>
      </w:tr>
    </w:tbl>
    <w:p>
      <w:pPr>
        <w:spacing w:after="40"/>
      </w:pPr>
    </w:p>
    <w:p>
      <w:r>
        <w:br w:type="page"/>
      </w:r>
    </w:p>
    <w:p>
      <w:pPr>
        <w:pStyle w:val="Heading1"/>
      </w:pPr>
      <w:r>
        <w:t>참고문헌과 확인 수준</w:t>
      </w:r>
    </w:p>
    <w:p>
      <w:pPr>
        <w:spacing w:after="20"/>
        <w:ind w:left="454" w:hanging="454"/>
      </w:pPr>
      <w:r>
        <w:rPr>
          <w:sz w:val="19"/>
        </w:rPr>
        <w:t>Arias-Aranda, D., Haufe, K., Dzombeta, S., &amp; Stantchev, V. (2026). Business continuity management—Identifying relevant processes for a reference model. Applied Sciences, 16, 3219.</w:t>
      </w:r>
    </w:p>
    <w:p>
      <w:pPr>
        <w:ind w:left="454"/>
      </w:pPr>
      <w:r>
        <w:rPr>
          <w:i/>
          <w:color w:val="6B7A90"/>
          <w:sz w:val="17"/>
        </w:rPr>
        <w:t>확인 수준: 제공 PDF 전체 + 이 세션의 문자열 대조  ·  doi:10.3390/app16073219  ·  용도: 22개 프로세스 유형(Table 5 p.14), 연결 서술 §4.3 pp.14–16</w:t>
      </w:r>
    </w:p>
    <w:p>
      <w:pPr>
        <w:spacing w:after="20"/>
        <w:ind w:left="454" w:hanging="454"/>
      </w:pPr>
      <w:r>
        <w:rPr>
          <w:sz w:val="19"/>
        </w:rPr>
        <w:t>Białas, A. Ontological approach to the business continuity management system development. (제공 7쪽 PDF; 게재지·권호·DOI는 이 세션에서 확인하지 못함 — 서지 보강 필요)</w:t>
      </w:r>
    </w:p>
    <w:p>
      <w:pPr>
        <w:ind w:left="454"/>
      </w:pPr>
      <w:r>
        <w:rPr>
          <w:i/>
          <w:color w:val="6B7A90"/>
          <w:sz w:val="17"/>
        </w:rPr>
        <w:t>확인 수준: 제공 PDF 전체 + 이 세션의 문자열 대조 (서지 정보만 미확정)  ·  doi:(미확인)  ·  용도: 객체·관계·속성·역량질의의 표현 방식 §2 pp.2–3; B17 p.5</w:t>
      </w:r>
    </w:p>
    <w:p>
      <w:pPr>
        <w:spacing w:after="20"/>
        <w:ind w:left="454" w:hanging="454"/>
      </w:pPr>
      <w:r>
        <w:rPr>
          <w:sz w:val="19"/>
        </w:rPr>
        <w:t>Gotel, O. C. Z., &amp; Finkelstein, A. C. W. (1994). An analysis of the requirements traceability problem. In Proc. 1st Int. Conf. on Requirements Engineering (ICRE), pp. 94–101. IEEE Computer Society Press.</w:t>
      </w:r>
    </w:p>
    <w:p>
      <w:pPr>
        <w:ind w:left="454"/>
      </w:pPr>
      <w:r>
        <w:rPr>
          <w:i/>
          <w:color w:val="6B7A90"/>
          <w:sz w:val="17"/>
        </w:rPr>
        <w:t>확인 수준: 연구자 본문 확인(V4 기록)  ·  doi:10.1109/ICRE.1994.292398  ·  용도: TR: 전방·후방 추적, §5.1 PDF p.4</w:t>
      </w:r>
    </w:p>
    <w:p>
      <w:pPr>
        <w:spacing w:after="20"/>
        <w:ind w:left="454" w:hanging="454"/>
      </w:pPr>
      <w:r>
        <w:rPr>
          <w:sz w:val="19"/>
        </w:rPr>
        <w:t>Wang, R. Y., &amp; Strong, D. M. (1996). Beyond accuracy: What data quality means to data consumers. Journal of Management Information Systems, 12(4), 5–33.</w:t>
      </w:r>
    </w:p>
    <w:p>
      <w:pPr>
        <w:ind w:left="454"/>
      </w:pPr>
      <w:r>
        <w:rPr>
          <w:i/>
          <w:color w:val="6B7A90"/>
          <w:sz w:val="17"/>
        </w:rPr>
        <w:t>확인 수준: 연구자 본문 확인(V4 기록)  ·  용도: CO: 표현 일관성과 의미적 정합성의 구별, Appendix D1</w:t>
      </w:r>
    </w:p>
    <w:p>
      <w:pPr>
        <w:spacing w:after="20"/>
        <w:ind w:left="454" w:hanging="454"/>
      </w:pPr>
      <w:r>
        <w:rPr>
          <w:sz w:val="19"/>
        </w:rPr>
        <w:t>Pipino, L. L., Lee, Y. W., &amp; Wang, R. Y. (2002). Data quality assessment. Communications of the ACM, 45(4), 211–218.</w:t>
      </w:r>
    </w:p>
    <w:p>
      <w:pPr>
        <w:ind w:left="454"/>
      </w:pPr>
      <w:r>
        <w:rPr>
          <w:i/>
          <w:color w:val="6B7A90"/>
          <w:sz w:val="17"/>
        </w:rPr>
        <w:t>확인 수준: 연구자 본문 확인(V4 기록)  ·  doi:10.1145/505248.506010  ·  용도: TM: 과업 맥락의 적시성·currency, 저널 pp.214–215</w:t>
      </w:r>
    </w:p>
    <w:p>
      <w:pPr>
        <w:spacing w:after="20"/>
        <w:ind w:left="454" w:hanging="454"/>
      </w:pPr>
      <w:r>
        <w:rPr>
          <w:sz w:val="19"/>
        </w:rPr>
        <w:t>Zowghi, D., &amp; Gervasi, V. (2003). On the interplay between consistency, completeness, and correctness in requirements evolution. Information and Software Technology, 45(14), 993–1009.</w:t>
      </w:r>
    </w:p>
    <w:p>
      <w:pPr>
        <w:ind w:left="454"/>
      </w:pPr>
      <w:r>
        <w:rPr>
          <w:i/>
          <w:color w:val="6B7A90"/>
          <w:sz w:val="17"/>
        </w:rPr>
        <w:t>확인 수준: 저자기관 초록만 확인(V4 기록) — 본문 미확인  ·  용도: CO: 요구사항 일관성 논의(보강 필요)</w:t>
      </w:r>
    </w:p>
    <w:p>
      <w:pPr>
        <w:spacing w:after="20"/>
        <w:ind w:left="454" w:hanging="454"/>
      </w:pPr>
      <w:r>
        <w:rPr>
          <w:sz w:val="19"/>
        </w:rPr>
        <w:t>Bovens, M. (2007). Analysing and assessing accountability: A conceptual framework. European Law Journal, 13(4), 447–468.</w:t>
      </w:r>
    </w:p>
    <w:p>
      <w:pPr>
        <w:ind w:left="454"/>
      </w:pPr>
      <w:r>
        <w:rPr>
          <w:i/>
          <w:color w:val="6B7A90"/>
          <w:sz w:val="17"/>
        </w:rPr>
        <w:t>확인 수준: 출판사 초록만 확인(V4 기록) — 본문 미확인  ·  doi:10.1111/j.1468-0386.2007.00378.x  ·  용도: AC: Accountability와의 범위 차이 구별</w:t>
      </w:r>
    </w:p>
    <w:p>
      <w:pPr>
        <w:spacing w:after="20"/>
        <w:ind w:left="454" w:hanging="454"/>
      </w:pPr>
      <w:r>
        <w:rPr>
          <w:sz w:val="19"/>
        </w:rPr>
        <w:t>MacKenzie, S. B., Podsakoff, P. M., &amp; Podsakoff, N. P. (2011). Construct measurement and validation procedures in MIS and behavioral research: Integrating new and existing techniques. MIS Quarterly, 35(2), 293–334.</w:t>
      </w:r>
    </w:p>
    <w:p>
      <w:pPr>
        <w:ind w:left="454"/>
      </w:pPr>
      <w:r>
        <w:rPr>
          <w:i/>
          <w:color w:val="6B7A90"/>
          <w:sz w:val="17"/>
        </w:rPr>
        <w:t>확인 수준: 연구자 본문 확인(V4 기록)  ·  용도: 반영적·형성적 측정모형, pp.302–303</w:t>
      </w:r>
    </w:p>
    <w:p>
      <w:pPr>
        <w:spacing w:after="20"/>
        <w:ind w:left="454" w:hanging="454"/>
      </w:pPr>
      <w:r>
        <w:rPr>
          <w:sz w:val="19"/>
        </w:rPr>
        <w:t>Boateng, G. O., Neilands, T. B., Frongillo, E. A., Melgar-Quiñonez, H. R., &amp; Young, S. L. (2018). Best practices for developing and validating scales for health, social, and behavioral research: A primer. Frontiers in Public Health, 6, 149.</w:t>
      </w:r>
    </w:p>
    <w:p>
      <w:pPr>
        <w:ind w:left="454"/>
      </w:pPr>
      <w:r>
        <w:rPr>
          <w:i/>
          <w:color w:val="6B7A90"/>
          <w:sz w:val="17"/>
        </w:rPr>
        <w:t>확인 수준: 연구자 본문 확인(V4 기록)  ·  doi:10.3389/fpubh.2018.00149  ·  용도: 척도 개발 절차, Table 1</w:t>
      </w:r>
    </w:p>
    <w:p>
      <w:pPr>
        <w:spacing w:after="20"/>
        <w:ind w:left="454" w:hanging="454"/>
      </w:pPr>
      <w:r>
        <w:rPr>
          <w:sz w:val="19"/>
        </w:rPr>
        <w:t>Polit, D. F., Beck, C. T., &amp; Owen, S. V. (2007). Is the CVI an acceptable indicator of content validity? Appraisal and recommendations. Research in Nursing &amp; Health, 30(4), 459–467.</w:t>
      </w:r>
    </w:p>
    <w:p>
      <w:pPr>
        <w:ind w:left="454"/>
      </w:pPr>
      <w:r>
        <w:rPr>
          <w:i/>
          <w:color w:val="6B7A90"/>
          <w:sz w:val="17"/>
        </w:rPr>
        <w:t>확인 수준: 출판사 초록만 확인(V4 기록) — 본문 미확인  ·  doi:10.1002/nur.20199  ·  용도: I-CVI .78 권고, 우연 합의 보정</w:t>
      </w:r>
    </w:p>
    <w:p>
      <w:pPr>
        <w:spacing w:after="20"/>
        <w:ind w:left="454" w:hanging="454"/>
      </w:pPr>
      <w:r>
        <w:rPr>
          <w:sz w:val="19"/>
        </w:rPr>
        <w:t>Noy, N. F., &amp; McGuinness, D. L. (2001). Ontology Development 101: A guide to creating your first ontology. Stanford University.</w:t>
      </w:r>
    </w:p>
    <w:p>
      <w:pPr>
        <w:ind w:left="454"/>
      </w:pPr>
      <w:r>
        <w:rPr>
          <w:i/>
          <w:color w:val="6B7A90"/>
          <w:sz w:val="17"/>
        </w:rPr>
        <w:t>확인 수준: 연구자 본문 확인(V4 기록)  ·  용도: 온톨로지 범위 설정 Step 1, PDF pp.4–5</w:t>
      </w:r>
    </w:p>
    <w:p>
      <w:pPr>
        <w:spacing w:after="20"/>
        <w:ind w:left="454" w:hanging="454"/>
      </w:pPr>
      <w:r>
        <w:rPr>
          <w:sz w:val="19"/>
        </w:rPr>
        <w:t>Diamantopoulos, A., &amp; Winklhofer, H. M. (2001). Index construction with formative indicators: An alternative to scale development. Journal of Marketing Research, 38(2), 269–277.</w:t>
      </w:r>
    </w:p>
    <w:p>
      <w:pPr>
        <w:ind w:left="454"/>
      </w:pPr>
      <w:r>
        <w:rPr>
          <w:i/>
          <w:color w:val="6B7A90"/>
          <w:sz w:val="17"/>
        </w:rPr>
        <w:t>확인 수준: 서지만 — 본문 확인 필요  ·  doi:10.1509/jmkr.38.2.269.18845  ·  용도: 현재 직접 근거로 사용하지 않음</w:t>
      </w:r>
    </w:p>
    <w:p>
      <w:pPr>
        <w:spacing w:after="20"/>
        <w:ind w:left="454" w:hanging="454"/>
      </w:pPr>
      <w:r>
        <w:rPr>
          <w:sz w:val="19"/>
        </w:rPr>
        <w:t>Cleland-Huang, J., Gotel, O. C. Z., Huffman Hayes, J., Mäder, P., &amp; Zisman, A. (2014). Software traceability: Trends and future directions. In Proc. Future of Software Engineering (FOSE 2014), pp. 55–69. ACM.</w:t>
      </w:r>
    </w:p>
    <w:p>
      <w:pPr>
        <w:ind w:left="454"/>
      </w:pPr>
      <w:r>
        <w:rPr>
          <w:i/>
          <w:color w:val="6B7A90"/>
          <w:sz w:val="17"/>
        </w:rPr>
        <w:t>확인 수준: 서지만 — 본문 확인 필요  ·  doi:10.1145/2593882.2593891  ·  용도: 현재 직접 근거로 사용하지 않음</w:t>
      </w:r>
    </w:p>
    <w:p>
      <w:pPr>
        <w:spacing w:after="20"/>
        <w:ind w:left="454" w:hanging="454"/>
      </w:pPr>
      <w:r>
        <w:rPr>
          <w:sz w:val="19"/>
        </w:rPr>
        <w:t>Batini, C., Cappiello, C., Francalanci, C., &amp; Maurino, A. (2009). Methodologies for data quality assessment and improvement. ACM Computing Surveys, 41(3), Article 16.</w:t>
      </w:r>
    </w:p>
    <w:p>
      <w:pPr>
        <w:ind w:left="454"/>
      </w:pPr>
      <w:r>
        <w:rPr>
          <w:i/>
          <w:color w:val="6B7A90"/>
          <w:sz w:val="17"/>
        </w:rPr>
        <w:t>확인 수준: 서지만 — 본문 확인 필요  ·  doi:10.1145/1541880.1541883  ·  용도: 현재 직접 근거로 사용하지 않음</w:t>
      </w:r>
    </w:p>
    <w:p>
      <w:pPr>
        <w:spacing w:after="20"/>
        <w:ind w:left="454" w:hanging="454"/>
      </w:pPr>
      <w:r>
        <w:rPr>
          <w:sz w:val="19"/>
        </w:rPr>
        <w:t>Argyris, C. (1977). Double loop learning in organizations. Harvard Business Review, 55(5), 115–125.</w:t>
      </w:r>
    </w:p>
    <w:p>
      <w:pPr>
        <w:ind w:left="454"/>
      </w:pPr>
      <w:r>
        <w:rPr>
          <w:i/>
          <w:color w:val="6B7A90"/>
          <w:sz w:val="17"/>
        </w:rPr>
        <w:t>확인 수준: 출판사 소개만 확인(V4 기록)  ·  용도: FC의 직접 차원 근거에서 제외</w:t>
      </w:r>
    </w:p>
    <w:p>
      <w:pPr>
        <w:spacing w:after="20"/>
        <w:ind w:left="454" w:hanging="454"/>
      </w:pPr>
      <w:r>
        <w:rPr>
          <w:sz w:val="19"/>
        </w:rPr>
        <w:t>ISO 19011:2018. Guidelines for auditing management systems. International Organization for Standardization.</w:t>
      </w:r>
    </w:p>
    <w:p>
      <w:pPr>
        <w:ind w:left="454"/>
      </w:pPr>
      <w:r>
        <w:rPr>
          <w:i/>
          <w:color w:val="6B7A90"/>
          <w:sz w:val="17"/>
        </w:rPr>
        <w:t>확인 수준: 서지만 — 표준 원문·판본 확인 필요  ·  용도: 조항 직접 인용 보류</w:t>
      </w:r>
    </w:p>
    <w:p>
      <w:pPr>
        <w:spacing w:after="20"/>
        <w:ind w:left="454" w:hanging="454"/>
      </w:pPr>
      <w:r>
        <w:rPr>
          <w:sz w:val="19"/>
        </w:rPr>
        <w:t>ISO 22301:2019. Security and resilience — Business continuity management systems — Requirements. International Organization for Standardization.</w:t>
      </w:r>
    </w:p>
    <w:p>
      <w:pPr>
        <w:ind w:left="454"/>
      </w:pPr>
      <w:r>
        <w:rPr>
          <w:i/>
          <w:color w:val="6B7A90"/>
          <w:sz w:val="17"/>
        </w:rPr>
        <w:t>확인 수준: 서지만 — 표준 원문·판본 확인 필요  ·  용도: 조항 직접 인용 보류</w:t>
      </w:r>
    </w:p>
    <w:p>
      <w:r>
        <w:br w:type="page"/>
      </w:r>
    </w:p>
    <w:p>
      <w:pPr>
        <w:pStyle w:val="Heading1"/>
      </w:pPr>
      <w:r>
        <w:t>부록 A. 관계 기록 31개와 근거</w:t>
      </w:r>
    </w:p>
    <w:tbl>
      <w:tblPr>
        <w:tblStyle w:val="TableGrid"/>
        <w:tblW w:type="auto" w:w="0"/>
        <w:jc w:val="center"/>
        <w:tblLayout w:type="fixed"/>
        <w:tblLook w:firstColumn="1" w:firstRow="1" w:lastColumn="0" w:lastRow="0" w:noHBand="0" w:noVBand="1" w:val="04A0"/>
      </w:tblPr>
      <w:tblGrid>
        <w:gridCol w:w="567"/>
        <w:gridCol w:w="1077"/>
        <w:gridCol w:w="1134"/>
        <w:gridCol w:w="907"/>
        <w:gridCol w:w="850"/>
        <w:gridCol w:w="964"/>
        <w:gridCol w:w="3912"/>
      </w:tblGrid>
      <w:tr>
        <w:trPr>
          <w:tblHeader w:val="true"/>
        </w:trPr>
        <w:tc>
          <w:tcPr>
            <w:tcW w:type="dxa" w:w="567"/>
            <w:shd w:val="clear" w:color="auto" w:fill="14213D"/>
          </w:tcPr>
          <w:p>
            <w:pPr>
              <w:spacing w:after="40" w:line="264" w:lineRule="auto"/>
            </w:pPr>
            <w:r/>
            <w:r>
              <w:rPr>
                <w:b/>
                <w:color w:val="FFFFFF"/>
                <w:sz w:val="15"/>
              </w:rPr>
              <w:t>ID</w:t>
            </w:r>
          </w:p>
        </w:tc>
        <w:tc>
          <w:tcPr>
            <w:tcW w:type="dxa" w:w="1077"/>
            <w:shd w:val="clear" w:color="auto" w:fill="14213D"/>
          </w:tcPr>
          <w:p>
            <w:pPr>
              <w:spacing w:after="40" w:line="264" w:lineRule="auto"/>
            </w:pPr>
            <w:r/>
            <w:r>
              <w:rPr>
                <w:b/>
                <w:color w:val="FFFFFF"/>
                <w:sz w:val="15"/>
              </w:rPr>
              <w:t>출발→도착</w:t>
            </w:r>
          </w:p>
        </w:tc>
        <w:tc>
          <w:tcPr>
            <w:tcW w:type="dxa" w:w="1134"/>
            <w:shd w:val="clear" w:color="auto" w:fill="14213D"/>
          </w:tcPr>
          <w:p>
            <w:pPr>
              <w:spacing w:after="40" w:line="264" w:lineRule="auto"/>
            </w:pPr>
            <w:r/>
            <w:r>
              <w:rPr>
                <w:b/>
                <w:color w:val="FFFFFF"/>
                <w:sz w:val="15"/>
              </w:rPr>
              <w:t>관계 의미</w:t>
            </w:r>
          </w:p>
        </w:tc>
        <w:tc>
          <w:tcPr>
            <w:tcW w:type="dxa" w:w="907"/>
            <w:shd w:val="clear" w:color="auto" w:fill="14213D"/>
          </w:tcPr>
          <w:p>
            <w:pPr>
              <w:spacing w:after="40" w:line="264" w:lineRule="auto"/>
            </w:pPr>
            <w:r/>
            <w:r>
              <w:rPr>
                <w:b/>
                <w:color w:val="FFFFFF"/>
                <w:sz w:val="15"/>
              </w:rPr>
              <w:t>분류</w:t>
            </w:r>
          </w:p>
        </w:tc>
        <w:tc>
          <w:tcPr>
            <w:tcW w:type="dxa" w:w="850"/>
            <w:shd w:val="clear" w:color="auto" w:fill="14213D"/>
          </w:tcPr>
          <w:p>
            <w:pPr>
              <w:spacing w:after="40" w:line="264" w:lineRule="auto"/>
            </w:pPr>
            <w:r/>
            <w:r>
              <w:rPr>
                <w:b/>
                <w:color w:val="FFFFFF"/>
                <w:sz w:val="15"/>
              </w:rPr>
              <w:t>V3→V4</w:t>
            </w:r>
          </w:p>
        </w:tc>
        <w:tc>
          <w:tcPr>
            <w:tcW w:type="dxa" w:w="964"/>
            <w:shd w:val="clear" w:color="auto" w:fill="14213D"/>
          </w:tcPr>
          <w:p>
            <w:pPr>
              <w:spacing w:after="40" w:line="264" w:lineRule="auto"/>
            </w:pPr>
            <w:r/>
            <w:r>
              <w:rPr>
                <w:b/>
                <w:color w:val="FFFFFF"/>
                <w:sz w:val="15"/>
              </w:rPr>
              <w:t>인용(쪽)</w:t>
            </w:r>
          </w:p>
        </w:tc>
        <w:tc>
          <w:tcPr>
            <w:tcW w:type="dxa" w:w="3912"/>
            <w:shd w:val="clear" w:color="auto" w:fill="14213D"/>
          </w:tcPr>
          <w:p>
            <w:pPr>
              <w:spacing w:after="40" w:line="264" w:lineRule="auto"/>
            </w:pPr>
            <w:r/>
            <w:r>
              <w:rPr>
                <w:b/>
                <w:color w:val="FFFFFF"/>
                <w:sz w:val="15"/>
              </w:rPr>
              <w:t>원문 요지 · 연구자 정규화 · 주의</w:t>
            </w:r>
          </w:p>
        </w:tc>
      </w:tr>
      <w:tr>
        <w:tc>
          <w:tcPr>
            <w:tcW w:type="dxa" w:w="567"/>
          </w:tcPr>
          <w:p>
            <w:pPr>
              <w:spacing w:after="40" w:line="264" w:lineRule="auto"/>
            </w:pPr>
            <w:r/>
            <w:r>
              <w:rPr>
                <w:sz w:val="15"/>
              </w:rPr>
              <w:t>L01</w:t>
            </w:r>
          </w:p>
        </w:tc>
        <w:tc>
          <w:tcPr>
            <w:tcW w:type="dxa" w:w="1077"/>
          </w:tcPr>
          <w:p>
            <w:pPr>
              <w:spacing w:after="40" w:line="264" w:lineRule="auto"/>
            </w:pPr>
            <w:r/>
            <w:r>
              <w:rPr>
                <w:sz w:val="15"/>
              </w:rPr>
              <w:t>REQ→BIA</w:t>
            </w:r>
          </w:p>
        </w:tc>
        <w:tc>
          <w:tcPr>
            <w:tcW w:type="dxa" w:w="1134"/>
          </w:tcPr>
          <w:p>
            <w:pPr>
              <w:spacing w:after="40" w:line="264" w:lineRule="auto"/>
            </w:pPr>
            <w:r/>
            <w:r>
              <w:rPr>
                <w:sz w:val="15"/>
              </w:rPr>
              <w:t>입력된다·활용된다</w:t>
            </w:r>
          </w:p>
        </w:tc>
        <w:tc>
          <w:tcPr>
            <w:tcW w:type="dxa" w:w="907"/>
          </w:tcPr>
          <w:p>
            <w:pPr>
              <w:spacing w:after="40" w:line="264" w:lineRule="auto"/>
            </w:pPr>
            <w:r/>
            <w:r>
              <w:rPr>
                <w:sz w:val="15"/>
              </w:rPr>
              <w:t>운영 후보</w:t>
            </w:r>
          </w:p>
        </w:tc>
        <w:tc>
          <w:tcPr>
            <w:tcW w:type="dxa" w:w="850"/>
          </w:tcPr>
          <w:p>
            <w:pPr>
              <w:spacing w:after="40" w:line="264" w:lineRule="auto"/>
            </w:pPr>
            <w:r/>
            <w:r>
              <w:rPr>
                <w:sz w:val="15"/>
              </w:rPr>
              <w:t>E1→E1</w:t>
            </w:r>
          </w:p>
        </w:tc>
        <w:tc>
          <w:tcPr>
            <w:tcW w:type="dxa" w:w="964"/>
          </w:tcPr>
          <w:p>
            <w:pPr>
              <w:spacing w:after="40" w:line="264" w:lineRule="auto"/>
            </w:pPr>
            <w:r/>
            <w:r>
              <w:rPr>
                <w:sz w:val="15"/>
              </w:rPr>
              <w:t>A11 p.15</w:t>
            </w:r>
          </w:p>
        </w:tc>
        <w:tc>
          <w:tcPr>
            <w:tcW w:type="dxa" w:w="3912"/>
          </w:tcPr>
          <w:p>
            <w:pPr>
              <w:spacing w:after="40" w:line="264" w:lineRule="auto"/>
            </w:pPr>
            <w:r/>
            <w:r>
              <w:rPr>
                <w:sz w:val="15"/>
              </w:rPr>
              <w:t>요구사항관리가 식별한 법규·규제·계약 요구사항이 BIA·중요도 분석 프로세스에 "정보를 제공(inform)"한다.</w:t>
              <w:br/>
              <w:t>[정규화] "inform"을 "S의 산출물이 T의 입력·기준이 된다(informs)"로 해석. A11은 4개 프로세스를 한 문장으로 열거하므로 L01·L02·L04·L05는 이 문장에서 연구자가 분리한 연결.</w:t>
              <w:br/>
              <w:t>[주의] 원문의 관계 의미를 산출물과 사용 목적까지 구체화한 뒤 전문가에게 적절성을 평가받는다.</w:t>
            </w:r>
          </w:p>
        </w:tc>
      </w:tr>
      <w:tr>
        <w:tc>
          <w:tcPr>
            <w:tcW w:type="dxa" w:w="567"/>
            <w:shd w:val="clear" w:color="auto" w:fill="F3F6FA"/>
          </w:tcPr>
          <w:p>
            <w:pPr>
              <w:spacing w:after="40" w:line="264" w:lineRule="auto"/>
            </w:pPr>
            <w:r/>
            <w:r>
              <w:rPr>
                <w:sz w:val="15"/>
              </w:rPr>
              <w:t>L02</w:t>
            </w:r>
          </w:p>
        </w:tc>
        <w:tc>
          <w:tcPr>
            <w:tcW w:type="dxa" w:w="1077"/>
            <w:shd w:val="clear" w:color="auto" w:fill="F3F6FA"/>
          </w:tcPr>
          <w:p>
            <w:pPr>
              <w:spacing w:after="40" w:line="264" w:lineRule="auto"/>
            </w:pPr>
            <w:r/>
            <w:r>
              <w:rPr>
                <w:sz w:val="15"/>
              </w:rPr>
              <w:t>REQ→RA</w:t>
            </w:r>
          </w:p>
        </w:tc>
        <w:tc>
          <w:tcPr>
            <w:tcW w:type="dxa" w:w="1134"/>
            <w:shd w:val="clear" w:color="auto" w:fill="F3F6FA"/>
          </w:tcPr>
          <w:p>
            <w:pPr>
              <w:spacing w:after="40" w:line="264" w:lineRule="auto"/>
            </w:pPr>
            <w:r/>
            <w:r>
              <w:rPr>
                <w:sz w:val="15"/>
              </w:rPr>
              <w:t>입력된다·활용된다</w:t>
            </w:r>
          </w:p>
        </w:tc>
        <w:tc>
          <w:tcPr>
            <w:tcW w:type="dxa" w:w="907"/>
            <w:shd w:val="clear" w:color="auto" w:fill="F3F6FA"/>
          </w:tcPr>
          <w:p>
            <w:pPr>
              <w:spacing w:after="40" w:line="264" w:lineRule="auto"/>
            </w:pPr>
            <w:r/>
            <w:r>
              <w:rPr>
                <w:sz w:val="15"/>
              </w:rPr>
              <w:t>운영 후보</w:t>
            </w:r>
          </w:p>
        </w:tc>
        <w:tc>
          <w:tcPr>
            <w:tcW w:type="dxa" w:w="850"/>
            <w:shd w:val="clear" w:color="auto" w:fill="F3F6FA"/>
          </w:tcPr>
          <w:p>
            <w:pPr>
              <w:spacing w:after="40" w:line="264" w:lineRule="auto"/>
            </w:pPr>
            <w:r/>
            <w:r>
              <w:rPr>
                <w:sz w:val="15"/>
              </w:rPr>
              <w:t>E1→E1</w:t>
            </w:r>
          </w:p>
        </w:tc>
        <w:tc>
          <w:tcPr>
            <w:tcW w:type="dxa" w:w="964"/>
            <w:shd w:val="clear" w:color="auto" w:fill="F3F6FA"/>
          </w:tcPr>
          <w:p>
            <w:pPr>
              <w:spacing w:after="40" w:line="264" w:lineRule="auto"/>
            </w:pPr>
            <w:r/>
            <w:r>
              <w:rPr>
                <w:sz w:val="15"/>
              </w:rPr>
              <w:t>A11 p.15</w:t>
            </w:r>
          </w:p>
        </w:tc>
        <w:tc>
          <w:tcPr>
            <w:tcW w:type="dxa" w:w="3912"/>
            <w:shd w:val="clear" w:color="auto" w:fill="F3F6FA"/>
          </w:tcPr>
          <w:p>
            <w:pPr>
              <w:spacing w:after="40" w:line="264" w:lineRule="auto"/>
            </w:pPr>
            <w:r/>
            <w:r>
              <w:rPr>
                <w:sz w:val="15"/>
              </w:rPr>
              <w:t>요구사항관리의 결과가 리스크평가 프로세스에 정보를 제공한다.</w:t>
              <w:br/>
              <w:t>[정규화] 인용문 분리 사유는 L01과 동일.</w:t>
              <w:br/>
              <w:t>[주의] 원문의 관계 의미를 산출물과 사용 목적까지 구체화한 뒤 전문가에게 적절성을 평가받는다.</w:t>
            </w:r>
          </w:p>
        </w:tc>
      </w:tr>
      <w:tr>
        <w:tc>
          <w:tcPr>
            <w:tcW w:type="dxa" w:w="567"/>
          </w:tcPr>
          <w:p>
            <w:pPr>
              <w:spacing w:after="40" w:line="264" w:lineRule="auto"/>
            </w:pPr>
            <w:r/>
            <w:r>
              <w:rPr>
                <w:sz w:val="15"/>
              </w:rPr>
              <w:t>L03</w:t>
            </w:r>
          </w:p>
        </w:tc>
        <w:tc>
          <w:tcPr>
            <w:tcW w:type="dxa" w:w="1077"/>
          </w:tcPr>
          <w:p>
            <w:pPr>
              <w:spacing w:after="40" w:line="264" w:lineRule="auto"/>
            </w:pPr>
            <w:r/>
            <w:r>
              <w:rPr>
                <w:sz w:val="15"/>
              </w:rPr>
              <w:t>BIA→RA</w:t>
            </w:r>
          </w:p>
        </w:tc>
        <w:tc>
          <w:tcPr>
            <w:tcW w:type="dxa" w:w="1134"/>
          </w:tcPr>
          <w:p>
            <w:pPr>
              <w:spacing w:after="40" w:line="264" w:lineRule="auto"/>
            </w:pPr>
            <w:r/>
            <w:r>
              <w:rPr>
                <w:sz w:val="15"/>
              </w:rPr>
              <w:t>근거가 된다</w:t>
            </w:r>
          </w:p>
        </w:tc>
        <w:tc>
          <w:tcPr>
            <w:tcW w:type="dxa" w:w="907"/>
          </w:tcPr>
          <w:p>
            <w:pPr>
              <w:spacing w:after="40" w:line="264" w:lineRule="auto"/>
            </w:pPr>
            <w:r/>
            <w:r>
              <w:rPr>
                <w:sz w:val="15"/>
              </w:rPr>
              <w:t>운영 후보</w:t>
            </w:r>
          </w:p>
        </w:tc>
        <w:tc>
          <w:tcPr>
            <w:tcW w:type="dxa" w:w="850"/>
          </w:tcPr>
          <w:p>
            <w:pPr>
              <w:spacing w:after="40" w:line="264" w:lineRule="auto"/>
            </w:pPr>
            <w:r/>
            <w:r>
              <w:rPr>
                <w:sz w:val="15"/>
              </w:rPr>
              <w:t>E1→E1</w:t>
            </w:r>
          </w:p>
        </w:tc>
        <w:tc>
          <w:tcPr>
            <w:tcW w:type="dxa" w:w="964"/>
          </w:tcPr>
          <w:p>
            <w:pPr>
              <w:spacing w:after="40" w:line="264" w:lineRule="auto"/>
            </w:pPr>
            <w:r/>
            <w:r>
              <w:rPr>
                <w:sz w:val="15"/>
              </w:rPr>
              <w:t>A12 p.15</w:t>
            </w:r>
          </w:p>
        </w:tc>
        <w:tc>
          <w:tcPr>
            <w:tcW w:type="dxa" w:w="3912"/>
          </w:tcPr>
          <w:p>
            <w:pPr>
              <w:spacing w:after="40" w:line="264" w:lineRule="auto"/>
            </w:pPr>
            <w:r/>
            <w:r>
              <w:rPr>
                <w:sz w:val="15"/>
              </w:rPr>
              <w:t>리스크평가는 BIA·중요도 분석의 결과를 기반(foundation)으로 삼는다. BIA의 최종 결과는 근거가 첨부된 문서화된 진술(업무연속성 요구사항)이다.</w:t>
              <w:br/>
              <w:t>[정규화] "relies on ... as its foundation"을 informs(입력·기준)로 해석.</w:t>
              <w:br/>
              <w:t>[주의] 원문의 관계 의미를 산출물과 사용 목적까지 구체화한 뒤 전문가에게 적절성을 평가받는다.</w:t>
            </w:r>
          </w:p>
        </w:tc>
      </w:tr>
      <w:tr>
        <w:tc>
          <w:tcPr>
            <w:tcW w:type="dxa" w:w="567"/>
            <w:shd w:val="clear" w:color="auto" w:fill="F3F6FA"/>
          </w:tcPr>
          <w:p>
            <w:pPr>
              <w:spacing w:after="40" w:line="264" w:lineRule="auto"/>
            </w:pPr>
            <w:r/>
            <w:r>
              <w:rPr>
                <w:sz w:val="15"/>
              </w:rPr>
              <w:t>L04</w:t>
            </w:r>
          </w:p>
        </w:tc>
        <w:tc>
          <w:tcPr>
            <w:tcW w:type="dxa" w:w="1077"/>
            <w:shd w:val="clear" w:color="auto" w:fill="F3F6FA"/>
          </w:tcPr>
          <w:p>
            <w:pPr>
              <w:spacing w:after="40" w:line="264" w:lineRule="auto"/>
            </w:pPr>
            <w:r/>
            <w:r>
              <w:rPr>
                <w:sz w:val="15"/>
              </w:rPr>
              <w:t>REQ→AUD</w:t>
            </w:r>
          </w:p>
        </w:tc>
        <w:tc>
          <w:tcPr>
            <w:tcW w:type="dxa" w:w="1134"/>
            <w:shd w:val="clear" w:color="auto" w:fill="F3F6FA"/>
          </w:tcPr>
          <w:p>
            <w:pPr>
              <w:spacing w:after="40" w:line="264" w:lineRule="auto"/>
            </w:pPr>
            <w:r/>
            <w:r>
              <w:rPr>
                <w:sz w:val="15"/>
              </w:rPr>
              <w:t>입력된다·활용된다</w:t>
            </w:r>
          </w:p>
        </w:tc>
        <w:tc>
          <w:tcPr>
            <w:tcW w:type="dxa" w:w="907"/>
            <w:shd w:val="clear" w:color="auto" w:fill="F3F6FA"/>
          </w:tcPr>
          <w:p>
            <w:pPr>
              <w:spacing w:after="40" w:line="264" w:lineRule="auto"/>
            </w:pPr>
            <w:r/>
            <w:r>
              <w:rPr>
                <w:sz w:val="15"/>
              </w:rPr>
              <w:t>운영 후보</w:t>
            </w:r>
          </w:p>
        </w:tc>
        <w:tc>
          <w:tcPr>
            <w:tcW w:type="dxa" w:w="850"/>
            <w:shd w:val="clear" w:color="auto" w:fill="F3F6FA"/>
          </w:tcPr>
          <w:p>
            <w:pPr>
              <w:spacing w:after="40" w:line="264" w:lineRule="auto"/>
            </w:pPr>
            <w:r/>
            <w:r>
              <w:rPr>
                <w:sz w:val="15"/>
              </w:rPr>
              <w:t>E1→E1</w:t>
            </w:r>
          </w:p>
        </w:tc>
        <w:tc>
          <w:tcPr>
            <w:tcW w:type="dxa" w:w="964"/>
            <w:shd w:val="clear" w:color="auto" w:fill="F3F6FA"/>
          </w:tcPr>
          <w:p>
            <w:pPr>
              <w:spacing w:after="40" w:line="264" w:lineRule="auto"/>
            </w:pPr>
            <w:r/>
            <w:r>
              <w:rPr>
                <w:sz w:val="15"/>
              </w:rPr>
              <w:t>A11 p.15</w:t>
            </w:r>
          </w:p>
        </w:tc>
        <w:tc>
          <w:tcPr>
            <w:tcW w:type="dxa" w:w="3912"/>
            <w:shd w:val="clear" w:color="auto" w:fill="F3F6FA"/>
          </w:tcPr>
          <w:p>
            <w:pPr>
              <w:spacing w:after="40" w:line="264" w:lineRule="auto"/>
            </w:pPr>
            <w:r/>
            <w:r>
              <w:rPr>
                <w:sz w:val="15"/>
              </w:rPr>
              <w:t>요구사항관리의 결과가 내부감사 프로세스에 정보를 제공한다.</w:t>
              <w:br/>
              <w:t>[정규화] 인용문 분리 사유는 L01과 동일. 내부감사 기준에 요구사항이 포함된다는 구체적 형태는 연구자의 지표화.</w:t>
              <w:br/>
              <w:t>[주의] 원문의 관계 의미를 산출물과 사용 목적까지 구체화한 뒤 전문가에게 적절성을 평가받는다.</w:t>
            </w:r>
          </w:p>
        </w:tc>
      </w:tr>
      <w:tr>
        <w:tc>
          <w:tcPr>
            <w:tcW w:type="dxa" w:w="567"/>
          </w:tcPr>
          <w:p>
            <w:pPr>
              <w:spacing w:after="40" w:line="264" w:lineRule="auto"/>
            </w:pPr>
            <w:r/>
            <w:r>
              <w:rPr>
                <w:sz w:val="15"/>
              </w:rPr>
              <w:t>L05</w:t>
            </w:r>
          </w:p>
        </w:tc>
        <w:tc>
          <w:tcPr>
            <w:tcW w:type="dxa" w:w="1077"/>
          </w:tcPr>
          <w:p>
            <w:pPr>
              <w:spacing w:after="40" w:line="264" w:lineRule="auto"/>
            </w:pPr>
            <w:r/>
            <w:r>
              <w:rPr>
                <w:sz w:val="15"/>
              </w:rPr>
              <w:t>REQ→SUP</w:t>
            </w:r>
          </w:p>
        </w:tc>
        <w:tc>
          <w:tcPr>
            <w:tcW w:type="dxa" w:w="1134"/>
          </w:tcPr>
          <w:p>
            <w:pPr>
              <w:spacing w:after="40" w:line="264" w:lineRule="auto"/>
            </w:pPr>
            <w:r/>
            <w:r>
              <w:rPr>
                <w:sz w:val="15"/>
              </w:rPr>
              <w:t>입력된다·활용된다</w:t>
            </w:r>
          </w:p>
        </w:tc>
        <w:tc>
          <w:tcPr>
            <w:tcW w:type="dxa" w:w="907"/>
          </w:tcPr>
          <w:p>
            <w:pPr>
              <w:spacing w:after="40" w:line="264" w:lineRule="auto"/>
            </w:pPr>
            <w:r/>
            <w:r>
              <w:rPr>
                <w:sz w:val="15"/>
              </w:rPr>
              <w:t>운영 후보</w:t>
            </w:r>
          </w:p>
        </w:tc>
        <w:tc>
          <w:tcPr>
            <w:tcW w:type="dxa" w:w="850"/>
          </w:tcPr>
          <w:p>
            <w:pPr>
              <w:spacing w:after="40" w:line="264" w:lineRule="auto"/>
            </w:pPr>
            <w:r/>
            <w:r>
              <w:rPr>
                <w:sz w:val="15"/>
              </w:rPr>
              <w:t>E1→E1</w:t>
            </w:r>
          </w:p>
        </w:tc>
        <w:tc>
          <w:tcPr>
            <w:tcW w:type="dxa" w:w="964"/>
          </w:tcPr>
          <w:p>
            <w:pPr>
              <w:spacing w:after="40" w:line="264" w:lineRule="auto"/>
            </w:pPr>
            <w:r/>
            <w:r>
              <w:rPr>
                <w:sz w:val="15"/>
              </w:rPr>
              <w:t>A11 p.15</w:t>
            </w:r>
          </w:p>
        </w:tc>
        <w:tc>
          <w:tcPr>
            <w:tcW w:type="dxa" w:w="3912"/>
          </w:tcPr>
          <w:p>
            <w:pPr>
              <w:spacing w:after="40" w:line="264" w:lineRule="auto"/>
            </w:pPr>
            <w:r/>
            <w:r>
              <w:rPr>
                <w:sz w:val="15"/>
              </w:rPr>
              <w:t>요구사항관리의 결과가 공급망관리 프로세스에 정보를 제공한다. 외주 서비스는 업무연속성 관점에서 평가·분석·통제되어야 한다.</w:t>
              <w:br/>
              <w:t>[정규화] 인용문 분리 사유는 L01과 동일. "공급업체 선정·계약 조건에 BC 요구사항 포함"은 A39(외주 서비스 통제)를 바탕으로 한 연구자의 지표화.</w:t>
              <w:br/>
              <w:t>[주의] 원문의 관계 의미를 산출물과 사용 목적까지 구체화한 뒤 전문가에게 적절성을 평가받는다.</w:t>
            </w:r>
          </w:p>
        </w:tc>
      </w:tr>
      <w:tr>
        <w:tc>
          <w:tcPr>
            <w:tcW w:type="dxa" w:w="567"/>
            <w:shd w:val="clear" w:color="auto" w:fill="F3F6FA"/>
          </w:tcPr>
          <w:p>
            <w:pPr>
              <w:spacing w:after="40" w:line="264" w:lineRule="auto"/>
            </w:pPr>
            <w:r/>
            <w:r>
              <w:rPr>
                <w:sz w:val="15"/>
              </w:rPr>
              <w:t>L06</w:t>
            </w:r>
          </w:p>
        </w:tc>
        <w:tc>
          <w:tcPr>
            <w:tcW w:type="dxa" w:w="1077"/>
            <w:shd w:val="clear" w:color="auto" w:fill="F3F6FA"/>
          </w:tcPr>
          <w:p>
            <w:pPr>
              <w:spacing w:after="40" w:line="264" w:lineRule="auto"/>
            </w:pPr>
            <w:r/>
            <w:r>
              <w:rPr>
                <w:sz w:val="15"/>
              </w:rPr>
              <w:t>BIA→STR</w:t>
            </w:r>
          </w:p>
        </w:tc>
        <w:tc>
          <w:tcPr>
            <w:tcW w:type="dxa" w:w="1134"/>
            <w:shd w:val="clear" w:color="auto" w:fill="F3F6FA"/>
          </w:tcPr>
          <w:p>
            <w:pPr>
              <w:spacing w:after="40" w:line="264" w:lineRule="auto"/>
            </w:pPr>
            <w:r/>
            <w:r>
              <w:rPr>
                <w:sz w:val="15"/>
              </w:rPr>
              <w:t>근거가 된다</w:t>
            </w:r>
          </w:p>
        </w:tc>
        <w:tc>
          <w:tcPr>
            <w:tcW w:type="dxa" w:w="907"/>
            <w:shd w:val="clear" w:color="auto" w:fill="F3F6FA"/>
          </w:tcPr>
          <w:p>
            <w:pPr>
              <w:spacing w:after="40" w:line="264" w:lineRule="auto"/>
            </w:pPr>
            <w:r/>
            <w:r>
              <w:rPr>
                <w:sz w:val="15"/>
              </w:rPr>
              <w:t>운영 후보</w:t>
            </w:r>
          </w:p>
        </w:tc>
        <w:tc>
          <w:tcPr>
            <w:tcW w:type="dxa" w:w="850"/>
            <w:shd w:val="clear" w:color="auto" w:fill="F3F6FA"/>
          </w:tcPr>
          <w:p>
            <w:pPr>
              <w:spacing w:after="40" w:line="264" w:lineRule="auto"/>
            </w:pPr>
            <w:r/>
            <w:r>
              <w:rPr>
                <w:sz w:val="15"/>
              </w:rPr>
              <w:t>E1→E1</w:t>
            </w:r>
          </w:p>
        </w:tc>
        <w:tc>
          <w:tcPr>
            <w:tcW w:type="dxa" w:w="964"/>
            <w:shd w:val="clear" w:color="auto" w:fill="F3F6FA"/>
          </w:tcPr>
          <w:p>
            <w:pPr>
              <w:spacing w:after="40" w:line="264" w:lineRule="auto"/>
            </w:pPr>
            <w:r/>
            <w:r>
              <w:rPr>
                <w:sz w:val="15"/>
              </w:rPr>
              <w:t>A14 p.15</w:t>
            </w:r>
          </w:p>
        </w:tc>
        <w:tc>
          <w:tcPr>
            <w:tcW w:type="dxa" w:w="3912"/>
            <w:shd w:val="clear" w:color="auto" w:fill="F3F6FA"/>
          </w:tcPr>
          <w:p>
            <w:pPr>
              <w:spacing w:after="40" w:line="264" w:lineRule="auto"/>
            </w:pPr>
            <w:r/>
            <w:r>
              <w:rPr>
                <w:sz w:val="15"/>
              </w:rPr>
              <w:t>BIA·중요도 분석이 완료된 후, 승인된 업무연속성 요구사항이 BC 전략·솔루션의 결정·선정을 안내(guide)한다. BIA 결과는 경영진 승인을 거친다.</w:t>
              <w:br/>
              <w:t>[정규화] "guide"를 informs(입력·기준)로 해석.</w:t>
              <w:br/>
              <w:t>[주의] 승인된 업무연속성 요구사항은 BIA 산출물이며 REQ의 법규·계약 요구사항과 구별한다.</w:t>
            </w:r>
          </w:p>
        </w:tc>
      </w:tr>
      <w:tr>
        <w:tc>
          <w:tcPr>
            <w:tcW w:type="dxa" w:w="567"/>
          </w:tcPr>
          <w:p>
            <w:pPr>
              <w:spacing w:after="40" w:line="264" w:lineRule="auto"/>
            </w:pPr>
            <w:r/>
            <w:r>
              <w:rPr>
                <w:sz w:val="15"/>
              </w:rPr>
              <w:t>L07</w:t>
            </w:r>
          </w:p>
        </w:tc>
        <w:tc>
          <w:tcPr>
            <w:tcW w:type="dxa" w:w="1077"/>
          </w:tcPr>
          <w:p>
            <w:pPr>
              <w:spacing w:after="40" w:line="264" w:lineRule="auto"/>
            </w:pPr>
            <w:r/>
            <w:r>
              <w:rPr>
                <w:sz w:val="15"/>
              </w:rPr>
              <w:t>STR→IMP</w:t>
            </w:r>
          </w:p>
        </w:tc>
        <w:tc>
          <w:tcPr>
            <w:tcW w:type="dxa" w:w="1134"/>
          </w:tcPr>
          <w:p>
            <w:pPr>
              <w:spacing w:after="40" w:line="264" w:lineRule="auto"/>
            </w:pPr>
            <w:r/>
            <w:r>
              <w:rPr>
                <w:sz w:val="15"/>
              </w:rPr>
              <w:t>도출·이행된다</w:t>
            </w:r>
          </w:p>
        </w:tc>
        <w:tc>
          <w:tcPr>
            <w:tcW w:type="dxa" w:w="907"/>
          </w:tcPr>
          <w:p>
            <w:pPr>
              <w:spacing w:after="40" w:line="264" w:lineRule="auto"/>
            </w:pPr>
            <w:r/>
            <w:r>
              <w:rPr>
                <w:sz w:val="15"/>
              </w:rPr>
              <w:t>운영 후보</w:t>
            </w:r>
          </w:p>
        </w:tc>
        <w:tc>
          <w:tcPr>
            <w:tcW w:type="dxa" w:w="850"/>
          </w:tcPr>
          <w:p>
            <w:pPr>
              <w:spacing w:after="40" w:line="264" w:lineRule="auto"/>
            </w:pPr>
            <w:r/>
            <w:r>
              <w:rPr>
                <w:sz w:val="15"/>
              </w:rPr>
              <w:t>E1→E1</w:t>
            </w:r>
          </w:p>
        </w:tc>
        <w:tc>
          <w:tcPr>
            <w:tcW w:type="dxa" w:w="964"/>
          </w:tcPr>
          <w:p>
            <w:pPr>
              <w:spacing w:after="40" w:line="264" w:lineRule="auto"/>
            </w:pPr>
            <w:r/>
            <w:r>
              <w:rPr>
                <w:sz w:val="15"/>
              </w:rPr>
              <w:t>A15 p.15</w:t>
            </w:r>
          </w:p>
        </w:tc>
        <w:tc>
          <w:tcPr>
            <w:tcW w:type="dxa" w:w="3912"/>
          </w:tcPr>
          <w:p>
            <w:pPr>
              <w:spacing w:after="40" w:line="264" w:lineRule="auto"/>
            </w:pPr>
            <w:r/>
            <w:r>
              <w:rPr>
                <w:sz w:val="15"/>
              </w:rPr>
              <w:t>솔루션 이행관리 프로세스는 BC 전략·솔루션과 필요한 변경이 계획대로 실행되도록 보장하며, 이를 개시하고 검증한다.</w:t>
              <w:br/>
              <w:t>[정규화] 인용문의 주어는 이행관리이고 대상은 전략·솔루션이므로 "STR이 IMP에서 구체화·실행된다"(STR→IMP)로 방향을 해석. A36은 이행관리가 전략·솔루션을 "verifying"한다고 서술하며, 이는 정합성·증빙성 문항에서 "확인하는 행위"를 구체화할 때 참고했다.</w:t>
              <w:br/>
              <w:t>[주의] 원문의 관계 의미를 산출물과 사용 목적까지 구체화한 뒤 전문가에게 적절성을 평가받는다.</w:t>
            </w:r>
          </w:p>
        </w:tc>
      </w:tr>
      <w:tr>
        <w:tc>
          <w:tcPr>
            <w:tcW w:type="dxa" w:w="567"/>
            <w:shd w:val="clear" w:color="auto" w:fill="F3F6FA"/>
          </w:tcPr>
          <w:p>
            <w:pPr>
              <w:spacing w:after="40" w:line="264" w:lineRule="auto"/>
            </w:pPr>
            <w:r/>
            <w:r>
              <w:rPr>
                <w:sz w:val="15"/>
              </w:rPr>
              <w:t>L08</w:t>
            </w:r>
          </w:p>
        </w:tc>
        <w:tc>
          <w:tcPr>
            <w:tcW w:type="dxa" w:w="1077"/>
            <w:shd w:val="clear" w:color="auto" w:fill="F3F6FA"/>
          </w:tcPr>
          <w:p>
            <w:pPr>
              <w:spacing w:after="40" w:line="264" w:lineRule="auto"/>
            </w:pPr>
            <w:r/>
            <w:r>
              <w:rPr>
                <w:sz w:val="15"/>
              </w:rPr>
              <w:t>STR→PLAN</w:t>
            </w:r>
          </w:p>
        </w:tc>
        <w:tc>
          <w:tcPr>
            <w:tcW w:type="dxa" w:w="1134"/>
            <w:shd w:val="clear" w:color="auto" w:fill="F3F6FA"/>
          </w:tcPr>
          <w:p>
            <w:pPr>
              <w:spacing w:after="40" w:line="264" w:lineRule="auto"/>
            </w:pPr>
            <w:r/>
            <w:r>
              <w:rPr>
                <w:sz w:val="15"/>
              </w:rPr>
              <w:t>도출·이행된다</w:t>
            </w:r>
          </w:p>
        </w:tc>
        <w:tc>
          <w:tcPr>
            <w:tcW w:type="dxa" w:w="907"/>
            <w:shd w:val="clear" w:color="auto" w:fill="F3F6FA"/>
          </w:tcPr>
          <w:p>
            <w:pPr>
              <w:spacing w:after="40" w:line="264" w:lineRule="auto"/>
            </w:pPr>
            <w:r/>
            <w:r>
              <w:rPr>
                <w:sz w:val="15"/>
              </w:rPr>
              <w:t>운영 후보</w:t>
            </w:r>
          </w:p>
        </w:tc>
        <w:tc>
          <w:tcPr>
            <w:tcW w:type="dxa" w:w="850"/>
            <w:shd w:val="clear" w:color="auto" w:fill="F3F6FA"/>
          </w:tcPr>
          <w:p>
            <w:pPr>
              <w:spacing w:after="40" w:line="264" w:lineRule="auto"/>
            </w:pPr>
            <w:r/>
            <w:r>
              <w:rPr>
                <w:sz w:val="15"/>
              </w:rPr>
              <w:t>E1→E1</w:t>
            </w:r>
          </w:p>
        </w:tc>
        <w:tc>
          <w:tcPr>
            <w:tcW w:type="dxa" w:w="964"/>
            <w:shd w:val="clear" w:color="auto" w:fill="F3F6FA"/>
          </w:tcPr>
          <w:p>
            <w:pPr>
              <w:spacing w:after="40" w:line="264" w:lineRule="auto"/>
            </w:pPr>
            <w:r/>
            <w:r>
              <w:rPr>
                <w:sz w:val="15"/>
              </w:rPr>
              <w:t>A16 p.15</w:t>
            </w:r>
          </w:p>
        </w:tc>
        <w:tc>
          <w:tcPr>
            <w:tcW w:type="dxa" w:w="3912"/>
            <w:shd w:val="clear" w:color="auto" w:fill="F3F6FA"/>
          </w:tcPr>
          <w:p>
            <w:pPr>
              <w:spacing w:after="40" w:line="264" w:lineRule="auto"/>
            </w:pPr>
            <w:r/>
            <w:r>
              <w:rPr>
                <w:sz w:val="15"/>
              </w:rPr>
              <w:t>BC 계획·절차는 식별된 BC 전략·솔루션에서 도출(derived)되어 개발된다.</w:t>
              <w:br/>
              <w:t>[정규화] "derived from"을 elaboratedInto(S의 내용이 T로 구체화됨)로 해석.</w:t>
              <w:br/>
              <w:t>[주의] 원문의 관계 의미를 산출물과 사용 목적까지 구체화한 뒤 전문가에게 적절성을 평가받는다.</w:t>
            </w:r>
          </w:p>
        </w:tc>
      </w:tr>
      <w:tr>
        <w:tc>
          <w:tcPr>
            <w:tcW w:type="dxa" w:w="567"/>
          </w:tcPr>
          <w:p>
            <w:pPr>
              <w:spacing w:after="40" w:line="264" w:lineRule="auto"/>
            </w:pPr>
            <w:r/>
            <w:r>
              <w:rPr>
                <w:sz w:val="15"/>
              </w:rPr>
              <w:t>L09</w:t>
            </w:r>
          </w:p>
        </w:tc>
        <w:tc>
          <w:tcPr>
            <w:tcW w:type="dxa" w:w="1077"/>
          </w:tcPr>
          <w:p>
            <w:pPr>
              <w:spacing w:after="40" w:line="264" w:lineRule="auto"/>
            </w:pPr>
            <w:r/>
            <w:r>
              <w:rPr>
                <w:sz w:val="15"/>
              </w:rPr>
              <w:t>RA→PLAN</w:t>
            </w:r>
          </w:p>
        </w:tc>
        <w:tc>
          <w:tcPr>
            <w:tcW w:type="dxa" w:w="1134"/>
          </w:tcPr>
          <w:p>
            <w:pPr>
              <w:spacing w:after="40" w:line="264" w:lineRule="auto"/>
            </w:pPr>
            <w:r/>
            <w:r>
              <w:rPr>
                <w:sz w:val="15"/>
              </w:rPr>
              <w:t>입력된다·활용된다</w:t>
            </w:r>
          </w:p>
        </w:tc>
        <w:tc>
          <w:tcPr>
            <w:tcW w:type="dxa" w:w="907"/>
          </w:tcPr>
          <w:p>
            <w:pPr>
              <w:spacing w:after="40" w:line="264" w:lineRule="auto"/>
            </w:pPr>
            <w:r/>
            <w:r>
              <w:rPr>
                <w:sz w:val="15"/>
              </w:rPr>
              <w:t>운영 후보</w:t>
            </w:r>
          </w:p>
        </w:tc>
        <w:tc>
          <w:tcPr>
            <w:tcW w:type="dxa" w:w="850"/>
          </w:tcPr>
          <w:p>
            <w:pPr>
              <w:spacing w:after="40" w:line="264" w:lineRule="auto"/>
            </w:pPr>
            <w:r/>
            <w:r>
              <w:rPr>
                <w:sz w:val="15"/>
              </w:rPr>
              <w:t>E1→E1</w:t>
            </w:r>
          </w:p>
        </w:tc>
        <w:tc>
          <w:tcPr>
            <w:tcW w:type="dxa" w:w="964"/>
          </w:tcPr>
          <w:p>
            <w:pPr>
              <w:spacing w:after="40" w:line="264" w:lineRule="auto"/>
            </w:pPr>
            <w:r/>
            <w:r>
              <w:rPr>
                <w:sz w:val="15"/>
              </w:rPr>
              <w:t>A17 p.15</w:t>
            </w:r>
          </w:p>
        </w:tc>
        <w:tc>
          <w:tcPr>
            <w:tcW w:type="dxa" w:w="3912"/>
          </w:tcPr>
          <w:p>
            <w:pPr>
              <w:spacing w:after="40" w:line="264" w:lineRule="auto"/>
            </w:pPr>
            <w:r/>
            <w:r>
              <w:rPr>
                <w:sz w:val="15"/>
              </w:rPr>
              <w:t>리스크평가는 업무연속성 계획·절차 개발에 필수적인 입력(essential input)을 제공한다.</w:t>
              <w:br/>
              <w:t>[정규화] A17의 주어 "it"이 리스크평가 프로세스임은 앞 문장의 주어에서 연구자가 확인한 지시 관계.</w:t>
              <w:br/>
              <w:t>[주의] 원문의 관계 의미를 산출물과 사용 목적까지 구체화한 뒤 전문가에게 적절성을 평가받는다.</w:t>
            </w:r>
          </w:p>
        </w:tc>
      </w:tr>
      <w:tr>
        <w:tc>
          <w:tcPr>
            <w:tcW w:type="dxa" w:w="567"/>
            <w:shd w:val="clear" w:color="auto" w:fill="F3F6FA"/>
          </w:tcPr>
          <w:p>
            <w:pPr>
              <w:spacing w:after="40" w:line="264" w:lineRule="auto"/>
            </w:pPr>
            <w:r/>
            <w:r>
              <w:rPr>
                <w:sz w:val="15"/>
              </w:rPr>
              <w:t>L10</w:t>
            </w:r>
          </w:p>
        </w:tc>
        <w:tc>
          <w:tcPr>
            <w:tcW w:type="dxa" w:w="1077"/>
            <w:shd w:val="clear" w:color="auto" w:fill="F3F6FA"/>
          </w:tcPr>
          <w:p>
            <w:pPr>
              <w:spacing w:after="40" w:line="264" w:lineRule="auto"/>
            </w:pPr>
            <w:r/>
            <w:r>
              <w:rPr>
                <w:sz w:val="15"/>
              </w:rPr>
              <w:t>RES→IMP</w:t>
            </w:r>
          </w:p>
        </w:tc>
        <w:tc>
          <w:tcPr>
            <w:tcW w:type="dxa" w:w="1134"/>
            <w:shd w:val="clear" w:color="auto" w:fill="F3F6FA"/>
          </w:tcPr>
          <w:p>
            <w:pPr>
              <w:spacing w:after="40" w:line="264" w:lineRule="auto"/>
            </w:pPr>
            <w:r/>
            <w:r>
              <w:rPr>
                <w:sz w:val="15"/>
              </w:rPr>
              <w:t>제공한다</w:t>
            </w:r>
          </w:p>
        </w:tc>
        <w:tc>
          <w:tcPr>
            <w:tcW w:type="dxa" w:w="907"/>
            <w:shd w:val="clear" w:color="auto" w:fill="F3F6FA"/>
          </w:tcPr>
          <w:p>
            <w:pPr>
              <w:spacing w:after="40" w:line="264" w:lineRule="auto"/>
            </w:pPr>
            <w:r/>
            <w:r>
              <w:rPr>
                <w:sz w:val="15"/>
              </w:rPr>
              <w:t>운영 후보</w:t>
            </w:r>
          </w:p>
        </w:tc>
        <w:tc>
          <w:tcPr>
            <w:tcW w:type="dxa" w:w="850"/>
            <w:shd w:val="clear" w:color="auto" w:fill="F3F6FA"/>
          </w:tcPr>
          <w:p>
            <w:pPr>
              <w:spacing w:after="40" w:line="264" w:lineRule="auto"/>
            </w:pPr>
            <w:r/>
            <w:r>
              <w:rPr>
                <w:sz w:val="15"/>
              </w:rPr>
              <w:t>E2→E2</w:t>
            </w:r>
          </w:p>
        </w:tc>
        <w:tc>
          <w:tcPr>
            <w:tcW w:type="dxa" w:w="964"/>
            <w:shd w:val="clear" w:color="auto" w:fill="F3F6FA"/>
          </w:tcPr>
          <w:p>
            <w:pPr>
              <w:spacing w:after="40" w:line="264" w:lineRule="auto"/>
            </w:pPr>
            <w:r/>
            <w:r>
              <w:rPr>
                <w:sz w:val="15"/>
              </w:rPr>
              <w:t>A18 p.16</w:t>
            </w:r>
          </w:p>
        </w:tc>
        <w:tc>
          <w:tcPr>
            <w:tcW w:type="dxa" w:w="3912"/>
            <w:shd w:val="clear" w:color="auto" w:fill="F3F6FA"/>
          </w:tcPr>
          <w:p>
            <w:pPr>
              <w:spacing w:after="40" w:line="264" w:lineRule="auto"/>
            </w:pPr>
            <w:r/>
            <w:r>
              <w:rPr>
                <w:sz w:val="15"/>
              </w:rPr>
              <w:t>자원관리의 산출물에는 선정된 전략의 이행·운영을 위한 문서화된 자원이 포함된다. 전략 실행에 필요한 자원은 자원관리에서 식별·배정·모니터링된다.</w:t>
              <w:br/>
              <w:t>[정규화] [연구자 보완] 인용문은 "selected strategies의 implementing and running"을 위한 자원이라고만 쓰며 도착 프로세스를 특정하지 않는다. 이를 솔루션 이행관리(IMP)로 특정한 것은 연구자 해석(운영(running)은 IMP 외 프로세스일 수도 있음).</w:t>
              <w:br/>
              <w:t>[주의] 원문은 선택된 전략의 구현 자원을 말한다. 도착을 IMP 프로세스로 특정하는 것은 연구자 해석이다.</w:t>
            </w:r>
          </w:p>
        </w:tc>
      </w:tr>
      <w:tr>
        <w:tc>
          <w:tcPr>
            <w:tcW w:type="dxa" w:w="567"/>
          </w:tcPr>
          <w:p>
            <w:pPr>
              <w:spacing w:after="40" w:line="264" w:lineRule="auto"/>
            </w:pPr>
            <w:r/>
            <w:r>
              <w:rPr>
                <w:sz w:val="15"/>
              </w:rPr>
              <w:t>L11</w:t>
            </w:r>
          </w:p>
        </w:tc>
        <w:tc>
          <w:tcPr>
            <w:tcW w:type="dxa" w:w="1077"/>
          </w:tcPr>
          <w:p>
            <w:pPr>
              <w:spacing w:after="40" w:line="264" w:lineRule="auto"/>
            </w:pPr>
            <w:r/>
            <w:r>
              <w:rPr>
                <w:sz w:val="15"/>
              </w:rPr>
              <w:t>BIA→RES</w:t>
            </w:r>
          </w:p>
        </w:tc>
        <w:tc>
          <w:tcPr>
            <w:tcW w:type="dxa" w:w="1134"/>
          </w:tcPr>
          <w:p>
            <w:pPr>
              <w:spacing w:after="40" w:line="264" w:lineRule="auto"/>
            </w:pPr>
            <w:r/>
            <w:r>
              <w:rPr>
                <w:sz w:val="15"/>
              </w:rPr>
              <w:t>입력된다·활용된다</w:t>
            </w:r>
          </w:p>
        </w:tc>
        <w:tc>
          <w:tcPr>
            <w:tcW w:type="dxa" w:w="907"/>
          </w:tcPr>
          <w:p>
            <w:pPr>
              <w:spacing w:after="40" w:line="264" w:lineRule="auto"/>
            </w:pPr>
            <w:r/>
            <w:r>
              <w:rPr>
                <w:sz w:val="15"/>
              </w:rPr>
              <w:t>근거 보류</w:t>
            </w:r>
          </w:p>
        </w:tc>
        <w:tc>
          <w:tcPr>
            <w:tcW w:type="dxa" w:w="850"/>
          </w:tcPr>
          <w:p>
            <w:pPr>
              <w:spacing w:after="40" w:line="264" w:lineRule="auto"/>
            </w:pPr>
            <w:r/>
            <w:r>
              <w:rPr>
                <w:sz w:val="15"/>
              </w:rPr>
              <w:t>E3→E3</w:t>
            </w:r>
          </w:p>
        </w:tc>
        <w:tc>
          <w:tcPr>
            <w:tcW w:type="dxa" w:w="964"/>
          </w:tcPr>
          <w:p>
            <w:pPr>
              <w:spacing w:after="40" w:line="264" w:lineRule="auto"/>
            </w:pPr>
            <w:r/>
            <w:r>
              <w:rPr>
                <w:sz w:val="15"/>
              </w:rPr>
              <w:t>—</w:t>
            </w:r>
          </w:p>
        </w:tc>
        <w:tc>
          <w:tcPr>
            <w:tcW w:type="dxa" w:w="3912"/>
          </w:tcPr>
          <w:p>
            <w:pPr>
              <w:spacing w:after="40" w:line="264" w:lineRule="auto"/>
            </w:pPr>
            <w:r/>
            <w:r>
              <w:rPr>
                <w:sz w:val="15"/>
              </w:rPr>
              <w:t>Białas는 BIA 보고서를 "서비스 재개에 필요한 자원"으로 질의하는 예를 보여 준다. Arias는 자원관리가 전략·BCMS 프로세스 실행에 필요한 자원을 식별한다고만 서술한다.</w:t>
              <w:br/>
              <w:t>[정규화] [연구자 가정] BIA가 파악한 복구 필요 자원이 자원관리 계획에 투입된다는 연결은 Arias에 서술이 없다. Białas의 예는 프로세스 간 연결이 아니라 BIA 보고서 내부 속성(자원 항목)을 질의하는 수준이므로 유추 근거에 그친다.</w:t>
              <w:br/>
              <w:t>[주의] Białas의 BIA 보고서와 자원 정보 질의는 BIA→RES라는 프로세스 흐름의 직접 근거가 아니다.</w:t>
            </w:r>
          </w:p>
        </w:tc>
      </w:tr>
      <w:tr>
        <w:tc>
          <w:tcPr>
            <w:tcW w:type="dxa" w:w="567"/>
            <w:shd w:val="clear" w:color="auto" w:fill="F3F6FA"/>
          </w:tcPr>
          <w:p>
            <w:pPr>
              <w:spacing w:after="40" w:line="264" w:lineRule="auto"/>
            </w:pPr>
            <w:r/>
            <w:r>
              <w:rPr>
                <w:sz w:val="15"/>
              </w:rPr>
              <w:t>L12</w:t>
            </w:r>
          </w:p>
        </w:tc>
        <w:tc>
          <w:tcPr>
            <w:tcW w:type="dxa" w:w="1077"/>
            <w:shd w:val="clear" w:color="auto" w:fill="F3F6FA"/>
          </w:tcPr>
          <w:p>
            <w:pPr>
              <w:spacing w:after="40" w:line="264" w:lineRule="auto"/>
            </w:pPr>
            <w:r/>
            <w:r>
              <w:rPr>
                <w:sz w:val="15"/>
              </w:rPr>
              <w:t>PLAN→INC</w:t>
            </w:r>
          </w:p>
        </w:tc>
        <w:tc>
          <w:tcPr>
            <w:tcW w:type="dxa" w:w="1134"/>
            <w:shd w:val="clear" w:color="auto" w:fill="F3F6FA"/>
          </w:tcPr>
          <w:p>
            <w:pPr>
              <w:spacing w:after="40" w:line="264" w:lineRule="auto"/>
            </w:pPr>
            <w:r/>
            <w:r>
              <w:rPr>
                <w:sz w:val="15"/>
              </w:rPr>
              <w:t>도출·이행된다</w:t>
            </w:r>
          </w:p>
        </w:tc>
        <w:tc>
          <w:tcPr>
            <w:tcW w:type="dxa" w:w="907"/>
            <w:shd w:val="clear" w:color="auto" w:fill="F3F6FA"/>
          </w:tcPr>
          <w:p>
            <w:pPr>
              <w:spacing w:after="40" w:line="264" w:lineRule="auto"/>
            </w:pPr>
            <w:r/>
            <w:r>
              <w:rPr>
                <w:sz w:val="15"/>
              </w:rPr>
              <w:t>운영 후보</w:t>
            </w:r>
          </w:p>
        </w:tc>
        <w:tc>
          <w:tcPr>
            <w:tcW w:type="dxa" w:w="850"/>
            <w:shd w:val="clear" w:color="auto" w:fill="F3F6FA"/>
          </w:tcPr>
          <w:p>
            <w:pPr>
              <w:spacing w:after="40" w:line="264" w:lineRule="auto"/>
            </w:pPr>
            <w:r/>
            <w:r>
              <w:rPr>
                <w:sz w:val="15"/>
              </w:rPr>
              <w:t>E2→E2</w:t>
            </w:r>
          </w:p>
        </w:tc>
        <w:tc>
          <w:tcPr>
            <w:tcW w:type="dxa" w:w="964"/>
            <w:shd w:val="clear" w:color="auto" w:fill="F3F6FA"/>
          </w:tcPr>
          <w:p>
            <w:pPr>
              <w:spacing w:after="40" w:line="264" w:lineRule="auto"/>
            </w:pPr>
            <w:r/>
            <w:r>
              <w:rPr>
                <w:sz w:val="15"/>
              </w:rPr>
              <w:t>A19 p.15</w:t>
            </w:r>
          </w:p>
        </w:tc>
        <w:tc>
          <w:tcPr>
            <w:tcW w:type="dxa" w:w="3912"/>
            <w:shd w:val="clear" w:color="auto" w:fill="F3F6FA"/>
          </w:tcPr>
          <w:p>
            <w:pPr>
              <w:spacing w:after="40" w:line="264" w:lineRule="auto"/>
            </w:pPr>
            <w:r/>
            <w:r>
              <w:rPr>
                <w:sz w:val="15"/>
              </w:rPr>
              <w:t>BC 전략·솔루션의 가동은 중단 사건에 대응하여 BC 계획·절차의 실행을 통해 개시된다. 경보·커뮤니케이션은 조직의 BC 계획·절차 안에서 대응을 조정한다.</w:t>
              <w:br/>
              <w:t>[정규화] [연구자 보완] 인용문은 "BC 계획·절차가 중단 사건 대응 시 실행된다"고 쓰지만 도착 프로세스를 "사고·비상 대응"으로 명시하지 않는다. 사고·비상 대응이 "중단 사건 관리의 포괄적 접근"을 정의한다는 같은 쪽 서술과 결합해 PLAN→INC로 해석.</w:t>
              <w:br/>
              <w:t>[주의] 원문은 계획의 실행과 대응을 설명한다. 도착 프로세스와 사용 산출물의 특정은 연구자 해석이다.</w:t>
            </w:r>
          </w:p>
        </w:tc>
      </w:tr>
      <w:tr>
        <w:tc>
          <w:tcPr>
            <w:tcW w:type="dxa" w:w="567"/>
          </w:tcPr>
          <w:p>
            <w:pPr>
              <w:spacing w:after="40" w:line="264" w:lineRule="auto"/>
            </w:pPr>
            <w:r/>
            <w:r>
              <w:rPr>
                <w:sz w:val="15"/>
              </w:rPr>
              <w:t>L13</w:t>
            </w:r>
          </w:p>
        </w:tc>
        <w:tc>
          <w:tcPr>
            <w:tcW w:type="dxa" w:w="1077"/>
          </w:tcPr>
          <w:p>
            <w:pPr>
              <w:spacing w:after="40" w:line="264" w:lineRule="auto"/>
            </w:pPr>
            <w:r/>
            <w:r>
              <w:rPr>
                <w:sz w:val="15"/>
              </w:rPr>
              <w:t>INC→WARN</w:t>
            </w:r>
          </w:p>
        </w:tc>
        <w:tc>
          <w:tcPr>
            <w:tcW w:type="dxa" w:w="1134"/>
          </w:tcPr>
          <w:p>
            <w:pPr>
              <w:spacing w:after="40" w:line="264" w:lineRule="auto"/>
            </w:pPr>
            <w:r/>
            <w:r>
              <w:rPr>
                <w:sz w:val="15"/>
              </w:rPr>
              <w:t>포함한다</w:t>
            </w:r>
          </w:p>
        </w:tc>
        <w:tc>
          <w:tcPr>
            <w:tcW w:type="dxa" w:w="907"/>
          </w:tcPr>
          <w:p>
            <w:pPr>
              <w:spacing w:after="40" w:line="264" w:lineRule="auto"/>
            </w:pPr>
            <w:r/>
            <w:r>
              <w:rPr>
                <w:sz w:val="15"/>
              </w:rPr>
              <w:t>위계 표시</w:t>
            </w:r>
          </w:p>
        </w:tc>
        <w:tc>
          <w:tcPr>
            <w:tcW w:type="dxa" w:w="850"/>
          </w:tcPr>
          <w:p>
            <w:pPr>
              <w:spacing w:after="40" w:line="264" w:lineRule="auto"/>
            </w:pPr>
            <w:r/>
            <w:r>
              <w:rPr>
                <w:sz w:val="15"/>
              </w:rPr>
              <w:t>E1→E1</w:t>
            </w:r>
          </w:p>
        </w:tc>
        <w:tc>
          <w:tcPr>
            <w:tcW w:type="dxa" w:w="964"/>
          </w:tcPr>
          <w:p>
            <w:pPr>
              <w:spacing w:after="40" w:line="264" w:lineRule="auto"/>
            </w:pPr>
            <w:r/>
            <w:r>
              <w:rPr>
                <w:sz w:val="15"/>
              </w:rPr>
              <w:t>A21 p.15</w:t>
            </w:r>
          </w:p>
        </w:tc>
        <w:tc>
          <w:tcPr>
            <w:tcW w:type="dxa" w:w="3912"/>
          </w:tcPr>
          <w:p>
            <w:pPr>
              <w:spacing w:after="40" w:line="264" w:lineRule="auto"/>
            </w:pPr>
            <w:r/>
            <w:r>
              <w:rPr>
                <w:sz w:val="15"/>
              </w:rPr>
              <w:t>사고·비상 대응 프로세스는 두 개의 주요 하위 프로세스(경보·커뮤니케이션, 복구)를 포함한다. 경보·커뮤니케이션은 BC 계획·절차 안에서 대응을 조정한다.</w:t>
              <w:br/>
              <w:t>[정규화] [연구자 판단] "subprocess"는 정보 흐름이 아니라 포함 관계(contains)이다. 연계성 측정에서는 "하위 프로세스가 상위 대응 절차 안에 통합되어 실제 운영되는가"를 지표화했다. Arias는 Table 5에서 경보·커뮤니케이션을 별도 프로세스로도 목록화(p.14)하므로 포함 관계를 연결로 측정할지는 연구자 결정 사항.</w:t>
              <w:br/>
              <w:t>[주의] contains는 하위 프로세스 포함 관계이다. 산출물 전달 관계의 품질 문항으로 사용하지 않는다.</w:t>
            </w:r>
          </w:p>
        </w:tc>
      </w:tr>
      <w:tr>
        <w:tc>
          <w:tcPr>
            <w:tcW w:type="dxa" w:w="567"/>
            <w:shd w:val="clear" w:color="auto" w:fill="F3F6FA"/>
          </w:tcPr>
          <w:p>
            <w:pPr>
              <w:spacing w:after="40" w:line="264" w:lineRule="auto"/>
            </w:pPr>
            <w:r/>
            <w:r>
              <w:rPr>
                <w:sz w:val="15"/>
              </w:rPr>
              <w:t>L14</w:t>
            </w:r>
          </w:p>
        </w:tc>
        <w:tc>
          <w:tcPr>
            <w:tcW w:type="dxa" w:w="1077"/>
            <w:shd w:val="clear" w:color="auto" w:fill="F3F6FA"/>
          </w:tcPr>
          <w:p>
            <w:pPr>
              <w:spacing w:after="40" w:line="264" w:lineRule="auto"/>
            </w:pPr>
            <w:r/>
            <w:r>
              <w:rPr>
                <w:sz w:val="15"/>
              </w:rPr>
              <w:t>INC→REC</w:t>
            </w:r>
          </w:p>
        </w:tc>
        <w:tc>
          <w:tcPr>
            <w:tcW w:type="dxa" w:w="1134"/>
            <w:shd w:val="clear" w:color="auto" w:fill="F3F6FA"/>
          </w:tcPr>
          <w:p>
            <w:pPr>
              <w:spacing w:after="40" w:line="264" w:lineRule="auto"/>
            </w:pPr>
            <w:r/>
            <w:r>
              <w:rPr>
                <w:sz w:val="15"/>
              </w:rPr>
              <w:t>포함한다</w:t>
            </w:r>
          </w:p>
        </w:tc>
        <w:tc>
          <w:tcPr>
            <w:tcW w:type="dxa" w:w="907"/>
            <w:shd w:val="clear" w:color="auto" w:fill="F3F6FA"/>
          </w:tcPr>
          <w:p>
            <w:pPr>
              <w:spacing w:after="40" w:line="264" w:lineRule="auto"/>
            </w:pPr>
            <w:r/>
            <w:r>
              <w:rPr>
                <w:sz w:val="15"/>
              </w:rPr>
              <w:t>위계 표시</w:t>
            </w:r>
          </w:p>
        </w:tc>
        <w:tc>
          <w:tcPr>
            <w:tcW w:type="dxa" w:w="850"/>
            <w:shd w:val="clear" w:color="auto" w:fill="F3F6FA"/>
          </w:tcPr>
          <w:p>
            <w:pPr>
              <w:spacing w:after="40" w:line="264" w:lineRule="auto"/>
            </w:pPr>
            <w:r/>
            <w:r>
              <w:rPr>
                <w:sz w:val="15"/>
              </w:rPr>
              <w:t>E1→E1</w:t>
            </w:r>
          </w:p>
        </w:tc>
        <w:tc>
          <w:tcPr>
            <w:tcW w:type="dxa" w:w="964"/>
            <w:shd w:val="clear" w:color="auto" w:fill="F3F6FA"/>
          </w:tcPr>
          <w:p>
            <w:pPr>
              <w:spacing w:after="40" w:line="264" w:lineRule="auto"/>
            </w:pPr>
            <w:r/>
            <w:r>
              <w:rPr>
                <w:sz w:val="15"/>
              </w:rPr>
              <w:t>A21 p.15</w:t>
            </w:r>
          </w:p>
        </w:tc>
        <w:tc>
          <w:tcPr>
            <w:tcW w:type="dxa" w:w="3912"/>
            <w:shd w:val="clear" w:color="auto" w:fill="F3F6FA"/>
          </w:tcPr>
          <w:p>
            <w:pPr>
              <w:spacing w:after="40" w:line="264" w:lineRule="auto"/>
            </w:pPr>
            <w:r/>
            <w:r>
              <w:rPr>
                <w:sz w:val="15"/>
              </w:rPr>
              <w:t>사고·비상 대응 프로세스는 복구 프로세스를 하위 프로세스로 포함한다. 복구는 임시 조치 상태에서 일상 업무를 회복·재개하는 것이다.</w:t>
              <w:br/>
              <w:t>[정규화] [연구자 판단] L13과 같은 이유로 포함 관계를 지표화. "대응 결과를 복구가 이어받는다"는 문항의 표현은 연구자의 지표화이며 인용문이 직접 말하는 내용이 아니다.</w:t>
              <w:br/>
              <w:t>[주의] 원문은 복구를 포함한다고 말한다. INC에서 REC로의 시간적 전환을 직접 입증하지 않는다.</w:t>
            </w:r>
          </w:p>
        </w:tc>
      </w:tr>
      <w:tr>
        <w:tc>
          <w:tcPr>
            <w:tcW w:type="dxa" w:w="567"/>
          </w:tcPr>
          <w:p>
            <w:pPr>
              <w:spacing w:after="40" w:line="264" w:lineRule="auto"/>
            </w:pPr>
            <w:r/>
            <w:r>
              <w:rPr>
                <w:sz w:val="15"/>
              </w:rPr>
              <w:t>L15</w:t>
            </w:r>
          </w:p>
        </w:tc>
        <w:tc>
          <w:tcPr>
            <w:tcW w:type="dxa" w:w="1077"/>
          </w:tcPr>
          <w:p>
            <w:pPr>
              <w:spacing w:after="40" w:line="264" w:lineRule="auto"/>
            </w:pPr>
            <w:r/>
            <w:r>
              <w:rPr>
                <w:sz w:val="15"/>
              </w:rPr>
              <w:t>PLAN→EXE</w:t>
            </w:r>
          </w:p>
        </w:tc>
        <w:tc>
          <w:tcPr>
            <w:tcW w:type="dxa" w:w="1134"/>
          </w:tcPr>
          <w:p>
            <w:pPr>
              <w:spacing w:after="40" w:line="264" w:lineRule="auto"/>
            </w:pPr>
            <w:r/>
            <w:r>
              <w:rPr>
                <w:sz w:val="15"/>
              </w:rPr>
              <w:t>시험·검증된다</w:t>
            </w:r>
          </w:p>
        </w:tc>
        <w:tc>
          <w:tcPr>
            <w:tcW w:type="dxa" w:w="907"/>
          </w:tcPr>
          <w:p>
            <w:pPr>
              <w:spacing w:after="40" w:line="264" w:lineRule="auto"/>
            </w:pPr>
            <w:r/>
            <w:r>
              <w:rPr>
                <w:sz w:val="15"/>
              </w:rPr>
              <w:t>운영 후보</w:t>
            </w:r>
          </w:p>
        </w:tc>
        <w:tc>
          <w:tcPr>
            <w:tcW w:type="dxa" w:w="850"/>
          </w:tcPr>
          <w:p>
            <w:pPr>
              <w:spacing w:after="40" w:line="264" w:lineRule="auto"/>
            </w:pPr>
            <w:r/>
            <w:r>
              <w:rPr>
                <w:sz w:val="15"/>
              </w:rPr>
              <w:t>E1→E1</w:t>
            </w:r>
          </w:p>
        </w:tc>
        <w:tc>
          <w:tcPr>
            <w:tcW w:type="dxa" w:w="964"/>
          </w:tcPr>
          <w:p>
            <w:pPr>
              <w:spacing w:after="40" w:line="264" w:lineRule="auto"/>
            </w:pPr>
            <w:r/>
            <w:r>
              <w:rPr>
                <w:sz w:val="15"/>
              </w:rPr>
              <w:t>A23 p.15</w:t>
            </w:r>
          </w:p>
        </w:tc>
        <w:tc>
          <w:tcPr>
            <w:tcW w:type="dxa" w:w="3912"/>
          </w:tcPr>
          <w:p>
            <w:pPr>
              <w:spacing w:after="40" w:line="264" w:lineRule="auto"/>
            </w:pPr>
            <w:r/>
            <w:r>
              <w:rPr>
                <w:sz w:val="15"/>
              </w:rPr>
              <w:t>BC 전략·솔루션과 BC 계획·절차(경보·커뮤니케이션 절차 포함)는 정기적으로 시험되어 유효성이 검증된다.</w:t>
              <w:br/>
              <w:t>[정규화] "tested regularly to validate their effectiveness"를 testedBy(S가 T에 의해 시험됨)로 해석. 훈련·연습 시나리오 설계 방식은 연구자의 지표화.</w:t>
              <w:br/>
              <w:t>[주의] 원문의 관계 의미를 산출물과 사용 목적까지 구체화한 뒤 전문가에게 적절성을 평가받는다.</w:t>
            </w:r>
          </w:p>
        </w:tc>
      </w:tr>
      <w:tr>
        <w:tc>
          <w:tcPr>
            <w:tcW w:type="dxa" w:w="567"/>
            <w:shd w:val="clear" w:color="auto" w:fill="F3F6FA"/>
          </w:tcPr>
          <w:p>
            <w:pPr>
              <w:spacing w:after="40" w:line="264" w:lineRule="auto"/>
            </w:pPr>
            <w:r/>
            <w:r>
              <w:rPr>
                <w:sz w:val="15"/>
              </w:rPr>
              <w:t>L16</w:t>
            </w:r>
          </w:p>
        </w:tc>
        <w:tc>
          <w:tcPr>
            <w:tcW w:type="dxa" w:w="1077"/>
            <w:shd w:val="clear" w:color="auto" w:fill="F3F6FA"/>
          </w:tcPr>
          <w:p>
            <w:pPr>
              <w:spacing w:after="40" w:line="264" w:lineRule="auto"/>
            </w:pPr>
            <w:r/>
            <w:r>
              <w:rPr>
                <w:sz w:val="15"/>
              </w:rPr>
              <w:t>EXE→PLAN</w:t>
            </w:r>
          </w:p>
        </w:tc>
        <w:tc>
          <w:tcPr>
            <w:tcW w:type="dxa" w:w="1134"/>
            <w:shd w:val="clear" w:color="auto" w:fill="F3F6FA"/>
          </w:tcPr>
          <w:p>
            <w:pPr>
              <w:spacing w:after="40" w:line="264" w:lineRule="auto"/>
            </w:pPr>
            <w:r/>
            <w:r>
              <w:rPr>
                <w:sz w:val="15"/>
              </w:rPr>
              <w:t>개정·갱신한다</w:t>
            </w:r>
          </w:p>
        </w:tc>
        <w:tc>
          <w:tcPr>
            <w:tcW w:type="dxa" w:w="907"/>
            <w:shd w:val="clear" w:color="auto" w:fill="F3F6FA"/>
          </w:tcPr>
          <w:p>
            <w:pPr>
              <w:spacing w:after="40" w:line="264" w:lineRule="auto"/>
            </w:pPr>
            <w:r/>
            <w:r>
              <w:rPr>
                <w:sz w:val="15"/>
              </w:rPr>
              <w:t>운영 후보</w:t>
            </w:r>
          </w:p>
        </w:tc>
        <w:tc>
          <w:tcPr>
            <w:tcW w:type="dxa" w:w="850"/>
            <w:shd w:val="clear" w:color="auto" w:fill="F3F6FA"/>
          </w:tcPr>
          <w:p>
            <w:pPr>
              <w:spacing w:after="40" w:line="264" w:lineRule="auto"/>
            </w:pPr>
            <w:r/>
            <w:r>
              <w:rPr>
                <w:sz w:val="15"/>
              </w:rPr>
              <w:t>E1→E2</w:t>
            </w:r>
          </w:p>
        </w:tc>
        <w:tc>
          <w:tcPr>
            <w:tcW w:type="dxa" w:w="964"/>
            <w:shd w:val="clear" w:color="auto" w:fill="F3F6FA"/>
          </w:tcPr>
          <w:p>
            <w:pPr>
              <w:spacing w:after="40" w:line="264" w:lineRule="auto"/>
            </w:pPr>
            <w:r/>
            <w:r>
              <w:rPr>
                <w:sz w:val="15"/>
              </w:rPr>
              <w:t>A23 p.15</w:t>
            </w:r>
          </w:p>
        </w:tc>
        <w:tc>
          <w:tcPr>
            <w:tcW w:type="dxa" w:w="3912"/>
            <w:shd w:val="clear" w:color="auto" w:fill="F3F6FA"/>
          </w:tcPr>
          <w:p>
            <w:pPr>
              <w:spacing w:after="40" w:line="264" w:lineRule="auto"/>
            </w:pPr>
            <w:r/>
            <w:r>
              <w:rPr>
                <w:sz w:val="15"/>
              </w:rPr>
              <w:t>연습은 필요한 조정·개선(adjustments or enhancements)을 촉구(prompt)한다.</w:t>
              <w:br/>
              <w:t>[정규화] 조정 대상은 인용문상 "전략·솔루션·계획·절차" 모두이나 본 연결은 BC 계획·절차로 한정(연구자 한정). 방향 해석(EXE의 결과가 PLAN을 개정)은 연구자 해석.</w:t>
              <w:br/>
              <w:t>[주의] adjustments/enhancements의 대상·방향을 EXE→PLAN으로 정규화했다. 관련 STR·WARN 시험도 원문에 있다.</w:t>
            </w:r>
          </w:p>
        </w:tc>
      </w:tr>
      <w:tr>
        <w:tc>
          <w:tcPr>
            <w:tcW w:type="dxa" w:w="567"/>
          </w:tcPr>
          <w:p>
            <w:pPr>
              <w:spacing w:after="40" w:line="264" w:lineRule="auto"/>
            </w:pPr>
            <w:r/>
            <w:r>
              <w:rPr>
                <w:sz w:val="15"/>
              </w:rPr>
              <w:t>L17</w:t>
            </w:r>
          </w:p>
        </w:tc>
        <w:tc>
          <w:tcPr>
            <w:tcW w:type="dxa" w:w="1077"/>
          </w:tcPr>
          <w:p>
            <w:pPr>
              <w:spacing w:after="40" w:line="264" w:lineRule="auto"/>
            </w:pPr>
            <w:r/>
            <w:r>
              <w:rPr>
                <w:sz w:val="15"/>
              </w:rPr>
              <w:t>PLAN→AWR</w:t>
            </w:r>
          </w:p>
        </w:tc>
        <w:tc>
          <w:tcPr>
            <w:tcW w:type="dxa" w:w="1134"/>
          </w:tcPr>
          <w:p>
            <w:pPr>
              <w:spacing w:after="40" w:line="264" w:lineRule="auto"/>
            </w:pPr>
            <w:r/>
            <w:r>
              <w:rPr>
                <w:sz w:val="15"/>
              </w:rPr>
              <w:t>입력된다·활용된다</w:t>
            </w:r>
          </w:p>
        </w:tc>
        <w:tc>
          <w:tcPr>
            <w:tcW w:type="dxa" w:w="907"/>
          </w:tcPr>
          <w:p>
            <w:pPr>
              <w:spacing w:after="40" w:line="264" w:lineRule="auto"/>
            </w:pPr>
            <w:r/>
            <w:r>
              <w:rPr>
                <w:sz w:val="15"/>
              </w:rPr>
              <w:t>근거 보류</w:t>
            </w:r>
          </w:p>
        </w:tc>
        <w:tc>
          <w:tcPr>
            <w:tcW w:type="dxa" w:w="850"/>
          </w:tcPr>
          <w:p>
            <w:pPr>
              <w:spacing w:after="40" w:line="264" w:lineRule="auto"/>
            </w:pPr>
            <w:r/>
            <w:r>
              <w:rPr>
                <w:sz w:val="15"/>
              </w:rPr>
              <w:t>E3→E3</w:t>
            </w:r>
          </w:p>
        </w:tc>
        <w:tc>
          <w:tcPr>
            <w:tcW w:type="dxa" w:w="964"/>
          </w:tcPr>
          <w:p>
            <w:pPr>
              <w:spacing w:after="40" w:line="264" w:lineRule="auto"/>
            </w:pPr>
            <w:r/>
            <w:r>
              <w:rPr>
                <w:sz w:val="15"/>
              </w:rPr>
              <w:t>—</w:t>
            </w:r>
          </w:p>
        </w:tc>
        <w:tc>
          <w:tcPr>
            <w:tcW w:type="dxa" w:w="3912"/>
          </w:tcPr>
          <w:p>
            <w:pPr>
              <w:spacing w:after="40" w:line="264" w:lineRule="auto"/>
            </w:pPr>
            <w:r/>
            <w:r>
              <w:rPr>
                <w:sz w:val="15"/>
              </w:rPr>
              <w:t>Arias는 인식·훈련·교육 프로그램이 인력의 인식과 역량을 키운다고만 서술하며 계획·절차와의 연결은 서술하지 않는다. Białas는 훈련 활동에 "필요(needs)"를 별도 항목으로 둔다.</w:t>
              <w:br/>
              <w:t>[정규화] [연구자 가정] 교육 내용이 BC 계획·절차(역할 포함)에서 도출·반영된다는 연결은 두 논문에 직접 근거가 없다. 인력이 계획과 자기 역할을 알아야 계획이 실행된다는 연구자 판단에 기초한다.</w:t>
              <w:br/>
              <w:t>[주의] 교육과 계획의 개별 설명만으로 PLAN→AWR의 직접 관계를 확정할 수 없다.</w:t>
            </w:r>
          </w:p>
        </w:tc>
      </w:tr>
      <w:tr>
        <w:tc>
          <w:tcPr>
            <w:tcW w:type="dxa" w:w="567"/>
            <w:shd w:val="clear" w:color="auto" w:fill="F3F6FA"/>
          </w:tcPr>
          <w:p>
            <w:pPr>
              <w:spacing w:after="40" w:line="264" w:lineRule="auto"/>
            </w:pPr>
            <w:r/>
            <w:r>
              <w:rPr>
                <w:sz w:val="15"/>
              </w:rPr>
              <w:t>L18</w:t>
            </w:r>
          </w:p>
        </w:tc>
        <w:tc>
          <w:tcPr>
            <w:tcW w:type="dxa" w:w="1077"/>
            <w:shd w:val="clear" w:color="auto" w:fill="F3F6FA"/>
          </w:tcPr>
          <w:p>
            <w:pPr>
              <w:spacing w:after="40" w:line="264" w:lineRule="auto"/>
            </w:pPr>
            <w:r/>
            <w:r>
              <w:rPr>
                <w:sz w:val="15"/>
              </w:rPr>
              <w:t>PERF→CI</w:t>
            </w:r>
          </w:p>
        </w:tc>
        <w:tc>
          <w:tcPr>
            <w:tcW w:type="dxa" w:w="1134"/>
            <w:shd w:val="clear" w:color="auto" w:fill="F3F6FA"/>
          </w:tcPr>
          <w:p>
            <w:pPr>
              <w:spacing w:after="40" w:line="264" w:lineRule="auto"/>
            </w:pPr>
            <w:r/>
            <w:r>
              <w:rPr>
                <w:sz w:val="15"/>
              </w:rPr>
              <w:t>환류된다</w:t>
            </w:r>
          </w:p>
        </w:tc>
        <w:tc>
          <w:tcPr>
            <w:tcW w:type="dxa" w:w="907"/>
            <w:shd w:val="clear" w:color="auto" w:fill="F3F6FA"/>
          </w:tcPr>
          <w:p>
            <w:pPr>
              <w:spacing w:after="40" w:line="264" w:lineRule="auto"/>
            </w:pPr>
            <w:r/>
            <w:r>
              <w:rPr>
                <w:sz w:val="15"/>
              </w:rPr>
              <w:t>운영 후보</w:t>
            </w:r>
          </w:p>
        </w:tc>
        <w:tc>
          <w:tcPr>
            <w:tcW w:type="dxa" w:w="850"/>
            <w:shd w:val="clear" w:color="auto" w:fill="F3F6FA"/>
          </w:tcPr>
          <w:p>
            <w:pPr>
              <w:spacing w:after="40" w:line="264" w:lineRule="auto"/>
            </w:pPr>
            <w:r/>
            <w:r>
              <w:rPr>
                <w:sz w:val="15"/>
              </w:rPr>
              <w:t>E1→E1</w:t>
            </w:r>
          </w:p>
        </w:tc>
        <w:tc>
          <w:tcPr>
            <w:tcW w:type="dxa" w:w="964"/>
            <w:shd w:val="clear" w:color="auto" w:fill="F3F6FA"/>
          </w:tcPr>
          <w:p>
            <w:pPr>
              <w:spacing w:after="40" w:line="264" w:lineRule="auto"/>
            </w:pPr>
            <w:r/>
            <w:r>
              <w:rPr>
                <w:sz w:val="15"/>
              </w:rPr>
              <w:t>A25 p.16</w:t>
            </w:r>
          </w:p>
        </w:tc>
        <w:tc>
          <w:tcPr>
            <w:tcW w:type="dxa" w:w="3912"/>
            <w:shd w:val="clear" w:color="auto" w:fill="F3F6FA"/>
          </w:tcPr>
          <w:p>
            <w:pPr>
              <w:spacing w:after="40" w:line="264" w:lineRule="auto"/>
            </w:pPr>
            <w:r/>
            <w:r>
              <w:rPr>
                <w:sz w:val="15"/>
              </w:rPr>
              <w:t>성과평가의 결과는 BCMS 및 전략·솔루션·계획·절차의 효과성·효율성·적합성·충분성을 개선하는 데 사용되며, 이는 지속적 개선 프로세스에서 실현된다.</w:t>
              <w:br/>
              <w:t>[정규화] A25는 3개 출처를 한 문장에 열거하므로 L18·L19·L20은 연구자가 분리한 연결.</w:t>
              <w:br/>
              <w:t>[주의] 원문의 관계 의미를 산출물과 사용 목적까지 구체화한 뒤 전문가에게 적절성을 평가받는다.</w:t>
            </w:r>
          </w:p>
        </w:tc>
      </w:tr>
      <w:tr>
        <w:tc>
          <w:tcPr>
            <w:tcW w:type="dxa" w:w="567"/>
          </w:tcPr>
          <w:p>
            <w:pPr>
              <w:spacing w:after="40" w:line="264" w:lineRule="auto"/>
            </w:pPr>
            <w:r/>
            <w:r>
              <w:rPr>
                <w:sz w:val="15"/>
              </w:rPr>
              <w:t>L19</w:t>
            </w:r>
          </w:p>
        </w:tc>
        <w:tc>
          <w:tcPr>
            <w:tcW w:type="dxa" w:w="1077"/>
          </w:tcPr>
          <w:p>
            <w:pPr>
              <w:spacing w:after="40" w:line="264" w:lineRule="auto"/>
            </w:pPr>
            <w:r/>
            <w:r>
              <w:rPr>
                <w:sz w:val="15"/>
              </w:rPr>
              <w:t>AUD→CI</w:t>
            </w:r>
          </w:p>
        </w:tc>
        <w:tc>
          <w:tcPr>
            <w:tcW w:type="dxa" w:w="1134"/>
          </w:tcPr>
          <w:p>
            <w:pPr>
              <w:spacing w:after="40" w:line="264" w:lineRule="auto"/>
            </w:pPr>
            <w:r/>
            <w:r>
              <w:rPr>
                <w:sz w:val="15"/>
              </w:rPr>
              <w:t>환류된다</w:t>
            </w:r>
          </w:p>
        </w:tc>
        <w:tc>
          <w:tcPr>
            <w:tcW w:type="dxa" w:w="907"/>
          </w:tcPr>
          <w:p>
            <w:pPr>
              <w:spacing w:after="40" w:line="264" w:lineRule="auto"/>
            </w:pPr>
            <w:r/>
            <w:r>
              <w:rPr>
                <w:sz w:val="15"/>
              </w:rPr>
              <w:t>운영 후보</w:t>
            </w:r>
          </w:p>
        </w:tc>
        <w:tc>
          <w:tcPr>
            <w:tcW w:type="dxa" w:w="850"/>
          </w:tcPr>
          <w:p>
            <w:pPr>
              <w:spacing w:after="40" w:line="264" w:lineRule="auto"/>
            </w:pPr>
            <w:r/>
            <w:r>
              <w:rPr>
                <w:sz w:val="15"/>
              </w:rPr>
              <w:t>E1→E1</w:t>
            </w:r>
          </w:p>
        </w:tc>
        <w:tc>
          <w:tcPr>
            <w:tcW w:type="dxa" w:w="964"/>
          </w:tcPr>
          <w:p>
            <w:pPr>
              <w:spacing w:after="40" w:line="264" w:lineRule="auto"/>
            </w:pPr>
            <w:r/>
            <w:r>
              <w:rPr>
                <w:sz w:val="15"/>
              </w:rPr>
              <w:t>A25 p.16</w:t>
            </w:r>
          </w:p>
        </w:tc>
        <w:tc>
          <w:tcPr>
            <w:tcW w:type="dxa" w:w="3912"/>
          </w:tcPr>
          <w:p>
            <w:pPr>
              <w:spacing w:after="40" w:line="264" w:lineRule="auto"/>
            </w:pPr>
            <w:r/>
            <w:r>
              <w:rPr>
                <w:sz w:val="15"/>
              </w:rPr>
              <w:t>내부감사의 결과는 BCMS 개선에 사용되며, 지속적 개선 프로세스에서 실현된다.</w:t>
              <w:br/>
              <w:t>[정규화] 분리 사유는 L18과 동일.</w:t>
              <w:br/>
              <w:t>[주의] 원문의 관계 의미를 산출물과 사용 목적까지 구체화한 뒤 전문가에게 적절성을 평가받는다.</w:t>
            </w:r>
          </w:p>
        </w:tc>
      </w:tr>
      <w:tr>
        <w:tc>
          <w:tcPr>
            <w:tcW w:type="dxa" w:w="567"/>
            <w:shd w:val="clear" w:color="auto" w:fill="F3F6FA"/>
          </w:tcPr>
          <w:p>
            <w:pPr>
              <w:spacing w:after="40" w:line="264" w:lineRule="auto"/>
            </w:pPr>
            <w:r/>
            <w:r>
              <w:rPr>
                <w:sz w:val="15"/>
              </w:rPr>
              <w:t>L20</w:t>
            </w:r>
          </w:p>
        </w:tc>
        <w:tc>
          <w:tcPr>
            <w:tcW w:type="dxa" w:w="1077"/>
            <w:shd w:val="clear" w:color="auto" w:fill="F3F6FA"/>
          </w:tcPr>
          <w:p>
            <w:pPr>
              <w:spacing w:after="40" w:line="264" w:lineRule="auto"/>
            </w:pPr>
            <w:r/>
            <w:r>
              <w:rPr>
                <w:sz w:val="15"/>
              </w:rPr>
              <w:t>SUP→CI</w:t>
            </w:r>
          </w:p>
        </w:tc>
        <w:tc>
          <w:tcPr>
            <w:tcW w:type="dxa" w:w="1134"/>
            <w:shd w:val="clear" w:color="auto" w:fill="F3F6FA"/>
          </w:tcPr>
          <w:p>
            <w:pPr>
              <w:spacing w:after="40" w:line="264" w:lineRule="auto"/>
            </w:pPr>
            <w:r/>
            <w:r>
              <w:rPr>
                <w:sz w:val="15"/>
              </w:rPr>
              <w:t>환류된다</w:t>
            </w:r>
          </w:p>
        </w:tc>
        <w:tc>
          <w:tcPr>
            <w:tcW w:type="dxa" w:w="907"/>
            <w:shd w:val="clear" w:color="auto" w:fill="F3F6FA"/>
          </w:tcPr>
          <w:p>
            <w:pPr>
              <w:spacing w:after="40" w:line="264" w:lineRule="auto"/>
            </w:pPr>
            <w:r/>
            <w:r>
              <w:rPr>
                <w:sz w:val="15"/>
              </w:rPr>
              <w:t>운영 후보</w:t>
            </w:r>
          </w:p>
        </w:tc>
        <w:tc>
          <w:tcPr>
            <w:tcW w:type="dxa" w:w="850"/>
            <w:shd w:val="clear" w:color="auto" w:fill="F3F6FA"/>
          </w:tcPr>
          <w:p>
            <w:pPr>
              <w:spacing w:after="40" w:line="264" w:lineRule="auto"/>
            </w:pPr>
            <w:r/>
            <w:r>
              <w:rPr>
                <w:sz w:val="15"/>
              </w:rPr>
              <w:t>E1→E1</w:t>
            </w:r>
          </w:p>
        </w:tc>
        <w:tc>
          <w:tcPr>
            <w:tcW w:type="dxa" w:w="964"/>
            <w:shd w:val="clear" w:color="auto" w:fill="F3F6FA"/>
          </w:tcPr>
          <w:p>
            <w:pPr>
              <w:spacing w:after="40" w:line="264" w:lineRule="auto"/>
            </w:pPr>
            <w:r/>
            <w:r>
              <w:rPr>
                <w:sz w:val="15"/>
              </w:rPr>
              <w:t>A25 p.16</w:t>
            </w:r>
          </w:p>
        </w:tc>
        <w:tc>
          <w:tcPr>
            <w:tcW w:type="dxa" w:w="3912"/>
            <w:shd w:val="clear" w:color="auto" w:fill="F3F6FA"/>
          </w:tcPr>
          <w:p>
            <w:pPr>
              <w:spacing w:after="40" w:line="264" w:lineRule="auto"/>
            </w:pPr>
            <w:r/>
            <w:r>
              <w:rPr>
                <w:sz w:val="15"/>
              </w:rPr>
              <w:t>공급망관리의 결과는 BCMS 개선에 사용되며, 지속적 개선 프로세스에서 실현된다.</w:t>
              <w:br/>
              <w:t>[정규화] 분리 사유는 L18과 동일.</w:t>
              <w:br/>
              <w:t>[주의] 원문의 관계 의미를 산출물과 사용 목적까지 구체화한 뒤 전문가에게 적절성을 평가받는다.</w:t>
            </w:r>
          </w:p>
        </w:tc>
      </w:tr>
      <w:tr>
        <w:tc>
          <w:tcPr>
            <w:tcW w:type="dxa" w:w="567"/>
          </w:tcPr>
          <w:p>
            <w:pPr>
              <w:spacing w:after="40" w:line="264" w:lineRule="auto"/>
            </w:pPr>
            <w:r/>
            <w:r>
              <w:rPr>
                <w:sz w:val="15"/>
              </w:rPr>
              <w:t>L21</w:t>
            </w:r>
          </w:p>
        </w:tc>
        <w:tc>
          <w:tcPr>
            <w:tcW w:type="dxa" w:w="1077"/>
          </w:tcPr>
          <w:p>
            <w:pPr>
              <w:spacing w:after="40" w:line="264" w:lineRule="auto"/>
            </w:pPr>
            <w:r/>
            <w:r>
              <w:rPr>
                <w:sz w:val="15"/>
              </w:rPr>
              <w:t>CHG→RA</w:t>
            </w:r>
          </w:p>
        </w:tc>
        <w:tc>
          <w:tcPr>
            <w:tcW w:type="dxa" w:w="1134"/>
          </w:tcPr>
          <w:p>
            <w:pPr>
              <w:spacing w:after="40" w:line="264" w:lineRule="auto"/>
            </w:pPr>
            <w:r/>
            <w:r>
              <w:rPr>
                <w:sz w:val="15"/>
              </w:rPr>
              <w:t>수행을 촉발한다</w:t>
            </w:r>
          </w:p>
        </w:tc>
        <w:tc>
          <w:tcPr>
            <w:tcW w:type="dxa" w:w="907"/>
          </w:tcPr>
          <w:p>
            <w:pPr>
              <w:spacing w:after="40" w:line="264" w:lineRule="auto"/>
            </w:pPr>
            <w:r/>
            <w:r>
              <w:rPr>
                <w:sz w:val="15"/>
              </w:rPr>
              <w:t>운영 후보</w:t>
            </w:r>
          </w:p>
        </w:tc>
        <w:tc>
          <w:tcPr>
            <w:tcW w:type="dxa" w:w="850"/>
          </w:tcPr>
          <w:p>
            <w:pPr>
              <w:spacing w:after="40" w:line="264" w:lineRule="auto"/>
            </w:pPr>
            <w:r/>
            <w:r>
              <w:rPr>
                <w:sz w:val="15"/>
              </w:rPr>
              <w:t>E1→E1</w:t>
            </w:r>
          </w:p>
        </w:tc>
        <w:tc>
          <w:tcPr>
            <w:tcW w:type="dxa" w:w="964"/>
          </w:tcPr>
          <w:p>
            <w:pPr>
              <w:spacing w:after="40" w:line="264" w:lineRule="auto"/>
            </w:pPr>
            <w:r/>
            <w:r>
              <w:rPr>
                <w:sz w:val="15"/>
              </w:rPr>
              <w:t>A27 p.16</w:t>
            </w:r>
          </w:p>
        </w:tc>
        <w:tc>
          <w:tcPr>
            <w:tcW w:type="dxa" w:w="3912"/>
          </w:tcPr>
          <w:p>
            <w:pPr>
              <w:spacing w:after="40" w:line="264" w:lineRule="auto"/>
            </w:pPr>
            <w:r/>
            <w:r>
              <w:rPr>
                <w:sz w:val="15"/>
              </w:rPr>
              <w:t>BC 변경관리의 산출물에는 중대한 제안·발생 변경에 대응한 리스크평가의 개시, 그리고 리스크평가와 오가는 제안·필요 변경 및 변경 결과가 포함된다.</w:t>
              <w:br/>
              <w:t>[정규화] A26의 "for and from"은 양방향 흐름을 시사하나 본 연결은 CHG→RA 방향만 채택하고 반대 방향은 보류연결 H02에 기록(연구자 판단).</w:t>
              <w:br/>
              <w:t>[주의] 원문의 관계 의미를 산출물과 사용 목적까지 구체화한 뒤 전문가에게 적절성을 평가받는다.</w:t>
            </w:r>
          </w:p>
        </w:tc>
      </w:tr>
      <w:tr>
        <w:tc>
          <w:tcPr>
            <w:tcW w:type="dxa" w:w="567"/>
            <w:shd w:val="clear" w:color="auto" w:fill="F3F6FA"/>
          </w:tcPr>
          <w:p>
            <w:pPr>
              <w:spacing w:after="40" w:line="264" w:lineRule="auto"/>
            </w:pPr>
            <w:r/>
            <w:r>
              <w:rPr>
                <w:sz w:val="15"/>
              </w:rPr>
              <w:t>L22</w:t>
            </w:r>
          </w:p>
        </w:tc>
        <w:tc>
          <w:tcPr>
            <w:tcW w:type="dxa" w:w="1077"/>
            <w:shd w:val="clear" w:color="auto" w:fill="F3F6FA"/>
          </w:tcPr>
          <w:p>
            <w:pPr>
              <w:spacing w:after="40" w:line="264" w:lineRule="auto"/>
            </w:pPr>
            <w:r/>
            <w:r>
              <w:rPr>
                <w:sz w:val="15"/>
              </w:rPr>
              <w:t>CHG→DOC</w:t>
            </w:r>
          </w:p>
        </w:tc>
        <w:tc>
          <w:tcPr>
            <w:tcW w:type="dxa" w:w="1134"/>
            <w:shd w:val="clear" w:color="auto" w:fill="F3F6FA"/>
          </w:tcPr>
          <w:p>
            <w:pPr>
              <w:spacing w:after="40" w:line="264" w:lineRule="auto"/>
            </w:pPr>
            <w:r/>
            <w:r>
              <w:rPr>
                <w:sz w:val="15"/>
              </w:rPr>
              <w:t>개정·갱신한다</w:t>
            </w:r>
          </w:p>
        </w:tc>
        <w:tc>
          <w:tcPr>
            <w:tcW w:type="dxa" w:w="907"/>
            <w:shd w:val="clear" w:color="auto" w:fill="F3F6FA"/>
          </w:tcPr>
          <w:p>
            <w:pPr>
              <w:spacing w:after="40" w:line="264" w:lineRule="auto"/>
            </w:pPr>
            <w:r/>
            <w:r>
              <w:rPr>
                <w:sz w:val="15"/>
              </w:rPr>
              <w:t>운영 후보</w:t>
            </w:r>
          </w:p>
        </w:tc>
        <w:tc>
          <w:tcPr>
            <w:tcW w:type="dxa" w:w="850"/>
            <w:shd w:val="clear" w:color="auto" w:fill="F3F6FA"/>
          </w:tcPr>
          <w:p>
            <w:pPr>
              <w:spacing w:after="40" w:line="264" w:lineRule="auto"/>
            </w:pPr>
            <w:r/>
            <w:r>
              <w:rPr>
                <w:sz w:val="15"/>
              </w:rPr>
              <w:t>E1→E1</w:t>
            </w:r>
          </w:p>
        </w:tc>
        <w:tc>
          <w:tcPr>
            <w:tcW w:type="dxa" w:w="964"/>
            <w:shd w:val="clear" w:color="auto" w:fill="F3F6FA"/>
          </w:tcPr>
          <w:p>
            <w:pPr>
              <w:spacing w:after="40" w:line="264" w:lineRule="auto"/>
            </w:pPr>
            <w:r/>
            <w:r>
              <w:rPr>
                <w:sz w:val="15"/>
              </w:rPr>
              <w:t>A28 p.16</w:t>
            </w:r>
          </w:p>
        </w:tc>
        <w:tc>
          <w:tcPr>
            <w:tcW w:type="dxa" w:w="3912"/>
            <w:shd w:val="clear" w:color="auto" w:fill="F3F6FA"/>
          </w:tcPr>
          <w:p>
            <w:pPr>
              <w:spacing w:after="40" w:line="264" w:lineRule="auto"/>
            </w:pPr>
            <w:r/>
            <w:r>
              <w:rPr>
                <w:sz w:val="15"/>
              </w:rPr>
              <w:t>BC 변경관리의 산출물에는 문서화된 정보 통제 프로세스를 위한 필요한 변경이 포함된다. 문서화된 정보 통제는 정보의 식별·작성·갱신·통제를 포함한다.</w:t>
              <w:br/>
              <w:t>[정규화] A41의 "updating"은 최신성 차원의 정의를 고안할 때 참고했으며, 최신성의 정의 자체는 연구자 정의.</w:t>
              <w:br/>
              <w:t>[주의] 원문의 관계 의미를 산출물과 사용 목적까지 구체화한 뒤 전문가에게 적절성을 평가받는다.</w:t>
            </w:r>
          </w:p>
        </w:tc>
      </w:tr>
      <w:tr>
        <w:tc>
          <w:tcPr>
            <w:tcW w:type="dxa" w:w="567"/>
          </w:tcPr>
          <w:p>
            <w:pPr>
              <w:spacing w:after="40" w:line="264" w:lineRule="auto"/>
            </w:pPr>
            <w:r/>
            <w:r>
              <w:rPr>
                <w:sz w:val="15"/>
              </w:rPr>
              <w:t>L23</w:t>
            </w:r>
          </w:p>
        </w:tc>
        <w:tc>
          <w:tcPr>
            <w:tcW w:type="dxa" w:w="1077"/>
          </w:tcPr>
          <w:p>
            <w:pPr>
              <w:spacing w:after="40" w:line="264" w:lineRule="auto"/>
            </w:pPr>
            <w:r/>
            <w:r>
              <w:rPr>
                <w:sz w:val="15"/>
              </w:rPr>
              <w:t>INC→CHG</w:t>
            </w:r>
          </w:p>
        </w:tc>
        <w:tc>
          <w:tcPr>
            <w:tcW w:type="dxa" w:w="1134"/>
          </w:tcPr>
          <w:p>
            <w:pPr>
              <w:spacing w:after="40" w:line="264" w:lineRule="auto"/>
            </w:pPr>
            <w:r/>
            <w:r>
              <w:rPr>
                <w:sz w:val="15"/>
              </w:rPr>
              <w:t>수행을 촉발한다</w:t>
            </w:r>
          </w:p>
        </w:tc>
        <w:tc>
          <w:tcPr>
            <w:tcW w:type="dxa" w:w="907"/>
          </w:tcPr>
          <w:p>
            <w:pPr>
              <w:spacing w:after="40" w:line="264" w:lineRule="auto"/>
            </w:pPr>
            <w:r/>
            <w:r>
              <w:rPr>
                <w:sz w:val="15"/>
              </w:rPr>
              <w:t>운영 후보</w:t>
            </w:r>
          </w:p>
        </w:tc>
        <w:tc>
          <w:tcPr>
            <w:tcW w:type="dxa" w:w="850"/>
          </w:tcPr>
          <w:p>
            <w:pPr>
              <w:spacing w:after="40" w:line="264" w:lineRule="auto"/>
            </w:pPr>
            <w:r/>
            <w:r>
              <w:rPr>
                <w:sz w:val="15"/>
              </w:rPr>
              <w:t>E1→E2</w:t>
            </w:r>
          </w:p>
        </w:tc>
        <w:tc>
          <w:tcPr>
            <w:tcW w:type="dxa" w:w="964"/>
          </w:tcPr>
          <w:p>
            <w:pPr>
              <w:spacing w:after="40" w:line="264" w:lineRule="auto"/>
            </w:pPr>
            <w:r/>
            <w:r>
              <w:rPr>
                <w:sz w:val="15"/>
              </w:rPr>
              <w:t>A29 p.16</w:t>
            </w:r>
          </w:p>
        </w:tc>
        <w:tc>
          <w:tcPr>
            <w:tcW w:type="dxa" w:w="3912"/>
          </w:tcPr>
          <w:p>
            <w:pPr>
              <w:spacing w:after="40" w:line="264" w:lineRule="auto"/>
            </w:pPr>
            <w:r/>
            <w:r>
              <w:rPr>
                <w:sz w:val="15"/>
              </w:rPr>
              <w:t>사고·비상 대응이 개시한 변경의 결과가 변경관리의 산출물에 포함된다("as those processes initiated them").</w:t>
              <w:br/>
              <w:t>[정규화] "initiated"를 triggers(S의 사건·결과가 T의 수행을 개시)로 해석. A29는 INC·EXE와 변경 결과 방향을 한 문장에 담으므로 L23~L26은 연구자가 분리한 4개 연결.</w:t>
              <w:br/>
              <w:t>[주의] initiated them의 해석과 프로세스 쌍의 방향을 연구자가 구체화했다. 전문가 검토 필요.</w:t>
            </w:r>
          </w:p>
        </w:tc>
      </w:tr>
      <w:tr>
        <w:tc>
          <w:tcPr>
            <w:tcW w:type="dxa" w:w="567"/>
            <w:shd w:val="clear" w:color="auto" w:fill="F3F6FA"/>
          </w:tcPr>
          <w:p>
            <w:pPr>
              <w:spacing w:after="40" w:line="264" w:lineRule="auto"/>
            </w:pPr>
            <w:r/>
            <w:r>
              <w:rPr>
                <w:sz w:val="15"/>
              </w:rPr>
              <w:t>L24</w:t>
            </w:r>
          </w:p>
        </w:tc>
        <w:tc>
          <w:tcPr>
            <w:tcW w:type="dxa" w:w="1077"/>
            <w:shd w:val="clear" w:color="auto" w:fill="F3F6FA"/>
          </w:tcPr>
          <w:p>
            <w:pPr>
              <w:spacing w:after="40" w:line="264" w:lineRule="auto"/>
            </w:pPr>
            <w:r/>
            <w:r>
              <w:rPr>
                <w:sz w:val="15"/>
              </w:rPr>
              <w:t>EXE→CHG</w:t>
            </w:r>
          </w:p>
        </w:tc>
        <w:tc>
          <w:tcPr>
            <w:tcW w:type="dxa" w:w="1134"/>
            <w:shd w:val="clear" w:color="auto" w:fill="F3F6FA"/>
          </w:tcPr>
          <w:p>
            <w:pPr>
              <w:spacing w:after="40" w:line="264" w:lineRule="auto"/>
            </w:pPr>
            <w:r/>
            <w:r>
              <w:rPr>
                <w:sz w:val="15"/>
              </w:rPr>
              <w:t>수행을 촉발한다</w:t>
            </w:r>
          </w:p>
        </w:tc>
        <w:tc>
          <w:tcPr>
            <w:tcW w:type="dxa" w:w="907"/>
            <w:shd w:val="clear" w:color="auto" w:fill="F3F6FA"/>
          </w:tcPr>
          <w:p>
            <w:pPr>
              <w:spacing w:after="40" w:line="264" w:lineRule="auto"/>
            </w:pPr>
            <w:r/>
            <w:r>
              <w:rPr>
                <w:sz w:val="15"/>
              </w:rPr>
              <w:t>운영 후보</w:t>
            </w:r>
          </w:p>
        </w:tc>
        <w:tc>
          <w:tcPr>
            <w:tcW w:type="dxa" w:w="850"/>
            <w:shd w:val="clear" w:color="auto" w:fill="F3F6FA"/>
          </w:tcPr>
          <w:p>
            <w:pPr>
              <w:spacing w:after="40" w:line="264" w:lineRule="auto"/>
            </w:pPr>
            <w:r/>
            <w:r>
              <w:rPr>
                <w:sz w:val="15"/>
              </w:rPr>
              <w:t>E1→E2</w:t>
            </w:r>
          </w:p>
        </w:tc>
        <w:tc>
          <w:tcPr>
            <w:tcW w:type="dxa" w:w="964"/>
            <w:shd w:val="clear" w:color="auto" w:fill="F3F6FA"/>
          </w:tcPr>
          <w:p>
            <w:pPr>
              <w:spacing w:after="40" w:line="264" w:lineRule="auto"/>
            </w:pPr>
            <w:r/>
            <w:r>
              <w:rPr>
                <w:sz w:val="15"/>
              </w:rPr>
              <w:t>A29 p.16</w:t>
            </w:r>
          </w:p>
        </w:tc>
        <w:tc>
          <w:tcPr>
            <w:tcW w:type="dxa" w:w="3912"/>
            <w:shd w:val="clear" w:color="auto" w:fill="F3F6FA"/>
          </w:tcPr>
          <w:p>
            <w:pPr>
              <w:spacing w:after="40" w:line="264" w:lineRule="auto"/>
            </w:pPr>
            <w:r/>
            <w:r>
              <w:rPr>
                <w:sz w:val="15"/>
              </w:rPr>
              <w:t>훈련·연습이 개시한 변경의 결과가 변경관리의 산출물에 포함된다.</w:t>
              <w:br/>
              <w:t>[정규화] 분리 사유는 L23과 동일.</w:t>
              <w:br/>
              <w:t>[주의] initiated them의 해석과 프로세스 쌍의 방향을 연구자가 구체화했다. 전문가 검토 필요.</w:t>
            </w:r>
          </w:p>
        </w:tc>
      </w:tr>
      <w:tr>
        <w:tc>
          <w:tcPr>
            <w:tcW w:type="dxa" w:w="567"/>
          </w:tcPr>
          <w:p>
            <w:pPr>
              <w:spacing w:after="40" w:line="264" w:lineRule="auto"/>
            </w:pPr>
            <w:r/>
            <w:r>
              <w:rPr>
                <w:sz w:val="15"/>
              </w:rPr>
              <w:t>L25</w:t>
            </w:r>
          </w:p>
        </w:tc>
        <w:tc>
          <w:tcPr>
            <w:tcW w:type="dxa" w:w="1077"/>
          </w:tcPr>
          <w:p>
            <w:pPr>
              <w:spacing w:after="40" w:line="264" w:lineRule="auto"/>
            </w:pPr>
            <w:r/>
            <w:r>
              <w:rPr>
                <w:sz w:val="15"/>
              </w:rPr>
              <w:t>CHG→INC</w:t>
            </w:r>
          </w:p>
        </w:tc>
        <w:tc>
          <w:tcPr>
            <w:tcW w:type="dxa" w:w="1134"/>
          </w:tcPr>
          <w:p>
            <w:pPr>
              <w:spacing w:after="40" w:line="264" w:lineRule="auto"/>
            </w:pPr>
            <w:r/>
            <w:r>
              <w:rPr>
                <w:sz w:val="15"/>
              </w:rPr>
              <w:t>환류된다</w:t>
            </w:r>
          </w:p>
        </w:tc>
        <w:tc>
          <w:tcPr>
            <w:tcW w:type="dxa" w:w="907"/>
          </w:tcPr>
          <w:p>
            <w:pPr>
              <w:spacing w:after="40" w:line="264" w:lineRule="auto"/>
            </w:pPr>
            <w:r/>
            <w:r>
              <w:rPr>
                <w:sz w:val="15"/>
              </w:rPr>
              <w:t>운영 후보</w:t>
            </w:r>
          </w:p>
        </w:tc>
        <w:tc>
          <w:tcPr>
            <w:tcW w:type="dxa" w:w="850"/>
          </w:tcPr>
          <w:p>
            <w:pPr>
              <w:spacing w:after="40" w:line="264" w:lineRule="auto"/>
            </w:pPr>
            <w:r/>
            <w:r>
              <w:rPr>
                <w:sz w:val="15"/>
              </w:rPr>
              <w:t>E1→E2</w:t>
            </w:r>
          </w:p>
        </w:tc>
        <w:tc>
          <w:tcPr>
            <w:tcW w:type="dxa" w:w="964"/>
          </w:tcPr>
          <w:p>
            <w:pPr>
              <w:spacing w:after="40" w:line="264" w:lineRule="auto"/>
            </w:pPr>
            <w:r/>
            <w:r>
              <w:rPr>
                <w:sz w:val="15"/>
              </w:rPr>
              <w:t>A29 p.16</w:t>
            </w:r>
          </w:p>
        </w:tc>
        <w:tc>
          <w:tcPr>
            <w:tcW w:type="dxa" w:w="3912"/>
          </w:tcPr>
          <w:p>
            <w:pPr>
              <w:spacing w:after="40" w:line="264" w:lineRule="auto"/>
            </w:pPr>
            <w:r/>
            <w:r>
              <w:rPr>
                <w:sz w:val="15"/>
              </w:rPr>
              <w:t>변경의 결과가 사고·비상 대응 프로세스로 돌아간다("The results of changes to the incident and emergency handling process").</w:t>
              <w:br/>
              <w:t>[정규화] 분리 사유는 L23과 동일. "results of changes to"를 updates(변경이 T의 내용을 개정)로 해석.</w:t>
              <w:br/>
              <w:t>[주의] results of changes를 변경 결과 전달로 해석한다. 원문 자체가 닫힌 개선 순환을 검증한 것은 아니다.</w:t>
            </w:r>
          </w:p>
        </w:tc>
      </w:tr>
      <w:tr>
        <w:tc>
          <w:tcPr>
            <w:tcW w:type="dxa" w:w="567"/>
            <w:shd w:val="clear" w:color="auto" w:fill="F3F6FA"/>
          </w:tcPr>
          <w:p>
            <w:pPr>
              <w:spacing w:after="40" w:line="264" w:lineRule="auto"/>
            </w:pPr>
            <w:r/>
            <w:r>
              <w:rPr>
                <w:sz w:val="15"/>
              </w:rPr>
              <w:t>L26</w:t>
            </w:r>
          </w:p>
        </w:tc>
        <w:tc>
          <w:tcPr>
            <w:tcW w:type="dxa" w:w="1077"/>
            <w:shd w:val="clear" w:color="auto" w:fill="F3F6FA"/>
          </w:tcPr>
          <w:p>
            <w:pPr>
              <w:spacing w:after="40" w:line="264" w:lineRule="auto"/>
            </w:pPr>
            <w:r/>
            <w:r>
              <w:rPr>
                <w:sz w:val="15"/>
              </w:rPr>
              <w:t>CHG→EXE</w:t>
            </w:r>
          </w:p>
        </w:tc>
        <w:tc>
          <w:tcPr>
            <w:tcW w:type="dxa" w:w="1134"/>
            <w:shd w:val="clear" w:color="auto" w:fill="F3F6FA"/>
          </w:tcPr>
          <w:p>
            <w:pPr>
              <w:spacing w:after="40" w:line="264" w:lineRule="auto"/>
            </w:pPr>
            <w:r/>
            <w:r>
              <w:rPr>
                <w:sz w:val="15"/>
              </w:rPr>
              <w:t>환류된다</w:t>
            </w:r>
          </w:p>
        </w:tc>
        <w:tc>
          <w:tcPr>
            <w:tcW w:type="dxa" w:w="907"/>
            <w:shd w:val="clear" w:color="auto" w:fill="F3F6FA"/>
          </w:tcPr>
          <w:p>
            <w:pPr>
              <w:spacing w:after="40" w:line="264" w:lineRule="auto"/>
            </w:pPr>
            <w:r/>
            <w:r>
              <w:rPr>
                <w:sz w:val="15"/>
              </w:rPr>
              <w:t>운영 후보</w:t>
            </w:r>
          </w:p>
        </w:tc>
        <w:tc>
          <w:tcPr>
            <w:tcW w:type="dxa" w:w="850"/>
            <w:shd w:val="clear" w:color="auto" w:fill="F3F6FA"/>
          </w:tcPr>
          <w:p>
            <w:pPr>
              <w:spacing w:after="40" w:line="264" w:lineRule="auto"/>
            </w:pPr>
            <w:r/>
            <w:r>
              <w:rPr>
                <w:sz w:val="15"/>
              </w:rPr>
              <w:t>E1→E2</w:t>
            </w:r>
          </w:p>
        </w:tc>
        <w:tc>
          <w:tcPr>
            <w:tcW w:type="dxa" w:w="964"/>
            <w:shd w:val="clear" w:color="auto" w:fill="F3F6FA"/>
          </w:tcPr>
          <w:p>
            <w:pPr>
              <w:spacing w:after="40" w:line="264" w:lineRule="auto"/>
            </w:pPr>
            <w:r/>
            <w:r>
              <w:rPr>
                <w:sz w:val="15"/>
              </w:rPr>
              <w:t>A29 p.16</w:t>
            </w:r>
          </w:p>
        </w:tc>
        <w:tc>
          <w:tcPr>
            <w:tcW w:type="dxa" w:w="3912"/>
            <w:shd w:val="clear" w:color="auto" w:fill="F3F6FA"/>
          </w:tcPr>
          <w:p>
            <w:pPr>
              <w:spacing w:after="40" w:line="264" w:lineRule="auto"/>
            </w:pPr>
            <w:r/>
            <w:r>
              <w:rPr>
                <w:sz w:val="15"/>
              </w:rPr>
              <w:t>변경의 결과가 BC 계획·절차 훈련·연습 프로세스로 돌아간다.</w:t>
              <w:br/>
              <w:t>[정규화] 분리 사유는 L23과 동일.</w:t>
              <w:br/>
              <w:t>[주의] results of changes를 변경 결과 전달로 해석한다. 원문 자체가 닫힌 개선 순환을 검증한 것은 아니다.</w:t>
            </w:r>
          </w:p>
        </w:tc>
      </w:tr>
      <w:tr>
        <w:tc>
          <w:tcPr>
            <w:tcW w:type="dxa" w:w="567"/>
          </w:tcPr>
          <w:p>
            <w:pPr>
              <w:spacing w:after="40" w:line="264" w:lineRule="auto"/>
            </w:pPr>
            <w:r/>
            <w:r>
              <w:rPr>
                <w:sz w:val="15"/>
              </w:rPr>
              <w:t>L27</w:t>
            </w:r>
          </w:p>
        </w:tc>
        <w:tc>
          <w:tcPr>
            <w:tcW w:type="dxa" w:w="1077"/>
          </w:tcPr>
          <w:p>
            <w:pPr>
              <w:spacing w:after="40" w:line="264" w:lineRule="auto"/>
            </w:pPr>
            <w:r/>
            <w:r>
              <w:rPr>
                <w:sz w:val="15"/>
              </w:rPr>
              <w:t>CORE→COM</w:t>
            </w:r>
          </w:p>
        </w:tc>
        <w:tc>
          <w:tcPr>
            <w:tcW w:type="dxa" w:w="1134"/>
          </w:tcPr>
          <w:p>
            <w:pPr>
              <w:spacing w:after="40" w:line="264" w:lineRule="auto"/>
            </w:pPr>
            <w:r/>
            <w:r>
              <w:rPr>
                <w:sz w:val="15"/>
              </w:rPr>
              <w:t>전달된다</w:t>
            </w:r>
          </w:p>
        </w:tc>
        <w:tc>
          <w:tcPr>
            <w:tcW w:type="dxa" w:w="907"/>
          </w:tcPr>
          <w:p>
            <w:pPr>
              <w:spacing w:after="40" w:line="264" w:lineRule="auto"/>
            </w:pPr>
            <w:r/>
            <w:r>
              <w:rPr>
                <w:sz w:val="15"/>
              </w:rPr>
              <w:t>집단 진술</w:t>
            </w:r>
          </w:p>
        </w:tc>
        <w:tc>
          <w:tcPr>
            <w:tcW w:type="dxa" w:w="850"/>
          </w:tcPr>
          <w:p>
            <w:pPr>
              <w:spacing w:after="40" w:line="264" w:lineRule="auto"/>
            </w:pPr>
            <w:r/>
            <w:r>
              <w:rPr>
                <w:sz w:val="15"/>
              </w:rPr>
              <w:t>E1→E2</w:t>
            </w:r>
          </w:p>
        </w:tc>
        <w:tc>
          <w:tcPr>
            <w:tcW w:type="dxa" w:w="964"/>
          </w:tcPr>
          <w:p>
            <w:pPr>
              <w:spacing w:after="40" w:line="264" w:lineRule="auto"/>
            </w:pPr>
            <w:r/>
            <w:r>
              <w:rPr>
                <w:sz w:val="15"/>
              </w:rPr>
              <w:t>A30 p.16</w:t>
            </w:r>
          </w:p>
        </w:tc>
        <w:tc>
          <w:tcPr>
            <w:tcW w:type="dxa" w:w="3912"/>
          </w:tcPr>
          <w:p>
            <w:pPr>
              <w:spacing w:after="40" w:line="264" w:lineRule="auto"/>
            </w:pPr>
            <w:r/>
            <w:r>
              <w:rPr>
                <w:sz w:val="15"/>
              </w:rPr>
              <w:t>거의 모든 BCMS 프로세스의 결과가 협의·커뮤니케이션 프로세스를 통해 BCMS 외부 이해관계자에게 중앙에서 전달된다.</w:t>
              <w:br/>
              <w:t>[정규화] [연구자 판단] "nearly all BCMS processes"는 프로세스를 열거하지 않으므로 출발점을 집단 노드 CORE("핵심 BCMS 프로세스 전반")로 처리했다. CORE는 Arias의 객체가 아니라 연구자가 만든 가상 노드이다.</w:t>
              <w:br/>
              <w:t>[주의] nearly all BCMS processes를 CORE 또는 모든 핵심 프로세스로 동일시할 수 없다. 집단 주석으로만 보존.</w:t>
            </w:r>
          </w:p>
        </w:tc>
      </w:tr>
      <w:tr>
        <w:tc>
          <w:tcPr>
            <w:tcW w:type="dxa" w:w="567"/>
            <w:shd w:val="clear" w:color="auto" w:fill="F3F6FA"/>
          </w:tcPr>
          <w:p>
            <w:pPr>
              <w:spacing w:after="40" w:line="264" w:lineRule="auto"/>
            </w:pPr>
            <w:r/>
            <w:r>
              <w:rPr>
                <w:sz w:val="15"/>
              </w:rPr>
              <w:t>L28</w:t>
            </w:r>
          </w:p>
        </w:tc>
        <w:tc>
          <w:tcPr>
            <w:tcW w:type="dxa" w:w="1077"/>
            <w:shd w:val="clear" w:color="auto" w:fill="F3F6FA"/>
          </w:tcPr>
          <w:p>
            <w:pPr>
              <w:spacing w:after="40" w:line="264" w:lineRule="auto"/>
            </w:pPr>
            <w:r/>
            <w:r>
              <w:rPr>
                <w:sz w:val="15"/>
              </w:rPr>
              <w:t>COM→GOV</w:t>
            </w:r>
          </w:p>
        </w:tc>
        <w:tc>
          <w:tcPr>
            <w:tcW w:type="dxa" w:w="1134"/>
            <w:shd w:val="clear" w:color="auto" w:fill="F3F6FA"/>
          </w:tcPr>
          <w:p>
            <w:pPr>
              <w:spacing w:after="40" w:line="264" w:lineRule="auto"/>
            </w:pPr>
            <w:r/>
            <w:r>
              <w:rPr>
                <w:sz w:val="15"/>
              </w:rPr>
              <w:t>입력된다·활용된다</w:t>
            </w:r>
          </w:p>
        </w:tc>
        <w:tc>
          <w:tcPr>
            <w:tcW w:type="dxa" w:w="907"/>
            <w:shd w:val="clear" w:color="auto" w:fill="F3F6FA"/>
          </w:tcPr>
          <w:p>
            <w:pPr>
              <w:spacing w:after="40" w:line="264" w:lineRule="auto"/>
            </w:pPr>
            <w:r/>
            <w:r>
              <w:rPr>
                <w:sz w:val="15"/>
              </w:rPr>
              <w:t>운영 후보</w:t>
            </w:r>
          </w:p>
        </w:tc>
        <w:tc>
          <w:tcPr>
            <w:tcW w:type="dxa" w:w="850"/>
            <w:shd w:val="clear" w:color="auto" w:fill="F3F6FA"/>
          </w:tcPr>
          <w:p>
            <w:pPr>
              <w:spacing w:after="40" w:line="264" w:lineRule="auto"/>
            </w:pPr>
            <w:r/>
            <w:r>
              <w:rPr>
                <w:sz w:val="15"/>
              </w:rPr>
              <w:t>E1→E1</w:t>
            </w:r>
          </w:p>
        </w:tc>
        <w:tc>
          <w:tcPr>
            <w:tcW w:type="dxa" w:w="964"/>
            <w:shd w:val="clear" w:color="auto" w:fill="F3F6FA"/>
          </w:tcPr>
          <w:p>
            <w:pPr>
              <w:spacing w:after="40" w:line="264" w:lineRule="auto"/>
            </w:pPr>
            <w:r/>
            <w:r>
              <w:rPr>
                <w:sz w:val="15"/>
              </w:rPr>
              <w:t>A31 p.16</w:t>
            </w:r>
          </w:p>
        </w:tc>
        <w:tc>
          <w:tcPr>
            <w:tcW w:type="dxa" w:w="3912"/>
            <w:shd w:val="clear" w:color="auto" w:fill="F3F6FA"/>
          </w:tcPr>
          <w:p>
            <w:pPr>
              <w:spacing w:after="40" w:line="264" w:lineRule="auto"/>
            </w:pPr>
            <w:r/>
            <w:r>
              <w:rPr>
                <w:sz w:val="15"/>
              </w:rPr>
              <w:t>협의·커뮤니케이션의 보고와 식별된 요구사항은 BC 거버넌스 프로세스의 입력으로 쓰인다.</w:t>
              <w:br/>
              <w:t>[정규화] "These reports"는 앞 문장(리스크와 BC 관리 보고의 커뮤니케이션)을 가리킨다고 연구자가 확인(A47).</w:t>
              <w:br/>
              <w:t>[주의] 원문의 관계 의미를 산출물과 사용 목적까지 구체화한 뒤 전문가에게 적절성을 평가받는다.</w:t>
            </w:r>
          </w:p>
        </w:tc>
      </w:tr>
      <w:tr>
        <w:tc>
          <w:tcPr>
            <w:tcW w:type="dxa" w:w="567"/>
          </w:tcPr>
          <w:p>
            <w:pPr>
              <w:spacing w:after="40" w:line="264" w:lineRule="auto"/>
            </w:pPr>
            <w:r/>
            <w:r>
              <w:rPr>
                <w:sz w:val="15"/>
              </w:rPr>
              <w:t>L29</w:t>
            </w:r>
          </w:p>
        </w:tc>
        <w:tc>
          <w:tcPr>
            <w:tcW w:type="dxa" w:w="1077"/>
          </w:tcPr>
          <w:p>
            <w:pPr>
              <w:spacing w:after="40" w:line="264" w:lineRule="auto"/>
            </w:pPr>
            <w:r/>
            <w:r>
              <w:rPr>
                <w:sz w:val="15"/>
              </w:rPr>
              <w:t>GOV→POL</w:t>
            </w:r>
          </w:p>
        </w:tc>
        <w:tc>
          <w:tcPr>
            <w:tcW w:type="dxa" w:w="1134"/>
          </w:tcPr>
          <w:p>
            <w:pPr>
              <w:spacing w:after="40" w:line="264" w:lineRule="auto"/>
            </w:pPr>
            <w:r/>
            <w:r>
              <w:rPr>
                <w:sz w:val="15"/>
              </w:rPr>
              <w:t>도출·이행된다</w:t>
            </w:r>
          </w:p>
        </w:tc>
        <w:tc>
          <w:tcPr>
            <w:tcW w:type="dxa" w:w="907"/>
          </w:tcPr>
          <w:p>
            <w:pPr>
              <w:spacing w:after="40" w:line="264" w:lineRule="auto"/>
            </w:pPr>
            <w:r/>
            <w:r>
              <w:rPr>
                <w:sz w:val="15"/>
              </w:rPr>
              <w:t>근거 보류</w:t>
            </w:r>
          </w:p>
        </w:tc>
        <w:tc>
          <w:tcPr>
            <w:tcW w:type="dxa" w:w="850"/>
          </w:tcPr>
          <w:p>
            <w:pPr>
              <w:spacing w:after="40" w:line="264" w:lineRule="auto"/>
            </w:pPr>
            <w:r/>
            <w:r>
              <w:rPr>
                <w:sz w:val="15"/>
              </w:rPr>
              <w:t>E3→E3</w:t>
            </w:r>
          </w:p>
        </w:tc>
        <w:tc>
          <w:tcPr>
            <w:tcW w:type="dxa" w:w="964"/>
          </w:tcPr>
          <w:p>
            <w:pPr>
              <w:spacing w:after="40" w:line="264" w:lineRule="auto"/>
            </w:pPr>
            <w:r/>
            <w:r>
              <w:rPr>
                <w:sz w:val="15"/>
              </w:rPr>
              <w:t>—</w:t>
            </w:r>
          </w:p>
        </w:tc>
        <w:tc>
          <w:tcPr>
            <w:tcW w:type="dxa" w:w="3912"/>
          </w:tcPr>
          <w:p>
            <w:pPr>
              <w:spacing w:after="40" w:line="264" w:lineRule="auto"/>
            </w:pPr>
            <w:r/>
            <w:r>
              <w:rPr>
                <w:sz w:val="15"/>
              </w:rPr>
              <w:t>Arias는 거버넌스(BCMS가 이해관계자의 목표·요구에 부합하도록 보장)와 정책관리(정책의 개발·유지·보존, 접근·이해 보장)를 각각 서술할 뿐 두 프로세스의 관계는 서술하지 않는다. Białas는 목표(objectives)와 정책(policy)을 "Plan" 단계의 병렬 항목으로 나열한다.</w:t>
              <w:br/>
              <w:t>[정규화] [연구자 가정] 정책이 경영진이 정한 BC 목표·방향에서 도출된다는 연결은 두 논문에 근거가 없다(이를 뒷받침하는 인용이 두 논문에 없음). 또한 Białas에서는 정책과 목표가 형제 항목이므로 Białas는 이 연결을 지지하지 않는다.</w:t>
              <w:br/>
              <w:t>[주의] 거버넌스 목표 정렬과 정책관리 설명만으로 GOV→POL의 직접 관계를 확정할 수 없다.</w:t>
            </w:r>
          </w:p>
        </w:tc>
      </w:tr>
      <w:tr>
        <w:tc>
          <w:tcPr>
            <w:tcW w:type="dxa" w:w="567"/>
            <w:shd w:val="clear" w:color="auto" w:fill="F3F6FA"/>
          </w:tcPr>
          <w:p>
            <w:pPr>
              <w:spacing w:after="40" w:line="264" w:lineRule="auto"/>
            </w:pPr>
            <w:r/>
            <w:r>
              <w:rPr>
                <w:sz w:val="15"/>
              </w:rPr>
              <w:t>L30</w:t>
            </w:r>
          </w:p>
        </w:tc>
        <w:tc>
          <w:tcPr>
            <w:tcW w:type="dxa" w:w="1077"/>
            <w:shd w:val="clear" w:color="auto" w:fill="F3F6FA"/>
          </w:tcPr>
          <w:p>
            <w:pPr>
              <w:spacing w:after="40" w:line="264" w:lineRule="auto"/>
            </w:pPr>
            <w:r/>
            <w:r>
              <w:rPr>
                <w:sz w:val="15"/>
              </w:rPr>
              <w:t>RES→CORE</w:t>
            </w:r>
          </w:p>
        </w:tc>
        <w:tc>
          <w:tcPr>
            <w:tcW w:type="dxa" w:w="1134"/>
            <w:shd w:val="clear" w:color="auto" w:fill="F3F6FA"/>
          </w:tcPr>
          <w:p>
            <w:pPr>
              <w:spacing w:after="40" w:line="264" w:lineRule="auto"/>
            </w:pPr>
            <w:r/>
            <w:r>
              <w:rPr>
                <w:sz w:val="15"/>
              </w:rPr>
              <w:t>제공한다</w:t>
            </w:r>
          </w:p>
        </w:tc>
        <w:tc>
          <w:tcPr>
            <w:tcW w:type="dxa" w:w="907"/>
            <w:shd w:val="clear" w:color="auto" w:fill="F3F6FA"/>
          </w:tcPr>
          <w:p>
            <w:pPr>
              <w:spacing w:after="40" w:line="264" w:lineRule="auto"/>
            </w:pPr>
            <w:r/>
            <w:r>
              <w:rPr>
                <w:sz w:val="15"/>
              </w:rPr>
              <w:t>집단 진술</w:t>
            </w:r>
          </w:p>
        </w:tc>
        <w:tc>
          <w:tcPr>
            <w:tcW w:type="dxa" w:w="850"/>
            <w:shd w:val="clear" w:color="auto" w:fill="F3F6FA"/>
          </w:tcPr>
          <w:p>
            <w:pPr>
              <w:spacing w:after="40" w:line="264" w:lineRule="auto"/>
            </w:pPr>
            <w:r/>
            <w:r>
              <w:rPr>
                <w:sz w:val="15"/>
              </w:rPr>
              <w:t>E1→E1</w:t>
            </w:r>
          </w:p>
        </w:tc>
        <w:tc>
          <w:tcPr>
            <w:tcW w:type="dxa" w:w="964"/>
            <w:shd w:val="clear" w:color="auto" w:fill="F3F6FA"/>
          </w:tcPr>
          <w:p>
            <w:pPr>
              <w:spacing w:after="40" w:line="264" w:lineRule="auto"/>
            </w:pPr>
            <w:r/>
            <w:r>
              <w:rPr>
                <w:sz w:val="15"/>
              </w:rPr>
              <w:t>A18 p.16</w:t>
            </w:r>
          </w:p>
        </w:tc>
        <w:tc>
          <w:tcPr>
            <w:tcW w:type="dxa" w:w="3912"/>
            <w:shd w:val="clear" w:color="auto" w:fill="F3F6FA"/>
          </w:tcPr>
          <w:p>
            <w:pPr>
              <w:spacing w:after="40" w:line="264" w:lineRule="auto"/>
            </w:pPr>
            <w:r/>
            <w:r>
              <w:rPr>
                <w:sz w:val="15"/>
              </w:rPr>
              <w:t>자원관리의 산출물에는 핵심 BCMS 프로세스 운영을 위한 자원과 BCMS 핵심 프로세스에 대한 자원 사용 보고가 포함된다.</w:t>
              <w:br/>
              <w:t>[정규화] [연구자 판단] 도착이 "핵심 BCMS 프로세스(복수)"이므로 집단 노드 CORE를 사용(L27과 동일 사유).</w:t>
              <w:br/>
              <w:t>[주의] core processes 대상 자원 공급의 집단 서술이다. CORE는 23번째 객체가 아니며 개별 쌍으로 임의 확장하지 않는다.</w:t>
            </w:r>
          </w:p>
        </w:tc>
      </w:tr>
      <w:tr>
        <w:tc>
          <w:tcPr>
            <w:tcW w:type="dxa" w:w="567"/>
          </w:tcPr>
          <w:p>
            <w:pPr>
              <w:spacing w:after="40" w:line="264" w:lineRule="auto"/>
            </w:pPr>
            <w:r/>
            <w:r>
              <w:rPr>
                <w:sz w:val="15"/>
              </w:rPr>
              <w:t>L31</w:t>
            </w:r>
          </w:p>
        </w:tc>
        <w:tc>
          <w:tcPr>
            <w:tcW w:type="dxa" w:w="1077"/>
          </w:tcPr>
          <w:p>
            <w:pPr>
              <w:spacing w:after="40" w:line="264" w:lineRule="auto"/>
            </w:pPr>
            <w:r/>
            <w:r>
              <w:rPr>
                <w:sz w:val="15"/>
              </w:rPr>
              <w:t>RES→CRM</w:t>
            </w:r>
          </w:p>
        </w:tc>
        <w:tc>
          <w:tcPr>
            <w:tcW w:type="dxa" w:w="1134"/>
          </w:tcPr>
          <w:p>
            <w:pPr>
              <w:spacing w:after="40" w:line="264" w:lineRule="auto"/>
            </w:pPr>
            <w:r/>
            <w:r>
              <w:rPr>
                <w:sz w:val="15"/>
              </w:rPr>
              <w:t>자원 사용 보고 제공</w:t>
            </w:r>
          </w:p>
        </w:tc>
        <w:tc>
          <w:tcPr>
            <w:tcW w:type="dxa" w:w="907"/>
          </w:tcPr>
          <w:p>
            <w:pPr>
              <w:spacing w:after="40" w:line="264" w:lineRule="auto"/>
            </w:pPr>
            <w:r/>
            <w:r>
              <w:rPr>
                <w:sz w:val="15"/>
              </w:rPr>
              <w:t>운영 후보</w:t>
            </w:r>
          </w:p>
        </w:tc>
        <w:tc>
          <w:tcPr>
            <w:tcW w:type="dxa" w:w="850"/>
          </w:tcPr>
          <w:p>
            <w:pPr>
              <w:spacing w:after="40" w:line="264" w:lineRule="auto"/>
            </w:pPr>
            <w:r/>
            <w:r>
              <w:rPr>
                <w:sz w:val="15"/>
              </w:rPr>
              <w:t>E1→E2</w:t>
            </w:r>
          </w:p>
        </w:tc>
        <w:tc>
          <w:tcPr>
            <w:tcW w:type="dxa" w:w="964"/>
          </w:tcPr>
          <w:p>
            <w:pPr>
              <w:spacing w:after="40" w:line="264" w:lineRule="auto"/>
            </w:pPr>
            <w:r/>
            <w:r>
              <w:rPr>
                <w:sz w:val="15"/>
              </w:rPr>
              <w:t>A18 p.16</w:t>
            </w:r>
          </w:p>
        </w:tc>
        <w:tc>
          <w:tcPr>
            <w:tcW w:type="dxa" w:w="3912"/>
          </w:tcPr>
          <w:p>
            <w:pPr>
              <w:spacing w:after="40" w:line="264" w:lineRule="auto"/>
            </w:pPr>
            <w:r/>
            <w:r>
              <w:rPr>
                <w:sz w:val="15"/>
              </w:rPr>
              <w:t>자원관리의 산출물에는 고객관계관리 프로세스에 대한 자원 사용 보고가 포함된다. 고객관계관리는 고객 만족의 운영적 관리와 BC 투자 가치의 지속적 입증을 수행한다.</w:t>
              <w:br/>
              <w:t>[정규화] 고객관계관리를 "고객 만족·BC 투자 가치 입증"으로 부르는 것은 CRM의 기능을 서술한 A32를 바탕으로 한 연구자의 지표화이며, 인용문이 "자원 보고가 가치 입증에 쓰인다"고 직접 말하는 것은 아니다.</w:t>
              <w:br/>
              <w:t>[주의] CRM에 대한 자원 사용 보고를 말한다. 자원 자체의 공급과 보고 공급을 구별한다.</w:t>
            </w:r>
          </w:p>
        </w:tc>
      </w:tr>
    </w:tbl>
    <w:p>
      <w:pPr>
        <w:spacing w:after="40"/>
      </w:pPr>
    </w:p>
    <w:p>
      <w:pPr>
        <w:pStyle w:val="Heading1"/>
      </w:pPr>
      <w:r>
        <w:t>부록 B. 인용 원문 72개 (Arias A01–A54, Białas B01–B18)</w:t>
      </w:r>
    </w:p>
    <w:p>
      <w:r>
        <w:rPr>
          <w:b w:val="0"/>
          <w:i w:val="0"/>
          <w:sz w:val="19"/>
        </w:rPr>
        <w:t>원문은 제공 PDF의 지정 쪽과 문자열 대조로 일치를 확인했다. 번역은 연구자의 참고 번역이다.</w:t>
      </w:r>
    </w:p>
    <w:tbl>
      <w:tblPr>
        <w:tblStyle w:val="TableGrid"/>
        <w:tblW w:type="auto" w:w="0"/>
        <w:jc w:val="center"/>
        <w:tblLayout w:type="fixed"/>
        <w:tblLook w:firstColumn="1" w:firstRow="1" w:lastColumn="0" w:lastRow="0" w:noHBand="0" w:noVBand="1" w:val="04A0"/>
      </w:tblPr>
      <w:tblGrid>
        <w:gridCol w:w="680"/>
        <w:gridCol w:w="1928"/>
        <w:gridCol w:w="6803"/>
      </w:tblGrid>
      <w:tr>
        <w:trPr>
          <w:tblHeader w:val="true"/>
        </w:trPr>
        <w:tc>
          <w:tcPr>
            <w:tcW w:type="dxa" w:w="680"/>
            <w:shd w:val="clear" w:color="auto" w:fill="14213D"/>
          </w:tcPr>
          <w:p>
            <w:pPr>
              <w:spacing w:after="40" w:line="264" w:lineRule="auto"/>
            </w:pPr>
            <w:r/>
            <w:r>
              <w:rPr>
                <w:b/>
                <w:color w:val="FFFFFF"/>
                <w:sz w:val="15"/>
              </w:rPr>
              <w:t>ID</w:t>
            </w:r>
          </w:p>
        </w:tc>
        <w:tc>
          <w:tcPr>
            <w:tcW w:type="dxa" w:w="1928"/>
            <w:shd w:val="clear" w:color="auto" w:fill="14213D"/>
          </w:tcPr>
          <w:p>
            <w:pPr>
              <w:spacing w:after="40" w:line="264" w:lineRule="auto"/>
            </w:pPr>
            <w:r/>
            <w:r>
              <w:rPr>
                <w:b/>
                <w:color w:val="FFFFFF"/>
                <w:sz w:val="15"/>
              </w:rPr>
              <w:t>쪽·절</w:t>
            </w:r>
          </w:p>
        </w:tc>
        <w:tc>
          <w:tcPr>
            <w:tcW w:type="dxa" w:w="6803"/>
            <w:shd w:val="clear" w:color="auto" w:fill="14213D"/>
          </w:tcPr>
          <w:p>
            <w:pPr>
              <w:spacing w:after="40" w:line="264" w:lineRule="auto"/>
            </w:pPr>
            <w:r/>
            <w:r>
              <w:rPr>
                <w:b/>
                <w:color w:val="FFFFFF"/>
                <w:sz w:val="15"/>
              </w:rPr>
              <w:t>제공 원문 / 참고 번역</w:t>
            </w:r>
          </w:p>
        </w:tc>
      </w:tr>
      <w:tr>
        <w:tc>
          <w:tcPr>
            <w:tcW w:type="dxa" w:w="680"/>
          </w:tcPr>
          <w:p>
            <w:pPr>
              <w:spacing w:after="40" w:line="264" w:lineRule="auto"/>
            </w:pPr>
            <w:r/>
            <w:r>
              <w:rPr>
                <w:sz w:val="15"/>
              </w:rPr>
              <w:t>A01</w:t>
            </w:r>
          </w:p>
        </w:tc>
        <w:tc>
          <w:tcPr>
            <w:tcW w:type="dxa" w:w="1928"/>
          </w:tcPr>
          <w:p>
            <w:pPr>
              <w:spacing w:after="40" w:line="264" w:lineRule="auto"/>
            </w:pPr>
            <w:r/>
            <w:r>
              <w:rPr>
                <w:sz w:val="15"/>
              </w:rPr>
              <w:t>Arias p.4 §2.1</w:t>
            </w:r>
          </w:p>
        </w:tc>
        <w:tc>
          <w:tcPr>
            <w:tcW w:type="dxa" w:w="6803"/>
          </w:tcPr>
          <w:p>
            <w:pPr>
              <w:spacing w:after="40" w:line="264" w:lineRule="auto"/>
            </w:pPr>
            <w:r/>
            <w:r>
              <w:rPr>
                <w:sz w:val="15"/>
              </w:rPr>
              <w:t>Activities utilizing resources must be managed to convert inputs into outputs through a series of interconnected or interacting activities, also called processes</w:t>
              <w:br/>
              <w:t>→ 자원을 사용하는 활동은 입력을 출력으로 전환하는, 상호 연결되거나 상호작용하는 일련의 활동, 즉 프로세스를 통해 관리되어야 한다.</w:t>
            </w:r>
          </w:p>
        </w:tc>
      </w:tr>
      <w:tr>
        <w:tc>
          <w:tcPr>
            <w:tcW w:type="dxa" w:w="680"/>
            <w:shd w:val="clear" w:color="auto" w:fill="F3F6FA"/>
          </w:tcPr>
          <w:p>
            <w:pPr>
              <w:spacing w:after="40" w:line="264" w:lineRule="auto"/>
            </w:pPr>
            <w:r/>
            <w:r>
              <w:rPr>
                <w:sz w:val="15"/>
              </w:rPr>
              <w:t>A02</w:t>
            </w:r>
          </w:p>
        </w:tc>
        <w:tc>
          <w:tcPr>
            <w:tcW w:type="dxa" w:w="1928"/>
            <w:shd w:val="clear" w:color="auto" w:fill="F3F6FA"/>
          </w:tcPr>
          <w:p>
            <w:pPr>
              <w:spacing w:after="40" w:line="264" w:lineRule="auto"/>
            </w:pPr>
            <w:r/>
            <w:r>
              <w:rPr>
                <w:sz w:val="15"/>
              </w:rPr>
              <w:t>Arias p.5 §2.1 (ISO/IEC 33004 기준 4)</w:t>
            </w:r>
          </w:p>
        </w:tc>
        <w:tc>
          <w:tcPr>
            <w:tcW w:type="dxa" w:w="6803"/>
            <w:shd w:val="clear" w:color="auto" w:fill="F3F6FA"/>
          </w:tcPr>
          <w:p>
            <w:pPr>
              <w:spacing w:after="40" w:line="264" w:lineRule="auto"/>
            </w:pPr>
            <w:r/>
            <w:r>
              <w:rPr>
                <w:sz w:val="15"/>
              </w:rPr>
              <w:t>A process reference model should delineate the interconnections among the processes outlined within it.</w:t>
              <w:br/>
              <w:t>→ 프로세스 참조모델은 그 안에 기술된 프로세스들 사이의 상호 연결을 명시해야 한다.</w:t>
            </w:r>
          </w:p>
        </w:tc>
      </w:tr>
      <w:tr>
        <w:tc>
          <w:tcPr>
            <w:tcW w:type="dxa" w:w="680"/>
          </w:tcPr>
          <w:p>
            <w:pPr>
              <w:spacing w:after="40" w:line="264" w:lineRule="auto"/>
            </w:pPr>
            <w:r/>
            <w:r>
              <w:rPr>
                <w:sz w:val="15"/>
              </w:rPr>
              <w:t>A03</w:t>
            </w:r>
          </w:p>
        </w:tc>
        <w:tc>
          <w:tcPr>
            <w:tcW w:type="dxa" w:w="1928"/>
          </w:tcPr>
          <w:p>
            <w:pPr>
              <w:spacing w:after="40" w:line="264" w:lineRule="auto"/>
            </w:pPr>
            <w:r/>
            <w:r>
              <w:rPr>
                <w:sz w:val="15"/>
              </w:rPr>
              <w:t>Arias p.3 §1</w:t>
            </w:r>
          </w:p>
        </w:tc>
        <w:tc>
          <w:tcPr>
            <w:tcW w:type="dxa" w:w="6803"/>
          </w:tcPr>
          <w:p>
            <w:pPr>
              <w:spacing w:after="40" w:line="264" w:lineRule="auto"/>
            </w:pPr>
            <w:r/>
            <w:r>
              <w:rPr>
                <w:sz w:val="15"/>
              </w:rPr>
              <w:t>A detailed reference model outlining BCMS processes—including inputs, outputs, interfaces, and interactions at the activity level—facilitates optimal coordination of these processes.</w:t>
              <w:br/>
              <w:t>→ BCMS 프로세스를 활동 수준의 입력·출력·인터페이스·상호작용까지 상세히 기술한 참조모델은 이들 프로세스의 최적 조정을 촉진한다.</w:t>
            </w:r>
          </w:p>
        </w:tc>
      </w:tr>
      <w:tr>
        <w:tc>
          <w:tcPr>
            <w:tcW w:type="dxa" w:w="680"/>
            <w:shd w:val="clear" w:color="auto" w:fill="F3F6FA"/>
          </w:tcPr>
          <w:p>
            <w:pPr>
              <w:spacing w:after="40" w:line="264" w:lineRule="auto"/>
            </w:pPr>
            <w:r/>
            <w:r>
              <w:rPr>
                <w:sz w:val="15"/>
              </w:rPr>
              <w:t>A04</w:t>
            </w:r>
          </w:p>
        </w:tc>
        <w:tc>
          <w:tcPr>
            <w:tcW w:type="dxa" w:w="1928"/>
            <w:shd w:val="clear" w:color="auto" w:fill="F3F6FA"/>
          </w:tcPr>
          <w:p>
            <w:pPr>
              <w:spacing w:after="40" w:line="264" w:lineRule="auto"/>
            </w:pPr>
            <w:r/>
            <w:r>
              <w:rPr>
                <w:sz w:val="15"/>
              </w:rPr>
              <w:t>Arias p.6 §2.2 (ISO 22301 Clause 4.4)</w:t>
            </w:r>
          </w:p>
        </w:tc>
        <w:tc>
          <w:tcPr>
            <w:tcW w:type="dxa" w:w="6803"/>
            <w:shd w:val="clear" w:color="auto" w:fill="F3F6FA"/>
          </w:tcPr>
          <w:p>
            <w:pPr>
              <w:spacing w:after="40" w:line="264" w:lineRule="auto"/>
            </w:pPr>
            <w:r/>
            <w:r>
              <w:rPr>
                <w:sz w:val="15"/>
              </w:rPr>
              <w:t>taking into account their order, interactions, inputs, outputs, resources, and assigned roles</w:t>
              <w:br/>
              <w:t>→ (BCMS 프로세스를 정의·이행·유지할 때) 프로세스의 순서, 상호작용, 입력, 출력, 자원, 부여된 역할을 고려한다.</w:t>
            </w:r>
          </w:p>
        </w:tc>
      </w:tr>
      <w:tr>
        <w:tc>
          <w:tcPr>
            <w:tcW w:type="dxa" w:w="680"/>
          </w:tcPr>
          <w:p>
            <w:pPr>
              <w:spacing w:after="40" w:line="264" w:lineRule="auto"/>
            </w:pPr>
            <w:r/>
            <w:r>
              <w:rPr>
                <w:sz w:val="15"/>
              </w:rPr>
              <w:t>A05</w:t>
            </w:r>
          </w:p>
        </w:tc>
        <w:tc>
          <w:tcPr>
            <w:tcW w:type="dxa" w:w="1928"/>
          </w:tcPr>
          <w:p>
            <w:pPr>
              <w:spacing w:after="40" w:line="264" w:lineRule="auto"/>
            </w:pPr>
            <w:r/>
            <w:r>
              <w:rPr>
                <w:sz w:val="15"/>
              </w:rPr>
              <w:t>Arias p.2 §1</w:t>
            </w:r>
          </w:p>
        </w:tc>
        <w:tc>
          <w:tcPr>
            <w:tcW w:type="dxa" w:w="6803"/>
          </w:tcPr>
          <w:p>
            <w:pPr>
              <w:spacing w:after="40" w:line="264" w:lineRule="auto"/>
            </w:pPr>
            <w:r/>
            <w:r>
              <w:rPr>
                <w:sz w:val="15"/>
              </w:rPr>
              <w:t>Organizations often struggle with performing a checklist approach regarding the BCMS requirements because it does not necessarily lead to a sustainable operated management system.</w:t>
              <w:br/>
              <w:t>→ 조직은 BCMS 요구사항에 대해 체크리스트 방식을 수행하는 데 종종 어려움을 겪는데, 이는 지속 가능하게 운영되는 경영시스템으로 반드시 이어지지 않기 때문이다.</w:t>
            </w:r>
          </w:p>
        </w:tc>
      </w:tr>
      <w:tr>
        <w:tc>
          <w:tcPr>
            <w:tcW w:type="dxa" w:w="680"/>
            <w:shd w:val="clear" w:color="auto" w:fill="F3F6FA"/>
          </w:tcPr>
          <w:p>
            <w:pPr>
              <w:spacing w:after="40" w:line="264" w:lineRule="auto"/>
            </w:pPr>
            <w:r/>
            <w:r>
              <w:rPr>
                <w:sz w:val="15"/>
              </w:rPr>
              <w:t>A06</w:t>
            </w:r>
          </w:p>
        </w:tc>
        <w:tc>
          <w:tcPr>
            <w:tcW w:type="dxa" w:w="1928"/>
            <w:shd w:val="clear" w:color="auto" w:fill="F3F6FA"/>
          </w:tcPr>
          <w:p>
            <w:pPr>
              <w:spacing w:after="40" w:line="264" w:lineRule="auto"/>
            </w:pPr>
            <w:r/>
            <w:r>
              <w:rPr>
                <w:sz w:val="15"/>
              </w:rPr>
              <w:t>Arias p.3-4 §1</w:t>
            </w:r>
          </w:p>
        </w:tc>
        <w:tc>
          <w:tcPr>
            <w:tcW w:type="dxa" w:w="6803"/>
            <w:shd w:val="clear" w:color="auto" w:fill="F3F6FA"/>
          </w:tcPr>
          <w:p>
            <w:pPr>
              <w:spacing w:after="40" w:line="264" w:lineRule="auto"/>
            </w:pPr>
            <w:r/>
            <w:r>
              <w:rPr>
                <w:sz w:val="15"/>
              </w:rPr>
              <w:t>including process descriptions (process profiles) and process flow charts, though the latter are omitted here to maintain the scope of the paper</w:t>
              <w:br/>
              <w:t>→ (참조모델 결과물에는) 프로세스 설명(프로세스 프로파일)과 프로세스 흐름도가 포함되나, 후자는 논문 범위 유지를 위해 여기서는 생략한다.</w:t>
            </w:r>
          </w:p>
        </w:tc>
      </w:tr>
      <w:tr>
        <w:tc>
          <w:tcPr>
            <w:tcW w:type="dxa" w:w="680"/>
          </w:tcPr>
          <w:p>
            <w:pPr>
              <w:spacing w:after="40" w:line="264" w:lineRule="auto"/>
            </w:pPr>
            <w:r/>
            <w:r>
              <w:rPr>
                <w:sz w:val="15"/>
              </w:rPr>
              <w:t>A07</w:t>
            </w:r>
          </w:p>
        </w:tc>
        <w:tc>
          <w:tcPr>
            <w:tcW w:type="dxa" w:w="1928"/>
          </w:tcPr>
          <w:p>
            <w:pPr>
              <w:spacing w:after="40" w:line="264" w:lineRule="auto"/>
            </w:pPr>
            <w:r/>
            <w:r>
              <w:rPr>
                <w:sz w:val="15"/>
              </w:rPr>
              <w:t>Arias p.18 §5</w:t>
            </w:r>
          </w:p>
        </w:tc>
        <w:tc>
          <w:tcPr>
            <w:tcW w:type="dxa" w:w="6803"/>
          </w:tcPr>
          <w:p>
            <w:pPr>
              <w:spacing w:after="40" w:line="264" w:lineRule="auto"/>
            </w:pPr>
            <w:r/>
            <w:r>
              <w:rPr>
                <w:sz w:val="15"/>
              </w:rPr>
              <w:t>A key finding of this pilot initiative is the reinforcement of the systemic nature of the BCMS, emphasizing the interplay between processes and the roles within the BCMS framework.</w:t>
              <w:br/>
              <w:t>→ 이 시범사업의 핵심 발견은 BCMS의 체계적 성격이 강화되었다는 점이며, BCMS 틀 안에서 프로세스와 역할 간의 상호작용이 강조된다.</w:t>
            </w:r>
          </w:p>
        </w:tc>
      </w:tr>
      <w:tr>
        <w:tc>
          <w:tcPr>
            <w:tcW w:type="dxa" w:w="680"/>
            <w:shd w:val="clear" w:color="auto" w:fill="F3F6FA"/>
          </w:tcPr>
          <w:p>
            <w:pPr>
              <w:spacing w:after="40" w:line="264" w:lineRule="auto"/>
            </w:pPr>
            <w:r/>
            <w:r>
              <w:rPr>
                <w:sz w:val="15"/>
              </w:rPr>
              <w:t>A08</w:t>
            </w:r>
          </w:p>
        </w:tc>
        <w:tc>
          <w:tcPr>
            <w:tcW w:type="dxa" w:w="1928"/>
            <w:shd w:val="clear" w:color="auto" w:fill="F3F6FA"/>
          </w:tcPr>
          <w:p>
            <w:pPr>
              <w:spacing w:after="40" w:line="264" w:lineRule="auto"/>
            </w:pPr>
            <w:r/>
            <w:r>
              <w:rPr>
                <w:sz w:val="15"/>
              </w:rPr>
              <w:t>Arias p.17 §5</w:t>
            </w:r>
          </w:p>
        </w:tc>
        <w:tc>
          <w:tcPr>
            <w:tcW w:type="dxa" w:w="6803"/>
            <w:shd w:val="clear" w:color="auto" w:fill="F3F6FA"/>
          </w:tcPr>
          <w:p>
            <w:pPr>
              <w:spacing w:after="40" w:line="264" w:lineRule="auto"/>
            </w:pPr>
            <w:r/>
            <w:r>
              <w:rPr>
                <w:sz w:val="15"/>
              </w:rPr>
              <w:t>An unmodified application of the BCMS process reference model is inadequate; customization of BCMS processes according to the organization's specific needs is imperative.</w:t>
              <w:br/>
              <w:t>→ BCMS 프로세스 참조모델을 수정 없이 적용하는 것은 부적절하며, 조직의 요구에 맞춘 BCMS 프로세스의 맞춤화가 필수적이다.</w:t>
            </w:r>
          </w:p>
        </w:tc>
      </w:tr>
      <w:tr>
        <w:tc>
          <w:tcPr>
            <w:tcW w:type="dxa" w:w="680"/>
          </w:tcPr>
          <w:p>
            <w:pPr>
              <w:spacing w:after="40" w:line="264" w:lineRule="auto"/>
            </w:pPr>
            <w:r/>
            <w:r>
              <w:rPr>
                <w:sz w:val="15"/>
              </w:rPr>
              <w:t>A09</w:t>
            </w:r>
          </w:p>
        </w:tc>
        <w:tc>
          <w:tcPr>
            <w:tcW w:type="dxa" w:w="1928"/>
          </w:tcPr>
          <w:p>
            <w:pPr>
              <w:spacing w:after="40" w:line="264" w:lineRule="auto"/>
            </w:pPr>
            <w:r/>
            <w:r>
              <w:rPr>
                <w:sz w:val="15"/>
              </w:rPr>
              <w:t>Arias p.10 Figure 4</w:t>
            </w:r>
          </w:p>
        </w:tc>
        <w:tc>
          <w:tcPr>
            <w:tcW w:type="dxa" w:w="6803"/>
          </w:tcPr>
          <w:p>
            <w:pPr>
              <w:spacing w:after="40" w:line="264" w:lineRule="auto"/>
            </w:pPr>
            <w:r/>
            <w:r>
              <w:rPr>
                <w:sz w:val="15"/>
              </w:rPr>
              <w:t>Regularity – interrelated and interacting tasks are repeated on a regular basis.</w:t>
              <w:br/>
              <w:t>→ 규칙성 – 상호 관련되고 상호작용하는 과업이 정기적으로 반복된다.</w:t>
            </w:r>
          </w:p>
        </w:tc>
      </w:tr>
      <w:tr>
        <w:tc>
          <w:tcPr>
            <w:tcW w:type="dxa" w:w="680"/>
            <w:shd w:val="clear" w:color="auto" w:fill="F3F6FA"/>
          </w:tcPr>
          <w:p>
            <w:pPr>
              <w:spacing w:after="40" w:line="264" w:lineRule="auto"/>
            </w:pPr>
            <w:r/>
            <w:r>
              <w:rPr>
                <w:sz w:val="15"/>
              </w:rPr>
              <w:t>A10</w:t>
            </w:r>
          </w:p>
        </w:tc>
        <w:tc>
          <w:tcPr>
            <w:tcW w:type="dxa" w:w="1928"/>
            <w:shd w:val="clear" w:color="auto" w:fill="F3F6FA"/>
          </w:tcPr>
          <w:p>
            <w:pPr>
              <w:spacing w:after="40" w:line="264" w:lineRule="auto"/>
            </w:pPr>
            <w:r/>
            <w:r>
              <w:rPr>
                <w:sz w:val="15"/>
              </w:rPr>
              <w:t>Arias p.10 Figure 4</w:t>
            </w:r>
          </w:p>
        </w:tc>
        <w:tc>
          <w:tcPr>
            <w:tcW w:type="dxa" w:w="6803"/>
            <w:shd w:val="clear" w:color="auto" w:fill="F3F6FA"/>
          </w:tcPr>
          <w:p>
            <w:pPr>
              <w:spacing w:after="40" w:line="264" w:lineRule="auto"/>
            </w:pPr>
            <w:r/>
            <w:r>
              <w:rPr>
                <w:sz w:val="15"/>
              </w:rPr>
              <w:t>Accountability/responsibility – business continuity manager is the process owner or process manager and the process is a core competency of the BCMS.</w:t>
              <w:br/>
              <w:t>→ 책임성 – 업무연속성 관리자가 프로세스 소유자 또는 관리자이며 해당 프로세스는 BCMS의 핵심 역량이다.</w:t>
            </w:r>
          </w:p>
        </w:tc>
      </w:tr>
      <w:tr>
        <w:tc>
          <w:tcPr>
            <w:tcW w:type="dxa" w:w="680"/>
          </w:tcPr>
          <w:p>
            <w:pPr>
              <w:spacing w:after="40" w:line="264" w:lineRule="auto"/>
            </w:pPr>
            <w:r/>
            <w:r>
              <w:rPr>
                <w:sz w:val="15"/>
              </w:rPr>
              <w:t>A11</w:t>
            </w:r>
          </w:p>
        </w:tc>
        <w:tc>
          <w:tcPr>
            <w:tcW w:type="dxa" w:w="1928"/>
          </w:tcPr>
          <w:p>
            <w:pPr>
              <w:spacing w:after="40" w:line="264" w:lineRule="auto"/>
            </w:pPr>
            <w:r/>
            <w:r>
              <w:rPr>
                <w:sz w:val="15"/>
              </w:rPr>
              <w:t>Arias p.15 §4.3</w:t>
            </w:r>
          </w:p>
        </w:tc>
        <w:tc>
          <w:tcPr>
            <w:tcW w:type="dxa" w:w="6803"/>
          </w:tcPr>
          <w:p>
            <w:pPr>
              <w:spacing w:after="40" w:line="264" w:lineRule="auto"/>
            </w:pPr>
            <w:r/>
            <w:r>
              <w:rPr>
                <w:sz w:val="15"/>
              </w:rPr>
              <w:t>These requirements inform processes such as business impact assessment and criticality analysis, risk assessment, internal audits, and supply chain management.</w:t>
              <w:br/>
              <w:t>→ 이 요구사항들은 BIA·중요도 분석, 리스크평가, 내부감사, 공급망관리와 같은 프로세스에 정보를 제공한다.</w:t>
            </w:r>
          </w:p>
        </w:tc>
      </w:tr>
      <w:tr>
        <w:tc>
          <w:tcPr>
            <w:tcW w:type="dxa" w:w="680"/>
            <w:shd w:val="clear" w:color="auto" w:fill="F3F6FA"/>
          </w:tcPr>
          <w:p>
            <w:pPr>
              <w:spacing w:after="40" w:line="264" w:lineRule="auto"/>
            </w:pPr>
            <w:r/>
            <w:r>
              <w:rPr>
                <w:sz w:val="15"/>
              </w:rPr>
              <w:t>A12</w:t>
            </w:r>
          </w:p>
        </w:tc>
        <w:tc>
          <w:tcPr>
            <w:tcW w:type="dxa" w:w="1928"/>
            <w:shd w:val="clear" w:color="auto" w:fill="F3F6FA"/>
          </w:tcPr>
          <w:p>
            <w:pPr>
              <w:spacing w:after="40" w:line="264" w:lineRule="auto"/>
            </w:pPr>
            <w:r/>
            <w:r>
              <w:rPr>
                <w:sz w:val="15"/>
              </w:rPr>
              <w:t>Arias p.15 §4.3</w:t>
            </w:r>
          </w:p>
        </w:tc>
        <w:tc>
          <w:tcPr>
            <w:tcW w:type="dxa" w:w="6803"/>
            <w:shd w:val="clear" w:color="auto" w:fill="F3F6FA"/>
          </w:tcPr>
          <w:p>
            <w:pPr>
              <w:spacing w:after="40" w:line="264" w:lineRule="auto"/>
            </w:pPr>
            <w:r/>
            <w:r>
              <w:rPr>
                <w:sz w:val="15"/>
              </w:rPr>
              <w:t>The risk assessment process, which focuses on identifying potential disruptions, relies on the outcomes of the business impact assessment and criticality analysis as its foundation.</w:t>
              <w:br/>
              <w:t>→ 잠재적 중단을 식별하는 데 초점을 둔 리스크평가 프로세스는 BIA·중요도 분석의 결과를 기반으로 한다.</w:t>
            </w:r>
          </w:p>
        </w:tc>
      </w:tr>
      <w:tr>
        <w:tc>
          <w:tcPr>
            <w:tcW w:type="dxa" w:w="680"/>
          </w:tcPr>
          <w:p>
            <w:pPr>
              <w:spacing w:after="40" w:line="264" w:lineRule="auto"/>
            </w:pPr>
            <w:r/>
            <w:r>
              <w:rPr>
                <w:sz w:val="15"/>
              </w:rPr>
              <w:t>A13</w:t>
            </w:r>
          </w:p>
        </w:tc>
        <w:tc>
          <w:tcPr>
            <w:tcW w:type="dxa" w:w="1928"/>
          </w:tcPr>
          <w:p>
            <w:pPr>
              <w:spacing w:after="40" w:line="264" w:lineRule="auto"/>
            </w:pPr>
            <w:r/>
            <w:r>
              <w:rPr>
                <w:sz w:val="15"/>
              </w:rPr>
              <w:t>Arias p.15 §4.3</w:t>
            </w:r>
          </w:p>
        </w:tc>
        <w:tc>
          <w:tcPr>
            <w:tcW w:type="dxa" w:w="6803"/>
          </w:tcPr>
          <w:p>
            <w:pPr>
              <w:spacing w:after="40" w:line="264" w:lineRule="auto"/>
            </w:pPr>
            <w:r/>
            <w:r>
              <w:rPr>
                <w:sz w:val="15"/>
              </w:rPr>
              <w:t>The final result is a documented statement accompanied by a rationale outlining the organization's business continuity requirements.</w:t>
              <w:br/>
              <w:t>→ 최종 결과는 조직의 업무연속성 요구사항을 개괄하는, 근거가 첨부된 문서화된 진술이다.</w:t>
            </w:r>
          </w:p>
        </w:tc>
      </w:tr>
      <w:tr>
        <w:tc>
          <w:tcPr>
            <w:tcW w:type="dxa" w:w="680"/>
            <w:shd w:val="clear" w:color="auto" w:fill="F3F6FA"/>
          </w:tcPr>
          <w:p>
            <w:pPr>
              <w:spacing w:after="40" w:line="264" w:lineRule="auto"/>
            </w:pPr>
            <w:r/>
            <w:r>
              <w:rPr>
                <w:sz w:val="15"/>
              </w:rPr>
              <w:t>A14</w:t>
            </w:r>
          </w:p>
        </w:tc>
        <w:tc>
          <w:tcPr>
            <w:tcW w:type="dxa" w:w="1928"/>
            <w:shd w:val="clear" w:color="auto" w:fill="F3F6FA"/>
          </w:tcPr>
          <w:p>
            <w:pPr>
              <w:spacing w:after="40" w:line="264" w:lineRule="auto"/>
            </w:pPr>
            <w:r/>
            <w:r>
              <w:rPr>
                <w:sz w:val="15"/>
              </w:rPr>
              <w:t>Arias p.15 §4.3</w:t>
            </w:r>
          </w:p>
        </w:tc>
        <w:tc>
          <w:tcPr>
            <w:tcW w:type="dxa" w:w="6803"/>
            <w:shd w:val="clear" w:color="auto" w:fill="F3F6FA"/>
          </w:tcPr>
          <w:p>
            <w:pPr>
              <w:spacing w:after="40" w:line="264" w:lineRule="auto"/>
            </w:pPr>
            <w:r/>
            <w:r>
              <w:rPr>
                <w:sz w:val="15"/>
              </w:rPr>
              <w:t>After the completion of the business impact assessment and criticality analysis process, the approved business continuity requirements guide the determination and selection of suitable BC strategies and solutions</w:t>
              <w:br/>
              <w:t>→ BIA·중요도 분석 프로세스가 완료된 후, 승인된 업무연속성 요구사항이 적절한 BC 전략·솔루션의 결정과 선정을 안내한다.</w:t>
            </w:r>
          </w:p>
        </w:tc>
      </w:tr>
      <w:tr>
        <w:tc>
          <w:tcPr>
            <w:tcW w:type="dxa" w:w="680"/>
          </w:tcPr>
          <w:p>
            <w:pPr>
              <w:spacing w:after="40" w:line="264" w:lineRule="auto"/>
            </w:pPr>
            <w:r/>
            <w:r>
              <w:rPr>
                <w:sz w:val="15"/>
              </w:rPr>
              <w:t>A15</w:t>
            </w:r>
          </w:p>
        </w:tc>
        <w:tc>
          <w:tcPr>
            <w:tcW w:type="dxa" w:w="1928"/>
          </w:tcPr>
          <w:p>
            <w:pPr>
              <w:spacing w:after="40" w:line="264" w:lineRule="auto"/>
            </w:pPr>
            <w:r/>
            <w:r>
              <w:rPr>
                <w:sz w:val="15"/>
              </w:rPr>
              <w:t>Arias p.15 §4.3</w:t>
            </w:r>
          </w:p>
        </w:tc>
        <w:tc>
          <w:tcPr>
            <w:tcW w:type="dxa" w:w="6803"/>
          </w:tcPr>
          <w:p>
            <w:pPr>
              <w:spacing w:after="40" w:line="264" w:lineRule="auto"/>
            </w:pPr>
            <w:r/>
            <w:r>
              <w:rPr>
                <w:sz w:val="15"/>
              </w:rPr>
              <w:t>This process ensures that the BC strategies, solutions, and necessary changes are executed as planned.</w:t>
              <w:br/>
              <w:t>→ 이 프로세스는 BC 전략, 솔루션 및 필요한 변경이 계획대로 실행되도록 보장한다.</w:t>
            </w:r>
          </w:p>
        </w:tc>
      </w:tr>
      <w:tr>
        <w:tc>
          <w:tcPr>
            <w:tcW w:type="dxa" w:w="680"/>
            <w:shd w:val="clear" w:color="auto" w:fill="F3F6FA"/>
          </w:tcPr>
          <w:p>
            <w:pPr>
              <w:spacing w:after="40" w:line="264" w:lineRule="auto"/>
            </w:pPr>
            <w:r/>
            <w:r>
              <w:rPr>
                <w:sz w:val="15"/>
              </w:rPr>
              <w:t>A16</w:t>
            </w:r>
          </w:p>
        </w:tc>
        <w:tc>
          <w:tcPr>
            <w:tcW w:type="dxa" w:w="1928"/>
            <w:shd w:val="clear" w:color="auto" w:fill="F3F6FA"/>
          </w:tcPr>
          <w:p>
            <w:pPr>
              <w:spacing w:after="40" w:line="264" w:lineRule="auto"/>
            </w:pPr>
            <w:r/>
            <w:r>
              <w:rPr>
                <w:sz w:val="15"/>
              </w:rPr>
              <w:t>Arias p.15 §4.3</w:t>
            </w:r>
          </w:p>
        </w:tc>
        <w:tc>
          <w:tcPr>
            <w:tcW w:type="dxa" w:w="6803"/>
            <w:shd w:val="clear" w:color="auto" w:fill="F3F6FA"/>
          </w:tcPr>
          <w:p>
            <w:pPr>
              <w:spacing w:after="40" w:line="264" w:lineRule="auto"/>
            </w:pPr>
            <w:r/>
            <w:r>
              <w:rPr>
                <w:sz w:val="15"/>
              </w:rPr>
              <w:t>Corresponding BC plans and procedures, derived from the identified BC strategies and solutions, are developed within the process of developing BC plans and procedures.</w:t>
              <w:br/>
              <w:t>→ 식별된 BC 전략·솔루션에서 도출된 해당 BC 계획·절차는 BC 계획·절차 개발 프로세스 안에서 개발된다.</w:t>
            </w:r>
          </w:p>
        </w:tc>
      </w:tr>
      <w:tr>
        <w:tc>
          <w:tcPr>
            <w:tcW w:type="dxa" w:w="680"/>
          </w:tcPr>
          <w:p>
            <w:pPr>
              <w:spacing w:after="40" w:line="264" w:lineRule="auto"/>
            </w:pPr>
            <w:r/>
            <w:r>
              <w:rPr>
                <w:sz w:val="15"/>
              </w:rPr>
              <w:t>A17</w:t>
            </w:r>
          </w:p>
        </w:tc>
        <w:tc>
          <w:tcPr>
            <w:tcW w:type="dxa" w:w="1928"/>
          </w:tcPr>
          <w:p>
            <w:pPr>
              <w:spacing w:after="40" w:line="264" w:lineRule="auto"/>
            </w:pPr>
            <w:r/>
            <w:r>
              <w:rPr>
                <w:sz w:val="15"/>
              </w:rPr>
              <w:t>Arias p.15 §4.3</w:t>
            </w:r>
          </w:p>
        </w:tc>
        <w:tc>
          <w:tcPr>
            <w:tcW w:type="dxa" w:w="6803"/>
          </w:tcPr>
          <w:p>
            <w:pPr>
              <w:spacing w:after="40" w:line="264" w:lineRule="auto"/>
            </w:pPr>
            <w:r/>
            <w:r>
              <w:rPr>
                <w:sz w:val="15"/>
              </w:rPr>
              <w:t>Furthermore, it includes risks associated with proposed changes, providing essential input for both communication activities and the development of business continuity plans and procedures.</w:t>
              <w:br/>
              <w:t>→ 또한 (리스크평가는) 제안된 변경과 관련된 리스크를 포함하며, 커뮤니케이션 활동과 업무연속성 계획·절차 개발 모두에 필수적인 입력을 제공한다.</w:t>
            </w:r>
          </w:p>
        </w:tc>
      </w:tr>
      <w:tr>
        <w:tc>
          <w:tcPr>
            <w:tcW w:type="dxa" w:w="680"/>
            <w:shd w:val="clear" w:color="auto" w:fill="F3F6FA"/>
          </w:tcPr>
          <w:p>
            <w:pPr>
              <w:spacing w:after="40" w:line="264" w:lineRule="auto"/>
            </w:pPr>
            <w:r/>
            <w:r>
              <w:rPr>
                <w:sz w:val="15"/>
              </w:rPr>
              <w:t>A18</w:t>
            </w:r>
          </w:p>
        </w:tc>
        <w:tc>
          <w:tcPr>
            <w:tcW w:type="dxa" w:w="1928"/>
            <w:shd w:val="clear" w:color="auto" w:fill="F3F6FA"/>
          </w:tcPr>
          <w:p>
            <w:pPr>
              <w:spacing w:after="40" w:line="264" w:lineRule="auto"/>
            </w:pPr>
            <w:r/>
            <w:r>
              <w:rPr>
                <w:sz w:val="15"/>
              </w:rPr>
              <w:t>Arias p.16 §4.3</w:t>
            </w:r>
          </w:p>
        </w:tc>
        <w:tc>
          <w:tcPr>
            <w:tcW w:type="dxa" w:w="6803"/>
            <w:shd w:val="clear" w:color="auto" w:fill="F3F6FA"/>
          </w:tcPr>
          <w:p>
            <w:pPr>
              <w:spacing w:after="40" w:line="264" w:lineRule="auto"/>
            </w:pPr>
            <w:r/>
            <w:r>
              <w:rPr>
                <w:sz w:val="15"/>
              </w:rPr>
              <w:t>Outputs from this process include documented resources for implementing and running selected strategies, as well as resources for operating core BCMS processes, along with reports on resource utilization for BCMS core processes and the customer relationship management process</w:t>
              <w:br/>
              <w:t>→ 이 프로세스(자원관리)의 산출물에는 선정된 전략의 이행·운영을 위한 문서화된 자원, 핵심 BCMS 프로세스 운영을 위한 자원, 그리고 BCMS 핵심 프로세스와 고객관계관리 프로세스에 대한 자원 사용 보고가 포함된다.</w:t>
            </w:r>
          </w:p>
        </w:tc>
      </w:tr>
      <w:tr>
        <w:tc>
          <w:tcPr>
            <w:tcW w:type="dxa" w:w="680"/>
          </w:tcPr>
          <w:p>
            <w:pPr>
              <w:spacing w:after="40" w:line="264" w:lineRule="auto"/>
            </w:pPr>
            <w:r/>
            <w:r>
              <w:rPr>
                <w:sz w:val="15"/>
              </w:rPr>
              <w:t>A19</w:t>
            </w:r>
          </w:p>
        </w:tc>
        <w:tc>
          <w:tcPr>
            <w:tcW w:type="dxa" w:w="1928"/>
          </w:tcPr>
          <w:p>
            <w:pPr>
              <w:spacing w:after="40" w:line="264" w:lineRule="auto"/>
            </w:pPr>
            <w:r/>
            <w:r>
              <w:rPr>
                <w:sz w:val="15"/>
              </w:rPr>
              <w:t>Arias p.15 §4.3</w:t>
            </w:r>
          </w:p>
        </w:tc>
        <w:tc>
          <w:tcPr>
            <w:tcW w:type="dxa" w:w="6803"/>
          </w:tcPr>
          <w:p>
            <w:pPr>
              <w:spacing w:after="40" w:line="264" w:lineRule="auto"/>
            </w:pPr>
            <w:r/>
            <w:r>
              <w:rPr>
                <w:sz w:val="15"/>
              </w:rPr>
              <w:t>The activation of certain BC strategies and solutions is triggered when required, typically in response to a disruptive event, through the execution of BC plans and procedures.</w:t>
              <w:br/>
              <w:t>→ 특정 BC 전략·솔루션의 가동은 필요 시, 통상 중단 사건에 대응하여, BC 계획·절차의 실행을 통해 개시된다.</w:t>
            </w:r>
          </w:p>
        </w:tc>
      </w:tr>
      <w:tr>
        <w:tc>
          <w:tcPr>
            <w:tcW w:type="dxa" w:w="680"/>
            <w:shd w:val="clear" w:color="auto" w:fill="F3F6FA"/>
          </w:tcPr>
          <w:p>
            <w:pPr>
              <w:spacing w:after="40" w:line="264" w:lineRule="auto"/>
            </w:pPr>
            <w:r/>
            <w:r>
              <w:rPr>
                <w:sz w:val="15"/>
              </w:rPr>
              <w:t>A20</w:t>
            </w:r>
          </w:p>
        </w:tc>
        <w:tc>
          <w:tcPr>
            <w:tcW w:type="dxa" w:w="1928"/>
            <w:shd w:val="clear" w:color="auto" w:fill="F3F6FA"/>
          </w:tcPr>
          <w:p>
            <w:pPr>
              <w:spacing w:after="40" w:line="264" w:lineRule="auto"/>
            </w:pPr>
            <w:r/>
            <w:r>
              <w:rPr>
                <w:sz w:val="15"/>
              </w:rPr>
              <w:t>Arias p.15 §4.3</w:t>
            </w:r>
          </w:p>
        </w:tc>
        <w:tc>
          <w:tcPr>
            <w:tcW w:type="dxa" w:w="6803"/>
            <w:shd w:val="clear" w:color="auto" w:fill="F3F6FA"/>
          </w:tcPr>
          <w:p>
            <w:pPr>
              <w:spacing w:after="40" w:line="264" w:lineRule="auto"/>
            </w:pPr>
            <w:r/>
            <w:r>
              <w:rPr>
                <w:sz w:val="15"/>
              </w:rPr>
              <w:t>facilitating appropriate alerting of potentially affected parties and coordinating responses within the organization's BC plans and procedures</w:t>
              <w:br/>
              <w:t>→ (경보·커뮤니케이션은) 영향을 받을 수 있는 당사자에 대한 적절한 경보를 촉진하고 조직의 BC 계획·절차 안에서 대응을 조정한다.</w:t>
            </w:r>
          </w:p>
        </w:tc>
      </w:tr>
      <w:tr>
        <w:tc>
          <w:tcPr>
            <w:tcW w:type="dxa" w:w="680"/>
          </w:tcPr>
          <w:p>
            <w:pPr>
              <w:spacing w:after="40" w:line="264" w:lineRule="auto"/>
            </w:pPr>
            <w:r/>
            <w:r>
              <w:rPr>
                <w:sz w:val="15"/>
              </w:rPr>
              <w:t>A21</w:t>
            </w:r>
          </w:p>
        </w:tc>
        <w:tc>
          <w:tcPr>
            <w:tcW w:type="dxa" w:w="1928"/>
          </w:tcPr>
          <w:p>
            <w:pPr>
              <w:spacing w:after="40" w:line="264" w:lineRule="auto"/>
            </w:pPr>
            <w:r/>
            <w:r>
              <w:rPr>
                <w:sz w:val="15"/>
              </w:rPr>
              <w:t>Arias p.15 §4.3</w:t>
            </w:r>
          </w:p>
        </w:tc>
        <w:tc>
          <w:tcPr>
            <w:tcW w:type="dxa" w:w="6803"/>
          </w:tcPr>
          <w:p>
            <w:pPr>
              <w:spacing w:after="40" w:line="264" w:lineRule="auto"/>
            </w:pPr>
            <w:r/>
            <w:r>
              <w:rPr>
                <w:sz w:val="15"/>
              </w:rPr>
              <w:t>It includes two primary subprocesses: the warning and communication process and the recovery process.</w:t>
              <w:br/>
              <w:t>→ (사고·비상 대응 프로세스는) 경보·커뮤니케이션 프로세스와 복구 프로세스라는 두 가지 주요 하위 프로세스를 포함한다.</w:t>
            </w:r>
          </w:p>
        </w:tc>
      </w:tr>
      <w:tr>
        <w:tc>
          <w:tcPr>
            <w:tcW w:type="dxa" w:w="680"/>
            <w:shd w:val="clear" w:color="auto" w:fill="F3F6FA"/>
          </w:tcPr>
          <w:p>
            <w:pPr>
              <w:spacing w:after="40" w:line="264" w:lineRule="auto"/>
            </w:pPr>
            <w:r/>
            <w:r>
              <w:rPr>
                <w:sz w:val="15"/>
              </w:rPr>
              <w:t>A22</w:t>
            </w:r>
          </w:p>
        </w:tc>
        <w:tc>
          <w:tcPr>
            <w:tcW w:type="dxa" w:w="1928"/>
            <w:shd w:val="clear" w:color="auto" w:fill="F3F6FA"/>
          </w:tcPr>
          <w:p>
            <w:pPr>
              <w:spacing w:after="40" w:line="264" w:lineRule="auto"/>
            </w:pPr>
            <w:r/>
            <w:r>
              <w:rPr>
                <w:sz w:val="15"/>
              </w:rPr>
              <w:t>Arias p.15 §4.3</w:t>
            </w:r>
          </w:p>
        </w:tc>
        <w:tc>
          <w:tcPr>
            <w:tcW w:type="dxa" w:w="6803"/>
            <w:shd w:val="clear" w:color="auto" w:fill="F3F6FA"/>
          </w:tcPr>
          <w:p>
            <w:pPr>
              <w:spacing w:after="40" w:line="264" w:lineRule="auto"/>
            </w:pPr>
            <w:r/>
            <w:r>
              <w:rPr>
                <w:sz w:val="15"/>
              </w:rPr>
              <w:t>The recovery process, on the other hand, involves restoring and resuming regular business activities from the state of temporary measures that have been adopted to support normal operations during and after a disruption.</w:t>
              <w:br/>
              <w:t>→ 복구 프로세스는 중단 중·후 정상 운영을 지원하기 위해 채택한 임시 조치 상태에서 일상 업무 활동을 회복·재개하는 것을 포함한다.</w:t>
            </w:r>
          </w:p>
        </w:tc>
      </w:tr>
      <w:tr>
        <w:tc>
          <w:tcPr>
            <w:tcW w:type="dxa" w:w="680"/>
          </w:tcPr>
          <w:p>
            <w:pPr>
              <w:spacing w:after="40" w:line="264" w:lineRule="auto"/>
            </w:pPr>
            <w:r/>
            <w:r>
              <w:rPr>
                <w:sz w:val="15"/>
              </w:rPr>
              <w:t>A23</w:t>
            </w:r>
          </w:p>
        </w:tc>
        <w:tc>
          <w:tcPr>
            <w:tcW w:type="dxa" w:w="1928"/>
          </w:tcPr>
          <w:p>
            <w:pPr>
              <w:spacing w:after="40" w:line="264" w:lineRule="auto"/>
            </w:pPr>
            <w:r/>
            <w:r>
              <w:rPr>
                <w:sz w:val="15"/>
              </w:rPr>
              <w:t>Arias p.15 §4.3</w:t>
            </w:r>
          </w:p>
        </w:tc>
        <w:tc>
          <w:tcPr>
            <w:tcW w:type="dxa" w:w="6803"/>
          </w:tcPr>
          <w:p>
            <w:pPr>
              <w:spacing w:after="40" w:line="264" w:lineRule="auto"/>
            </w:pPr>
            <w:r/>
            <w:r>
              <w:rPr>
                <w:sz w:val="15"/>
              </w:rPr>
              <w:t>The process of exercising BC plans and procedures ensures that BC strategies and solutions and their corresponding BC plans and procedures, including warning and communication procedures, are tested regularly to validate their effectiveness and prompt any necessary adjustments or enhancements.</w:t>
              <w:br/>
              <w:t>→ BC 계획·절차 훈련·연습 프로세스는 BC 전략·솔루션과 이에 대응하는 BC 계획·절차(경보·커뮤니케이션 절차 포함)가 정기적으로 시험되어 그 유효성을 검증하고 필요한 조정·개선을 촉구하도록 보장한다.</w:t>
            </w:r>
          </w:p>
        </w:tc>
      </w:tr>
      <w:tr>
        <w:tc>
          <w:tcPr>
            <w:tcW w:type="dxa" w:w="680"/>
            <w:shd w:val="clear" w:color="auto" w:fill="F3F6FA"/>
          </w:tcPr>
          <w:p>
            <w:pPr>
              <w:spacing w:after="40" w:line="264" w:lineRule="auto"/>
            </w:pPr>
            <w:r/>
            <w:r>
              <w:rPr>
                <w:sz w:val="15"/>
              </w:rPr>
              <w:t>A24</w:t>
            </w:r>
          </w:p>
        </w:tc>
        <w:tc>
          <w:tcPr>
            <w:tcW w:type="dxa" w:w="1928"/>
            <w:shd w:val="clear" w:color="auto" w:fill="F3F6FA"/>
          </w:tcPr>
          <w:p>
            <w:pPr>
              <w:spacing w:after="40" w:line="264" w:lineRule="auto"/>
            </w:pPr>
            <w:r/>
            <w:r>
              <w:rPr>
                <w:sz w:val="15"/>
              </w:rPr>
              <w:t>Arias p.15 §4.3</w:t>
            </w:r>
          </w:p>
        </w:tc>
        <w:tc>
          <w:tcPr>
            <w:tcW w:type="dxa" w:w="6803"/>
            <w:shd w:val="clear" w:color="auto" w:fill="F3F6FA"/>
          </w:tcPr>
          <w:p>
            <w:pPr>
              <w:spacing w:after="40" w:line="264" w:lineRule="auto"/>
            </w:pPr>
            <w:r/>
            <w:r>
              <w:rPr>
                <w:sz w:val="15"/>
              </w:rPr>
              <w:t>a business continuity awareness, training, and education program is developed and implemented to foster necessary awareness and competence among personnel</w:t>
              <w:br/>
              <w:t>→ 업무연속성 인식·훈련·교육 프로그램이 개발·이행되어 인력의 필요한 인식과 역량을 키운다.</w:t>
            </w:r>
          </w:p>
        </w:tc>
      </w:tr>
      <w:tr>
        <w:tc>
          <w:tcPr>
            <w:tcW w:type="dxa" w:w="680"/>
          </w:tcPr>
          <w:p>
            <w:pPr>
              <w:spacing w:after="40" w:line="264" w:lineRule="auto"/>
            </w:pPr>
            <w:r/>
            <w:r>
              <w:rPr>
                <w:sz w:val="15"/>
              </w:rPr>
              <w:t>A25</w:t>
            </w:r>
          </w:p>
        </w:tc>
        <w:tc>
          <w:tcPr>
            <w:tcW w:type="dxa" w:w="1928"/>
          </w:tcPr>
          <w:p>
            <w:pPr>
              <w:spacing w:after="40" w:line="264" w:lineRule="auto"/>
            </w:pPr>
            <w:r/>
            <w:r>
              <w:rPr>
                <w:sz w:val="15"/>
              </w:rPr>
              <w:t>Arias p.16 §4.3</w:t>
            </w:r>
          </w:p>
        </w:tc>
        <w:tc>
          <w:tcPr>
            <w:tcW w:type="dxa" w:w="6803"/>
          </w:tcPr>
          <w:p>
            <w:pPr>
              <w:spacing w:after="40" w:line="264" w:lineRule="auto"/>
            </w:pPr>
            <w:r/>
            <w:r>
              <w:rPr>
                <w:sz w:val="15"/>
              </w:rPr>
              <w:t>Results from the performance evaluation process, the internal audit process, and the supply chain management process are used to improve the effectiveness, efficiency, suitability, and adequacy of the BCMS and the strategies, solutions, plans, and procedures.</w:t>
              <w:br/>
              <w:t>→ 성과평가, 내부감사, 공급망관리 프로세스의 결과는 BCMS와 전략·솔루션·계획·절차의 효과성, 효율성, 적합성, 충분성을 개선하는 데 사용된다.</w:t>
            </w:r>
          </w:p>
        </w:tc>
      </w:tr>
      <w:tr>
        <w:tc>
          <w:tcPr>
            <w:tcW w:type="dxa" w:w="680"/>
            <w:shd w:val="clear" w:color="auto" w:fill="F3F6FA"/>
          </w:tcPr>
          <w:p>
            <w:pPr>
              <w:spacing w:after="40" w:line="264" w:lineRule="auto"/>
            </w:pPr>
            <w:r/>
            <w:r>
              <w:rPr>
                <w:sz w:val="15"/>
              </w:rPr>
              <w:t>A26</w:t>
            </w:r>
          </w:p>
        </w:tc>
        <w:tc>
          <w:tcPr>
            <w:tcW w:type="dxa" w:w="1928"/>
            <w:shd w:val="clear" w:color="auto" w:fill="F3F6FA"/>
          </w:tcPr>
          <w:p>
            <w:pPr>
              <w:spacing w:after="40" w:line="264" w:lineRule="auto"/>
            </w:pPr>
            <w:r/>
            <w:r>
              <w:rPr>
                <w:sz w:val="15"/>
              </w:rPr>
              <w:t>Arias p.16 §4.3 (변경관리 산출물 2번째)</w:t>
            </w:r>
          </w:p>
        </w:tc>
        <w:tc>
          <w:tcPr>
            <w:tcW w:type="dxa" w:w="6803"/>
            <w:shd w:val="clear" w:color="auto" w:fill="F3F6FA"/>
          </w:tcPr>
          <w:p>
            <w:pPr>
              <w:spacing w:after="40" w:line="264" w:lineRule="auto"/>
            </w:pPr>
            <w:r/>
            <w:r>
              <w:rPr>
                <w:sz w:val="15"/>
              </w:rPr>
              <w:t>Proposed and necessary changes, as well as results of changes (for and from the risk assessment process);</w:t>
              <w:br/>
              <w:t>→ 제안된 변경과 필요한 변경, 그리고 변경의 결과(리스크평가 프로세스로 가는 것과 그로부터 오는 것).</w:t>
            </w:r>
          </w:p>
        </w:tc>
      </w:tr>
      <w:tr>
        <w:tc>
          <w:tcPr>
            <w:tcW w:type="dxa" w:w="680"/>
          </w:tcPr>
          <w:p>
            <w:pPr>
              <w:spacing w:after="40" w:line="264" w:lineRule="auto"/>
            </w:pPr>
            <w:r/>
            <w:r>
              <w:rPr>
                <w:sz w:val="15"/>
              </w:rPr>
              <w:t>A27</w:t>
            </w:r>
          </w:p>
        </w:tc>
        <w:tc>
          <w:tcPr>
            <w:tcW w:type="dxa" w:w="1928"/>
          </w:tcPr>
          <w:p>
            <w:pPr>
              <w:spacing w:after="40" w:line="264" w:lineRule="auto"/>
            </w:pPr>
            <w:r/>
            <w:r>
              <w:rPr>
                <w:sz w:val="15"/>
              </w:rPr>
              <w:t>Arias p.16 §4.3 (변경관리 산출물 3번째)</w:t>
            </w:r>
          </w:p>
        </w:tc>
        <w:tc>
          <w:tcPr>
            <w:tcW w:type="dxa" w:w="6803"/>
          </w:tcPr>
          <w:p>
            <w:pPr>
              <w:spacing w:after="40" w:line="264" w:lineRule="auto"/>
            </w:pPr>
            <w:r/>
            <w:r>
              <w:rPr>
                <w:sz w:val="15"/>
              </w:rPr>
              <w:t>Initiation of risk assessment in response to significant proposed or occurring changes; and</w:t>
              <w:br/>
              <w:t>→ 중대한 제안·발생 변경에 대응한 리스크평가의 개시.</w:t>
            </w:r>
          </w:p>
        </w:tc>
      </w:tr>
      <w:tr>
        <w:tc>
          <w:tcPr>
            <w:tcW w:type="dxa" w:w="680"/>
            <w:shd w:val="clear" w:color="auto" w:fill="F3F6FA"/>
          </w:tcPr>
          <w:p>
            <w:pPr>
              <w:spacing w:after="40" w:line="264" w:lineRule="auto"/>
            </w:pPr>
            <w:r/>
            <w:r>
              <w:rPr>
                <w:sz w:val="15"/>
              </w:rPr>
              <w:t>A28</w:t>
            </w:r>
          </w:p>
        </w:tc>
        <w:tc>
          <w:tcPr>
            <w:tcW w:type="dxa" w:w="1928"/>
            <w:shd w:val="clear" w:color="auto" w:fill="F3F6FA"/>
          </w:tcPr>
          <w:p>
            <w:pPr>
              <w:spacing w:after="40" w:line="264" w:lineRule="auto"/>
            </w:pPr>
            <w:r/>
            <w:r>
              <w:rPr>
                <w:sz w:val="15"/>
              </w:rPr>
              <w:t>Arias p.16 §4.3 (변경관리 산출물 1번째)</w:t>
            </w:r>
          </w:p>
        </w:tc>
        <w:tc>
          <w:tcPr>
            <w:tcW w:type="dxa" w:w="6803"/>
            <w:shd w:val="clear" w:color="auto" w:fill="F3F6FA"/>
          </w:tcPr>
          <w:p>
            <w:pPr>
              <w:spacing w:after="40" w:line="264" w:lineRule="auto"/>
            </w:pPr>
            <w:r/>
            <w:r>
              <w:rPr>
                <w:sz w:val="15"/>
              </w:rPr>
              <w:t>Necessary changes (for the process of controlling documented information);</w:t>
              <w:br/>
              <w:t>→ 필요한 변경(문서화된 정보 통제 프로세스를 위한 것).</w:t>
            </w:r>
          </w:p>
        </w:tc>
      </w:tr>
      <w:tr>
        <w:tc>
          <w:tcPr>
            <w:tcW w:type="dxa" w:w="680"/>
          </w:tcPr>
          <w:p>
            <w:pPr>
              <w:spacing w:after="40" w:line="264" w:lineRule="auto"/>
            </w:pPr>
            <w:r/>
            <w:r>
              <w:rPr>
                <w:sz w:val="15"/>
              </w:rPr>
              <w:t>A29</w:t>
            </w:r>
          </w:p>
        </w:tc>
        <w:tc>
          <w:tcPr>
            <w:tcW w:type="dxa" w:w="1928"/>
          </w:tcPr>
          <w:p>
            <w:pPr>
              <w:spacing w:after="40" w:line="264" w:lineRule="auto"/>
            </w:pPr>
            <w:r/>
            <w:r>
              <w:rPr>
                <w:sz w:val="15"/>
              </w:rPr>
              <w:t>Arias p.16 §4.3 (변경관리 산출물 4번째)</w:t>
            </w:r>
          </w:p>
        </w:tc>
        <w:tc>
          <w:tcPr>
            <w:tcW w:type="dxa" w:w="6803"/>
          </w:tcPr>
          <w:p>
            <w:pPr>
              <w:spacing w:after="40" w:line="264" w:lineRule="auto"/>
            </w:pPr>
            <w:r/>
            <w:r>
              <w:rPr>
                <w:sz w:val="15"/>
              </w:rPr>
              <w:t>The results of changes to the incident and emergency handling process or the process of exercising BC plans and procedures—as those processes initiated them.</w:t>
              <w:br/>
              <w:t>→ 사고·비상 대응 프로세스 또는 BC 계획·절차 훈련·연습 프로세스에 대한 변경의 결과 — 해당 프로세스들이 변경을 개시한 경우.</w:t>
            </w:r>
          </w:p>
        </w:tc>
      </w:tr>
      <w:tr>
        <w:tc>
          <w:tcPr>
            <w:tcW w:type="dxa" w:w="680"/>
            <w:shd w:val="clear" w:color="auto" w:fill="F3F6FA"/>
          </w:tcPr>
          <w:p>
            <w:pPr>
              <w:spacing w:after="40" w:line="264" w:lineRule="auto"/>
            </w:pPr>
            <w:r/>
            <w:r>
              <w:rPr>
                <w:sz w:val="15"/>
              </w:rPr>
              <w:t>A30</w:t>
            </w:r>
          </w:p>
        </w:tc>
        <w:tc>
          <w:tcPr>
            <w:tcW w:type="dxa" w:w="1928"/>
            <w:shd w:val="clear" w:color="auto" w:fill="F3F6FA"/>
          </w:tcPr>
          <w:p>
            <w:pPr>
              <w:spacing w:after="40" w:line="264" w:lineRule="auto"/>
            </w:pPr>
            <w:r/>
            <w:r>
              <w:rPr>
                <w:sz w:val="15"/>
              </w:rPr>
              <w:t>Arias p.16 §4.3</w:t>
            </w:r>
          </w:p>
        </w:tc>
        <w:tc>
          <w:tcPr>
            <w:tcW w:type="dxa" w:w="6803"/>
            <w:shd w:val="clear" w:color="auto" w:fill="F3F6FA"/>
          </w:tcPr>
          <w:p>
            <w:pPr>
              <w:spacing w:after="40" w:line="264" w:lineRule="auto"/>
            </w:pPr>
            <w:r/>
            <w:r>
              <w:rPr>
                <w:sz w:val="15"/>
              </w:rPr>
              <w:t>The outcomes of nearly all BCMS processes are communicated centrally to stakeholders external to the BCMS as part of the consultation and communication process.</w:t>
              <w:br/>
              <w:t>→ 거의 모든 BCMS 프로세스의 결과는 협의·커뮤니케이션 프로세스의 일부로서 BCMS 외부의 이해관계자에게 중앙에서 전달된다.</w:t>
            </w:r>
          </w:p>
        </w:tc>
      </w:tr>
      <w:tr>
        <w:tc>
          <w:tcPr>
            <w:tcW w:type="dxa" w:w="680"/>
          </w:tcPr>
          <w:p>
            <w:pPr>
              <w:spacing w:after="40" w:line="264" w:lineRule="auto"/>
            </w:pPr>
            <w:r/>
            <w:r>
              <w:rPr>
                <w:sz w:val="15"/>
              </w:rPr>
              <w:t>A31</w:t>
            </w:r>
          </w:p>
        </w:tc>
        <w:tc>
          <w:tcPr>
            <w:tcW w:type="dxa" w:w="1928"/>
          </w:tcPr>
          <w:p>
            <w:pPr>
              <w:spacing w:after="40" w:line="264" w:lineRule="auto"/>
            </w:pPr>
            <w:r/>
            <w:r>
              <w:rPr>
                <w:sz w:val="15"/>
              </w:rPr>
              <w:t>Arias p.16 §4.3</w:t>
            </w:r>
          </w:p>
        </w:tc>
        <w:tc>
          <w:tcPr>
            <w:tcW w:type="dxa" w:w="6803"/>
          </w:tcPr>
          <w:p>
            <w:pPr>
              <w:spacing w:after="40" w:line="264" w:lineRule="auto"/>
            </w:pPr>
            <w:r/>
            <w:r>
              <w:rPr>
                <w:sz w:val="15"/>
              </w:rPr>
              <w:t>These reports and identified requirements serve as inputs for the BC governance process.</w:t>
              <w:br/>
              <w:t>→ 이 보고와 식별된 요구사항은 BC 거버넌스 프로세스의 입력으로 쓰인다.</w:t>
            </w:r>
          </w:p>
        </w:tc>
      </w:tr>
      <w:tr>
        <w:tc>
          <w:tcPr>
            <w:tcW w:type="dxa" w:w="680"/>
            <w:shd w:val="clear" w:color="auto" w:fill="F3F6FA"/>
          </w:tcPr>
          <w:p>
            <w:pPr>
              <w:spacing w:after="40" w:line="264" w:lineRule="auto"/>
            </w:pPr>
            <w:r/>
            <w:r>
              <w:rPr>
                <w:sz w:val="15"/>
              </w:rPr>
              <w:t>A32</w:t>
            </w:r>
          </w:p>
        </w:tc>
        <w:tc>
          <w:tcPr>
            <w:tcW w:type="dxa" w:w="1928"/>
            <w:shd w:val="clear" w:color="auto" w:fill="F3F6FA"/>
          </w:tcPr>
          <w:p>
            <w:pPr>
              <w:spacing w:after="40" w:line="264" w:lineRule="auto"/>
            </w:pPr>
            <w:r/>
            <w:r>
              <w:rPr>
                <w:sz w:val="15"/>
              </w:rPr>
              <w:t>Arias p.16 §4.3</w:t>
            </w:r>
          </w:p>
        </w:tc>
        <w:tc>
          <w:tcPr>
            <w:tcW w:type="dxa" w:w="6803"/>
            <w:shd w:val="clear" w:color="auto" w:fill="F3F6FA"/>
          </w:tcPr>
          <w:p>
            <w:pPr>
              <w:spacing w:after="40" w:line="264" w:lineRule="auto"/>
            </w:pPr>
            <w:r/>
            <w:r>
              <w:rPr>
                <w:sz w:val="15"/>
              </w:rPr>
              <w:t>operational management of customer satisfaction levels and continuous demonstration of the added value of investments in business continuity need to be realized</w:t>
              <w:br/>
              <w:t>→ 고객 만족 수준의 운영적 관리와 업무연속성 투자의 부가가치에 대한 지속적 입증이 실현되어야 한다(고객관계관리 프로세스에서 수행).</w:t>
            </w:r>
          </w:p>
        </w:tc>
      </w:tr>
      <w:tr>
        <w:tc>
          <w:tcPr>
            <w:tcW w:type="dxa" w:w="680"/>
          </w:tcPr>
          <w:p>
            <w:pPr>
              <w:spacing w:after="40" w:line="264" w:lineRule="auto"/>
            </w:pPr>
            <w:r/>
            <w:r>
              <w:rPr>
                <w:sz w:val="15"/>
              </w:rPr>
              <w:t>A33</w:t>
            </w:r>
          </w:p>
        </w:tc>
        <w:tc>
          <w:tcPr>
            <w:tcW w:type="dxa" w:w="1928"/>
          </w:tcPr>
          <w:p>
            <w:pPr>
              <w:spacing w:after="40" w:line="264" w:lineRule="auto"/>
            </w:pPr>
            <w:r/>
            <w:r>
              <w:rPr>
                <w:sz w:val="15"/>
              </w:rPr>
              <w:t>Arias p.14 §4.3</w:t>
            </w:r>
          </w:p>
        </w:tc>
        <w:tc>
          <w:tcPr>
            <w:tcW w:type="dxa" w:w="6803"/>
          </w:tcPr>
          <w:p>
            <w:pPr>
              <w:spacing w:after="40" w:line="264" w:lineRule="auto"/>
            </w:pPr>
            <w:r/>
            <w:r>
              <w:rPr>
                <w:sz w:val="15"/>
              </w:rPr>
              <w:t>The business continuity governance process, in particular, ensures that the BCMS matches the goals and requirements of the stakeholders responsible for oversight.</w:t>
              <w:br/>
              <w:t>→ BC 거버넌스 프로세스는 특히 BCMS가 감독 책임이 있는 이해관계자의 목표와 요구사항에 부합하도록 보장한다.</w:t>
            </w:r>
          </w:p>
        </w:tc>
      </w:tr>
      <w:tr>
        <w:tc>
          <w:tcPr>
            <w:tcW w:type="dxa" w:w="680"/>
            <w:shd w:val="clear" w:color="auto" w:fill="F3F6FA"/>
          </w:tcPr>
          <w:p>
            <w:pPr>
              <w:spacing w:after="40" w:line="264" w:lineRule="auto"/>
            </w:pPr>
            <w:r/>
            <w:r>
              <w:rPr>
                <w:sz w:val="15"/>
              </w:rPr>
              <w:t>A34</w:t>
            </w:r>
          </w:p>
        </w:tc>
        <w:tc>
          <w:tcPr>
            <w:tcW w:type="dxa" w:w="1928"/>
            <w:shd w:val="clear" w:color="auto" w:fill="F3F6FA"/>
          </w:tcPr>
          <w:p>
            <w:pPr>
              <w:spacing w:after="40" w:line="264" w:lineRule="auto"/>
            </w:pPr>
            <w:r/>
            <w:r>
              <w:rPr>
                <w:sz w:val="15"/>
              </w:rPr>
              <w:t>Arias p.14 §4.3</w:t>
            </w:r>
          </w:p>
        </w:tc>
        <w:tc>
          <w:tcPr>
            <w:tcW w:type="dxa" w:w="6803"/>
            <w:shd w:val="clear" w:color="auto" w:fill="F3F6FA"/>
          </w:tcPr>
          <w:p>
            <w:pPr>
              <w:spacing w:after="40" w:line="264" w:lineRule="auto"/>
            </w:pPr>
            <w:r/>
            <w:r>
              <w:rPr>
                <w:sz w:val="15"/>
              </w:rPr>
              <w:t>The business continuity policy management process facilitates the systematic development, maintenance, and preservation of business continuity policies</w:t>
              <w:br/>
              <w:t>→ BC 정책관리 프로세스는 업무연속성 정책의 체계적인 개발·유지·보존을 촉진한다.</w:t>
            </w:r>
          </w:p>
        </w:tc>
      </w:tr>
      <w:tr>
        <w:tc>
          <w:tcPr>
            <w:tcW w:type="dxa" w:w="680"/>
          </w:tcPr>
          <w:p>
            <w:pPr>
              <w:spacing w:after="40" w:line="264" w:lineRule="auto"/>
            </w:pPr>
            <w:r/>
            <w:r>
              <w:rPr>
                <w:sz w:val="15"/>
              </w:rPr>
              <w:t>A35</w:t>
            </w:r>
          </w:p>
        </w:tc>
        <w:tc>
          <w:tcPr>
            <w:tcW w:type="dxa" w:w="1928"/>
          </w:tcPr>
          <w:p>
            <w:pPr>
              <w:spacing w:after="40" w:line="264" w:lineRule="auto"/>
            </w:pPr>
            <w:r/>
            <w:r>
              <w:rPr>
                <w:sz w:val="15"/>
              </w:rPr>
              <w:t>Arias p.15 §4.3</w:t>
            </w:r>
          </w:p>
        </w:tc>
        <w:tc>
          <w:tcPr>
            <w:tcW w:type="dxa" w:w="6803"/>
          </w:tcPr>
          <w:p>
            <w:pPr>
              <w:spacing w:after="40" w:line="264" w:lineRule="auto"/>
            </w:pPr>
            <w:r/>
            <w:r>
              <w:rPr>
                <w:sz w:val="15"/>
              </w:rPr>
              <w:t>This process also ensures that BC policies are accessible to, and clearly understood by, the intended audience.</w:t>
              <w:br/>
              <w:t>→ 이 프로세스는 또한 BC 정책이 대상자에게 접근 가능하고 명확히 이해되도록 보장한다.</w:t>
            </w:r>
          </w:p>
        </w:tc>
      </w:tr>
      <w:tr>
        <w:tc>
          <w:tcPr>
            <w:tcW w:type="dxa" w:w="680"/>
            <w:shd w:val="clear" w:color="auto" w:fill="F3F6FA"/>
          </w:tcPr>
          <w:p>
            <w:pPr>
              <w:spacing w:after="40" w:line="264" w:lineRule="auto"/>
            </w:pPr>
            <w:r/>
            <w:r>
              <w:rPr>
                <w:sz w:val="15"/>
              </w:rPr>
              <w:t>A36</w:t>
            </w:r>
          </w:p>
        </w:tc>
        <w:tc>
          <w:tcPr>
            <w:tcW w:type="dxa" w:w="1928"/>
            <w:shd w:val="clear" w:color="auto" w:fill="F3F6FA"/>
          </w:tcPr>
          <w:p>
            <w:pPr>
              <w:spacing w:after="40" w:line="264" w:lineRule="auto"/>
            </w:pPr>
            <w:r/>
            <w:r>
              <w:rPr>
                <w:sz w:val="15"/>
              </w:rPr>
              <w:t>Arias p.15 §4.3</w:t>
            </w:r>
          </w:p>
        </w:tc>
        <w:tc>
          <w:tcPr>
            <w:tcW w:type="dxa" w:w="6803"/>
            <w:shd w:val="clear" w:color="auto" w:fill="F3F6FA"/>
          </w:tcPr>
          <w:p>
            <w:pPr>
              <w:spacing w:after="40" w:line="264" w:lineRule="auto"/>
            </w:pPr>
            <w:r/>
            <w:r>
              <w:rPr>
                <w:sz w:val="15"/>
              </w:rPr>
              <w:t>The solution implementation management process involves initiating and verifying BC strategies, solutions, and changes that may result thereof.</w:t>
              <w:br/>
              <w:t>→ 솔루션 이행관리 프로세스는 BC 전략·솔루션 및 그로부터 발생할 수 있는 변경을 개시하고 검증하는 것을 포함한다.</w:t>
            </w:r>
          </w:p>
        </w:tc>
      </w:tr>
      <w:tr>
        <w:tc>
          <w:tcPr>
            <w:tcW w:type="dxa" w:w="680"/>
          </w:tcPr>
          <w:p>
            <w:pPr>
              <w:spacing w:after="40" w:line="264" w:lineRule="auto"/>
            </w:pPr>
            <w:r/>
            <w:r>
              <w:rPr>
                <w:sz w:val="15"/>
              </w:rPr>
              <w:t>A37</w:t>
            </w:r>
          </w:p>
        </w:tc>
        <w:tc>
          <w:tcPr>
            <w:tcW w:type="dxa" w:w="1928"/>
          </w:tcPr>
          <w:p>
            <w:pPr>
              <w:spacing w:after="40" w:line="264" w:lineRule="auto"/>
            </w:pPr>
            <w:r/>
            <w:r>
              <w:rPr>
                <w:sz w:val="15"/>
              </w:rPr>
              <w:t>Arias p.15 §4.3</w:t>
            </w:r>
          </w:p>
        </w:tc>
        <w:tc>
          <w:tcPr>
            <w:tcW w:type="dxa" w:w="6803"/>
          </w:tcPr>
          <w:p>
            <w:pPr>
              <w:spacing w:after="40" w:line="264" w:lineRule="auto"/>
            </w:pPr>
            <w:r/>
            <w:r>
              <w:rPr>
                <w:sz w:val="15"/>
              </w:rPr>
              <w:t>This procedure involves systematic prioritization of products, services, processes, and activities, followed by comprehensive analysis, consolidation, and securing of executive approval of the BIA findings.</w:t>
              <w:br/>
              <w:t>→ 이 절차는 제품·서비스·프로세스·활동의 체계적 우선순위화, 이어지는 종합 분석·통합, 그리고 BIA 결과에 대한 경영진 승인 확보를 포함한다.</w:t>
            </w:r>
          </w:p>
        </w:tc>
      </w:tr>
      <w:tr>
        <w:tc>
          <w:tcPr>
            <w:tcW w:type="dxa" w:w="680"/>
            <w:shd w:val="clear" w:color="auto" w:fill="F3F6FA"/>
          </w:tcPr>
          <w:p>
            <w:pPr>
              <w:spacing w:after="40" w:line="264" w:lineRule="auto"/>
            </w:pPr>
            <w:r/>
            <w:r>
              <w:rPr>
                <w:sz w:val="15"/>
              </w:rPr>
              <w:t>A38</w:t>
            </w:r>
          </w:p>
        </w:tc>
        <w:tc>
          <w:tcPr>
            <w:tcW w:type="dxa" w:w="1928"/>
            <w:shd w:val="clear" w:color="auto" w:fill="F3F6FA"/>
          </w:tcPr>
          <w:p>
            <w:pPr>
              <w:spacing w:after="40" w:line="264" w:lineRule="auto"/>
            </w:pPr>
            <w:r/>
            <w:r>
              <w:rPr>
                <w:sz w:val="15"/>
              </w:rPr>
              <w:t>Arias p.16 §4.3</w:t>
            </w:r>
          </w:p>
        </w:tc>
        <w:tc>
          <w:tcPr>
            <w:tcW w:type="dxa" w:w="6803"/>
            <w:shd w:val="clear" w:color="auto" w:fill="F3F6FA"/>
          </w:tcPr>
          <w:p>
            <w:pPr>
              <w:spacing w:after="40" w:line="264" w:lineRule="auto"/>
            </w:pPr>
            <w:r/>
            <w:r>
              <w:rPr>
                <w:sz w:val="15"/>
              </w:rPr>
              <w:t>Resources necessary for executing strategies and BCMS processes are identified, allocated, and monitored within the resource management process.</w:t>
              <w:br/>
              <w:t>→ 전략과 BCMS 프로세스를 실행하는 데 필요한 자원은 자원관리 프로세스 안에서 식별·배정·모니터링된다.</w:t>
            </w:r>
          </w:p>
        </w:tc>
      </w:tr>
      <w:tr>
        <w:tc>
          <w:tcPr>
            <w:tcW w:type="dxa" w:w="680"/>
          </w:tcPr>
          <w:p>
            <w:pPr>
              <w:spacing w:after="40" w:line="264" w:lineRule="auto"/>
            </w:pPr>
            <w:r/>
            <w:r>
              <w:rPr>
                <w:sz w:val="15"/>
              </w:rPr>
              <w:t>A39</w:t>
            </w:r>
          </w:p>
        </w:tc>
        <w:tc>
          <w:tcPr>
            <w:tcW w:type="dxa" w:w="1928"/>
          </w:tcPr>
          <w:p>
            <w:pPr>
              <w:spacing w:after="40" w:line="264" w:lineRule="auto"/>
            </w:pPr>
            <w:r/>
            <w:r>
              <w:rPr>
                <w:sz w:val="15"/>
              </w:rPr>
              <w:t>Arias p.16 §4.3</w:t>
            </w:r>
          </w:p>
        </w:tc>
        <w:tc>
          <w:tcPr>
            <w:tcW w:type="dxa" w:w="6803"/>
          </w:tcPr>
          <w:p>
            <w:pPr>
              <w:spacing w:after="40" w:line="264" w:lineRule="auto"/>
            </w:pPr>
            <w:r/>
            <w:r>
              <w:rPr>
                <w:sz w:val="15"/>
              </w:rPr>
              <w:t>outsourced services must be assessed, analyzed, and controlled regarding business continuity considerations</w:t>
              <w:br/>
              <w:t>→ 외주 서비스는 업무연속성 관점에서 평가·분석·통제되어야 한다.</w:t>
            </w:r>
          </w:p>
        </w:tc>
      </w:tr>
      <w:tr>
        <w:tc>
          <w:tcPr>
            <w:tcW w:type="dxa" w:w="680"/>
            <w:shd w:val="clear" w:color="auto" w:fill="F3F6FA"/>
          </w:tcPr>
          <w:p>
            <w:pPr>
              <w:spacing w:after="40" w:line="264" w:lineRule="auto"/>
            </w:pPr>
            <w:r/>
            <w:r>
              <w:rPr>
                <w:sz w:val="15"/>
              </w:rPr>
              <w:t>A40</w:t>
            </w:r>
          </w:p>
        </w:tc>
        <w:tc>
          <w:tcPr>
            <w:tcW w:type="dxa" w:w="1928"/>
            <w:shd w:val="clear" w:color="auto" w:fill="F3F6FA"/>
          </w:tcPr>
          <w:p>
            <w:pPr>
              <w:spacing w:after="40" w:line="264" w:lineRule="auto"/>
            </w:pPr>
            <w:r/>
            <w:r>
              <w:rPr>
                <w:sz w:val="15"/>
              </w:rPr>
              <w:t>Arias p.16 §4.3</w:t>
            </w:r>
          </w:p>
        </w:tc>
        <w:tc>
          <w:tcPr>
            <w:tcW w:type="dxa" w:w="6803"/>
            <w:shd w:val="clear" w:color="auto" w:fill="F3F6FA"/>
          </w:tcPr>
          <w:p>
            <w:pPr>
              <w:spacing w:after="40" w:line="264" w:lineRule="auto"/>
            </w:pPr>
            <w:r/>
            <w:r>
              <w:rPr>
                <w:sz w:val="15"/>
              </w:rPr>
              <w:t>the consultation and communication process represents the general mode of communication even in the absence of such an event</w:t>
              <w:br/>
              <w:t>→ 협의·커뮤니케이션 프로세스는 그러한 사건이 없을 때에도 일반적인 커뮤니케이션 방식을 나타낸다.</w:t>
            </w:r>
          </w:p>
        </w:tc>
      </w:tr>
      <w:tr>
        <w:tc>
          <w:tcPr>
            <w:tcW w:type="dxa" w:w="680"/>
          </w:tcPr>
          <w:p>
            <w:pPr>
              <w:spacing w:after="40" w:line="264" w:lineRule="auto"/>
            </w:pPr>
            <w:r/>
            <w:r>
              <w:rPr>
                <w:sz w:val="15"/>
              </w:rPr>
              <w:t>A41</w:t>
            </w:r>
          </w:p>
        </w:tc>
        <w:tc>
          <w:tcPr>
            <w:tcW w:type="dxa" w:w="1928"/>
          </w:tcPr>
          <w:p>
            <w:pPr>
              <w:spacing w:after="40" w:line="264" w:lineRule="auto"/>
            </w:pPr>
            <w:r/>
            <w:r>
              <w:rPr>
                <w:sz w:val="15"/>
              </w:rPr>
              <w:t>Arias p.16 §4.3</w:t>
            </w:r>
          </w:p>
        </w:tc>
        <w:tc>
          <w:tcPr>
            <w:tcW w:type="dxa" w:w="6803"/>
          </w:tcPr>
          <w:p>
            <w:pPr>
              <w:spacing w:after="40" w:line="264" w:lineRule="auto"/>
            </w:pPr>
            <w:r/>
            <w:r>
              <w:rPr>
                <w:sz w:val="15"/>
              </w:rPr>
              <w:t>The process of controlling documented information involves identifying, creating, updating, and controlling information essential for the effectiveness of the BCMS.</w:t>
              <w:br/>
              <w:t>→ 문서화된 정보 통제 프로세스는 BCMS의 효과성에 필수적인 정보를 식별·작성·갱신·통제하는 것을 포함한다.</w:t>
            </w:r>
          </w:p>
        </w:tc>
      </w:tr>
      <w:tr>
        <w:tc>
          <w:tcPr>
            <w:tcW w:type="dxa" w:w="680"/>
            <w:shd w:val="clear" w:color="auto" w:fill="F3F6FA"/>
          </w:tcPr>
          <w:p>
            <w:pPr>
              <w:spacing w:after="40" w:line="264" w:lineRule="auto"/>
            </w:pPr>
            <w:r/>
            <w:r>
              <w:rPr>
                <w:sz w:val="15"/>
              </w:rPr>
              <w:t>A42</w:t>
            </w:r>
          </w:p>
        </w:tc>
        <w:tc>
          <w:tcPr>
            <w:tcW w:type="dxa" w:w="1928"/>
            <w:shd w:val="clear" w:color="auto" w:fill="F3F6FA"/>
          </w:tcPr>
          <w:p>
            <w:pPr>
              <w:spacing w:after="40" w:line="264" w:lineRule="auto"/>
            </w:pPr>
            <w:r/>
            <w:r>
              <w:rPr>
                <w:sz w:val="15"/>
              </w:rPr>
              <w:t>Arias p.4 §2.1</w:t>
            </w:r>
          </w:p>
        </w:tc>
        <w:tc>
          <w:tcPr>
            <w:tcW w:type="dxa" w:w="6803"/>
            <w:shd w:val="clear" w:color="auto" w:fill="F3F6FA"/>
          </w:tcPr>
          <w:p>
            <w:pPr>
              <w:spacing w:after="40" w:line="264" w:lineRule="auto"/>
            </w:pPr>
            <w:r/>
            <w:r>
              <w:rPr>
                <w:sz w:val="15"/>
              </w:rPr>
              <w:t>In essence, a process represents a cohesive set of interrelated or interacting activities to transform inputs into outputs</w:t>
              <w:br/>
              <w:t>→ 본질적으로 프로세스는 입력을 출력으로 전환하는, 상호 관련되거나 상호작용하는 활동의 응집된 집합이다.</w:t>
            </w:r>
          </w:p>
        </w:tc>
      </w:tr>
      <w:tr>
        <w:tc>
          <w:tcPr>
            <w:tcW w:type="dxa" w:w="680"/>
          </w:tcPr>
          <w:p>
            <w:pPr>
              <w:spacing w:after="40" w:line="264" w:lineRule="auto"/>
            </w:pPr>
            <w:r/>
            <w:r>
              <w:rPr>
                <w:sz w:val="15"/>
              </w:rPr>
              <w:t>A43</w:t>
            </w:r>
          </w:p>
        </w:tc>
        <w:tc>
          <w:tcPr>
            <w:tcW w:type="dxa" w:w="1928"/>
          </w:tcPr>
          <w:p>
            <w:pPr>
              <w:spacing w:after="40" w:line="264" w:lineRule="auto"/>
            </w:pPr>
            <w:r/>
            <w:r>
              <w:rPr>
                <w:sz w:val="15"/>
              </w:rPr>
              <w:t>Arias p.11 §4.2</w:t>
            </w:r>
          </w:p>
        </w:tc>
        <w:tc>
          <w:tcPr>
            <w:tcW w:type="dxa" w:w="6803"/>
          </w:tcPr>
          <w:p>
            <w:pPr>
              <w:spacing w:after="40" w:line="264" w:lineRule="auto"/>
            </w:pPr>
            <w:r/>
            <w:r>
              <w:rPr>
                <w:sz w:val="15"/>
              </w:rPr>
              <w:t>According to [32,33], the 80% threshold for consensus is commonly used and generally perceived as fair.</w:t>
              <w:br/>
              <w:t>→ [32,33]에 따르면 합의의 80% 기준은 흔히 사용되며 일반적으로 공정하다고 인식된다.</w:t>
            </w:r>
          </w:p>
        </w:tc>
      </w:tr>
      <w:tr>
        <w:tc>
          <w:tcPr>
            <w:tcW w:type="dxa" w:w="680"/>
            <w:shd w:val="clear" w:color="auto" w:fill="F3F6FA"/>
          </w:tcPr>
          <w:p>
            <w:pPr>
              <w:spacing w:after="40" w:line="264" w:lineRule="auto"/>
            </w:pPr>
            <w:r/>
            <w:r>
              <w:rPr>
                <w:sz w:val="15"/>
              </w:rPr>
              <w:t>A44</w:t>
            </w:r>
          </w:p>
        </w:tc>
        <w:tc>
          <w:tcPr>
            <w:tcW w:type="dxa" w:w="1928"/>
            <w:shd w:val="clear" w:color="auto" w:fill="F3F6FA"/>
          </w:tcPr>
          <w:p>
            <w:pPr>
              <w:spacing w:after="40" w:line="264" w:lineRule="auto"/>
            </w:pPr>
            <w:r/>
            <w:r>
              <w:rPr>
                <w:sz w:val="15"/>
              </w:rPr>
              <w:t>Arias p.11 §4.2</w:t>
            </w:r>
          </w:p>
        </w:tc>
        <w:tc>
          <w:tcPr>
            <w:tcW w:type="dxa" w:w="6803"/>
            <w:shd w:val="clear" w:color="auto" w:fill="F3F6FA"/>
          </w:tcPr>
          <w:p>
            <w:pPr>
              <w:spacing w:after="40" w:line="264" w:lineRule="auto"/>
            </w:pPr>
            <w:r/>
            <w:r>
              <w:rPr>
                <w:sz w:val="15"/>
              </w:rPr>
              <w:t>Category 1 processes represent those clearly identified as BCMS core processes by 80% or more of the experts. Category 2 processes were not clearly identified as BCMS core processes, recognized by 20% to 80% of the experts. Category 3 processes were identified as not being BCMS core processes, recognized by less than 20% of the experts.</w:t>
              <w:br/>
              <w:t>→ 범주 1은 전문가 80% 이상이 BCMS 핵심 프로세스로 명확히 식별한 것, 범주 2는 20~80%가 인식한 것, 범주 3은 20% 미만이 인식한 것이다.</w:t>
            </w:r>
          </w:p>
        </w:tc>
      </w:tr>
      <w:tr>
        <w:tc>
          <w:tcPr>
            <w:tcW w:type="dxa" w:w="680"/>
          </w:tcPr>
          <w:p>
            <w:pPr>
              <w:spacing w:after="40" w:line="264" w:lineRule="auto"/>
            </w:pPr>
            <w:r/>
            <w:r>
              <w:rPr>
                <w:sz w:val="15"/>
              </w:rPr>
              <w:t>A45</w:t>
            </w:r>
          </w:p>
        </w:tc>
        <w:tc>
          <w:tcPr>
            <w:tcW w:type="dxa" w:w="1928"/>
          </w:tcPr>
          <w:p>
            <w:pPr>
              <w:spacing w:after="40" w:line="264" w:lineRule="auto"/>
            </w:pPr>
            <w:r/>
            <w:r>
              <w:rPr>
                <w:sz w:val="15"/>
              </w:rPr>
              <w:t>Arias p.12 §4.2</w:t>
            </w:r>
          </w:p>
        </w:tc>
        <w:tc>
          <w:tcPr>
            <w:tcW w:type="dxa" w:w="6803"/>
          </w:tcPr>
          <w:p>
            <w:pPr>
              <w:spacing w:after="40" w:line="264" w:lineRule="auto"/>
            </w:pPr>
            <w:r/>
            <w:r>
              <w:rPr>
                <w:sz w:val="15"/>
              </w:rPr>
              <w:t>even if no consensus was reached within the interviewed experts, the authors assert the presence of both processes as core components of the BCMS, based on their explicit definition in [2,21].</w:t>
              <w:br/>
              <w:t>→ 전문가 합의에 이르지 못했더라도, 저자들은 ISO 22301 등의 명시적 정의에 근거해 두 프로세스를 BCMS의 핵심 구성요소로 본다.</w:t>
            </w:r>
          </w:p>
        </w:tc>
      </w:tr>
      <w:tr>
        <w:tc>
          <w:tcPr>
            <w:tcW w:type="dxa" w:w="680"/>
            <w:shd w:val="clear" w:color="auto" w:fill="F3F6FA"/>
          </w:tcPr>
          <w:p>
            <w:pPr>
              <w:spacing w:after="40" w:line="264" w:lineRule="auto"/>
            </w:pPr>
            <w:r/>
            <w:r>
              <w:rPr>
                <w:sz w:val="15"/>
              </w:rPr>
              <w:t>A46</w:t>
            </w:r>
          </w:p>
        </w:tc>
        <w:tc>
          <w:tcPr>
            <w:tcW w:type="dxa" w:w="1928"/>
            <w:shd w:val="clear" w:color="auto" w:fill="F3F6FA"/>
          </w:tcPr>
          <w:p>
            <w:pPr>
              <w:spacing w:after="40" w:line="264" w:lineRule="auto"/>
            </w:pPr>
            <w:r/>
            <w:r>
              <w:rPr>
                <w:sz w:val="15"/>
              </w:rPr>
              <w:t>Arias p.16 §4.3</w:t>
            </w:r>
          </w:p>
        </w:tc>
        <w:tc>
          <w:tcPr>
            <w:tcW w:type="dxa" w:w="6803"/>
            <w:shd w:val="clear" w:color="auto" w:fill="F3F6FA"/>
          </w:tcPr>
          <w:p>
            <w:pPr>
              <w:spacing w:after="40" w:line="264" w:lineRule="auto"/>
            </w:pPr>
            <w:r/>
            <w:r>
              <w:rPr>
                <w:sz w:val="15"/>
              </w:rPr>
              <w:t>This is realized within the continual improvement process.</w:t>
              <w:br/>
              <w:t>→ 이는 지속적 개선 프로세스 안에서 실현된다.</w:t>
            </w:r>
          </w:p>
        </w:tc>
      </w:tr>
      <w:tr>
        <w:tc>
          <w:tcPr>
            <w:tcW w:type="dxa" w:w="680"/>
          </w:tcPr>
          <w:p>
            <w:pPr>
              <w:spacing w:after="40" w:line="264" w:lineRule="auto"/>
            </w:pPr>
            <w:r/>
            <w:r>
              <w:rPr>
                <w:sz w:val="15"/>
              </w:rPr>
              <w:t>A47</w:t>
            </w:r>
          </w:p>
        </w:tc>
        <w:tc>
          <w:tcPr>
            <w:tcW w:type="dxa" w:w="1928"/>
          </w:tcPr>
          <w:p>
            <w:pPr>
              <w:spacing w:after="40" w:line="264" w:lineRule="auto"/>
            </w:pPr>
            <w:r/>
            <w:r>
              <w:rPr>
                <w:sz w:val="15"/>
              </w:rPr>
              <w:t>Arias p.16 §4.3</w:t>
            </w:r>
          </w:p>
        </w:tc>
        <w:tc>
          <w:tcPr>
            <w:tcW w:type="dxa" w:w="6803"/>
          </w:tcPr>
          <w:p>
            <w:pPr>
              <w:spacing w:after="40" w:line="264" w:lineRule="auto"/>
            </w:pPr>
            <w:r/>
            <w:r>
              <w:rPr>
                <w:sz w:val="15"/>
              </w:rPr>
              <w:t>It encompasses the communication of risks and reports concerning BC management.</w:t>
              <w:br/>
              <w:t>→ (협의·커뮤니케이션 프로세스는) 리스크와 BC 관리에 관한 보고의 커뮤니케이션을 포함한다.</w:t>
            </w:r>
          </w:p>
        </w:tc>
      </w:tr>
      <w:tr>
        <w:tc>
          <w:tcPr>
            <w:tcW w:type="dxa" w:w="680"/>
            <w:shd w:val="clear" w:color="auto" w:fill="F3F6FA"/>
          </w:tcPr>
          <w:p>
            <w:pPr>
              <w:spacing w:after="40" w:line="264" w:lineRule="auto"/>
            </w:pPr>
            <w:r/>
            <w:r>
              <w:rPr>
                <w:sz w:val="15"/>
              </w:rPr>
              <w:t>A48</w:t>
            </w:r>
          </w:p>
        </w:tc>
        <w:tc>
          <w:tcPr>
            <w:tcW w:type="dxa" w:w="1928"/>
            <w:shd w:val="clear" w:color="auto" w:fill="F3F6FA"/>
          </w:tcPr>
          <w:p>
            <w:pPr>
              <w:spacing w:after="40" w:line="264" w:lineRule="auto"/>
            </w:pPr>
            <w:r/>
            <w:r>
              <w:rPr>
                <w:sz w:val="15"/>
              </w:rPr>
              <w:t>Arias p.10 §4.1</w:t>
            </w:r>
          </w:p>
        </w:tc>
        <w:tc>
          <w:tcPr>
            <w:tcW w:type="dxa" w:w="6803"/>
            <w:shd w:val="clear" w:color="auto" w:fill="F3F6FA"/>
          </w:tcPr>
          <w:p>
            <w:pPr>
              <w:spacing w:after="40" w:line="264" w:lineRule="auto"/>
            </w:pPr>
            <w:r/>
            <w:r>
              <w:rPr>
                <w:sz w:val="15"/>
              </w:rPr>
              <w:t>Therefore, the BCMS planning process is categorized as a project.</w:t>
              <w:br/>
              <w:t>→ 따라서 BCMS 계획 프로세스는 프로젝트로 분류된다.</w:t>
            </w:r>
          </w:p>
        </w:tc>
      </w:tr>
      <w:tr>
        <w:tc>
          <w:tcPr>
            <w:tcW w:type="dxa" w:w="680"/>
          </w:tcPr>
          <w:p>
            <w:pPr>
              <w:spacing w:after="40" w:line="264" w:lineRule="auto"/>
            </w:pPr>
            <w:r/>
            <w:r>
              <w:rPr>
                <w:sz w:val="15"/>
              </w:rPr>
              <w:t>B01</w:t>
            </w:r>
          </w:p>
        </w:tc>
        <w:tc>
          <w:tcPr>
            <w:tcW w:type="dxa" w:w="1928"/>
          </w:tcPr>
          <w:p>
            <w:pPr>
              <w:spacing w:after="40" w:line="264" w:lineRule="auto"/>
            </w:pPr>
            <w:r/>
            <w:r>
              <w:rPr>
                <w:sz w:val="15"/>
              </w:rPr>
              <w:t>Białas p.1 §1</w:t>
            </w:r>
          </w:p>
        </w:tc>
        <w:tc>
          <w:tcPr>
            <w:tcW w:type="dxa" w:w="6803"/>
          </w:tcPr>
          <w:p>
            <w:pPr>
              <w:spacing w:after="40" w:line="264" w:lineRule="auto"/>
            </w:pPr>
            <w:r/>
            <w:r>
              <w:rPr>
                <w:sz w:val="15"/>
              </w:rPr>
              <w:t>BCMS encompasses many different processes of different character, interrelated in a complex way.</w:t>
              <w:br/>
              <w:t>→ BCMS는 서로 다른 성격의, 복잡하게 상호 관련된 많은 프로세스를 포괄한다.</w:t>
            </w:r>
          </w:p>
        </w:tc>
      </w:tr>
      <w:tr>
        <w:tc>
          <w:tcPr>
            <w:tcW w:type="dxa" w:w="680"/>
            <w:shd w:val="clear" w:color="auto" w:fill="F3F6FA"/>
          </w:tcPr>
          <w:p>
            <w:pPr>
              <w:spacing w:after="40" w:line="264" w:lineRule="auto"/>
            </w:pPr>
            <w:r/>
            <w:r>
              <w:rPr>
                <w:sz w:val="15"/>
              </w:rPr>
              <w:t>B02</w:t>
            </w:r>
          </w:p>
        </w:tc>
        <w:tc>
          <w:tcPr>
            <w:tcW w:type="dxa" w:w="1928"/>
            <w:shd w:val="clear" w:color="auto" w:fill="F3F6FA"/>
          </w:tcPr>
          <w:p>
            <w:pPr>
              <w:spacing w:after="40" w:line="264" w:lineRule="auto"/>
            </w:pPr>
            <w:r/>
            <w:r>
              <w:rPr>
                <w:sz w:val="15"/>
              </w:rPr>
              <w:t>Białas p.2 §2.1</w:t>
            </w:r>
          </w:p>
        </w:tc>
        <w:tc>
          <w:tcPr>
            <w:tcW w:type="dxa" w:w="6803"/>
            <w:shd w:val="clear" w:color="auto" w:fill="F3F6FA"/>
          </w:tcPr>
          <w:p>
            <w:pPr>
              <w:spacing w:after="40" w:line="264" w:lineRule="auto"/>
            </w:pPr>
            <w:r/>
            <w:r>
              <w:rPr>
                <w:sz w:val="15"/>
              </w:rPr>
              <w:t>The ontology domain questions that the ontology related knowledge base is able to answer are called competency questions</w:t>
              <w:br/>
              <w:t>→ 온톨로지 관련 지식베이스가 답할 수 있는 온톨로지 영역의 질문을 competency question이라 한다.</w:t>
            </w:r>
          </w:p>
        </w:tc>
      </w:tr>
      <w:tr>
        <w:tc>
          <w:tcPr>
            <w:tcW w:type="dxa" w:w="680"/>
          </w:tcPr>
          <w:p>
            <w:pPr>
              <w:spacing w:after="40" w:line="264" w:lineRule="auto"/>
            </w:pPr>
            <w:r/>
            <w:r>
              <w:rPr>
                <w:sz w:val="15"/>
              </w:rPr>
              <w:t>B03</w:t>
            </w:r>
          </w:p>
        </w:tc>
        <w:tc>
          <w:tcPr>
            <w:tcW w:type="dxa" w:w="1928"/>
          </w:tcPr>
          <w:p>
            <w:pPr>
              <w:spacing w:after="40" w:line="264" w:lineRule="auto"/>
            </w:pPr>
            <w:r/>
            <w:r>
              <w:rPr>
                <w:sz w:val="15"/>
              </w:rPr>
              <w:t>Białas p.2 §2.1</w:t>
            </w:r>
          </w:p>
        </w:tc>
        <w:tc>
          <w:tcPr>
            <w:tcW w:type="dxa" w:w="6803"/>
          </w:tcPr>
          <w:p>
            <w:pPr>
              <w:spacing w:after="40" w:line="264" w:lineRule="auto"/>
            </w:pPr>
            <w:r/>
            <w:r>
              <w:rPr>
                <w:sz w:val="15"/>
              </w:rPr>
              <w:t>The answers define the scope of the ontology.</w:t>
              <w:br/>
              <w:t>→ 그 답이 온톨로지의 범위를 정의한다.</w:t>
            </w:r>
          </w:p>
        </w:tc>
      </w:tr>
      <w:tr>
        <w:tc>
          <w:tcPr>
            <w:tcW w:type="dxa" w:w="680"/>
            <w:shd w:val="clear" w:color="auto" w:fill="F3F6FA"/>
          </w:tcPr>
          <w:p>
            <w:pPr>
              <w:spacing w:after="40" w:line="264" w:lineRule="auto"/>
            </w:pPr>
            <w:r/>
            <w:r>
              <w:rPr>
                <w:sz w:val="15"/>
              </w:rPr>
              <w:t>B04</w:t>
            </w:r>
          </w:p>
        </w:tc>
        <w:tc>
          <w:tcPr>
            <w:tcW w:type="dxa" w:w="1928"/>
            <w:shd w:val="clear" w:color="auto" w:fill="F3F6FA"/>
          </w:tcPr>
          <w:p>
            <w:pPr>
              <w:spacing w:after="40" w:line="264" w:lineRule="auto"/>
            </w:pPr>
            <w:r/>
            <w:r>
              <w:rPr>
                <w:sz w:val="15"/>
              </w:rPr>
              <w:t>Białas p.3 §2.5</w:t>
            </w:r>
          </w:p>
        </w:tc>
        <w:tc>
          <w:tcPr>
            <w:tcW w:type="dxa" w:w="6803"/>
            <w:shd w:val="clear" w:color="auto" w:fill="F3F6FA"/>
          </w:tcPr>
          <w:p>
            <w:pPr>
              <w:spacing w:after="40" w:line="264" w:lineRule="auto"/>
            </w:pPr>
            <w:r/>
            <w:r>
              <w:rPr>
                <w:sz w:val="15"/>
              </w:rPr>
              <w:t>i.e. relationships between an individual member of the given class (the object) and other individuals</w:t>
              <w:br/>
              <w:t>→ 즉, 해당 클래스의 개체(객체)와 다른 개체들 사이의 관계.</w:t>
            </w:r>
          </w:p>
        </w:tc>
      </w:tr>
      <w:tr>
        <w:tc>
          <w:tcPr>
            <w:tcW w:type="dxa" w:w="680"/>
          </w:tcPr>
          <w:p>
            <w:pPr>
              <w:spacing w:after="40" w:line="264" w:lineRule="auto"/>
            </w:pPr>
            <w:r/>
            <w:r>
              <w:rPr>
                <w:sz w:val="15"/>
              </w:rPr>
              <w:t>B05</w:t>
            </w:r>
          </w:p>
        </w:tc>
        <w:tc>
          <w:tcPr>
            <w:tcW w:type="dxa" w:w="1928"/>
          </w:tcPr>
          <w:p>
            <w:pPr>
              <w:spacing w:after="40" w:line="264" w:lineRule="auto"/>
            </w:pPr>
            <w:r/>
            <w:r>
              <w:rPr>
                <w:sz w:val="15"/>
              </w:rPr>
              <w:t>Białas p.3 §2.5</w:t>
            </w:r>
          </w:p>
        </w:tc>
        <w:tc>
          <w:tcPr>
            <w:tcW w:type="dxa" w:w="6803"/>
          </w:tcPr>
          <w:p>
            <w:pPr>
              <w:spacing w:after="40" w:line="264" w:lineRule="auto"/>
            </w:pPr>
            <w:r/>
            <w:r>
              <w:rPr>
                <w:sz w:val="15"/>
              </w:rPr>
              <w:t>An instance-type slot is attached to the classes which are called a domain. The classes indicated by this slot are called a range.</w:t>
              <w:br/>
              <w:t>→ instance-type slot이 부착되는 클래스를 domain이라 하고, 이 slot이 가리키는 클래스를 range라 한다.</w:t>
            </w:r>
          </w:p>
        </w:tc>
      </w:tr>
      <w:tr>
        <w:tc>
          <w:tcPr>
            <w:tcW w:type="dxa" w:w="680"/>
            <w:shd w:val="clear" w:color="auto" w:fill="F3F6FA"/>
          </w:tcPr>
          <w:p>
            <w:pPr>
              <w:spacing w:after="40" w:line="264" w:lineRule="auto"/>
            </w:pPr>
            <w:r/>
            <w:r>
              <w:rPr>
                <w:sz w:val="15"/>
              </w:rPr>
              <w:t>B06</w:t>
            </w:r>
          </w:p>
        </w:tc>
        <w:tc>
          <w:tcPr>
            <w:tcW w:type="dxa" w:w="1928"/>
            <w:shd w:val="clear" w:color="auto" w:fill="F3F6FA"/>
          </w:tcPr>
          <w:p>
            <w:pPr>
              <w:spacing w:after="40" w:line="264" w:lineRule="auto"/>
            </w:pPr>
            <w:r/>
            <w:r>
              <w:rPr>
                <w:sz w:val="15"/>
              </w:rPr>
              <w:t>Białas p.3 §2.5</w:t>
            </w:r>
          </w:p>
        </w:tc>
        <w:tc>
          <w:tcPr>
            <w:tcW w:type="dxa" w:w="6803"/>
            <w:shd w:val="clear" w:color="auto" w:fill="F3F6FA"/>
          </w:tcPr>
          <w:p>
            <w:pPr>
              <w:spacing w:after="40" w:line="264" w:lineRule="auto"/>
            </w:pPr>
            <w:r/>
            <w:r>
              <w:rPr>
                <w:sz w:val="15"/>
              </w:rPr>
              <w:t>i.e. intrinsic or extrinsic properties of the individuals of the most elementary classes</w:t>
              <w:br/>
              <w:t>→ 즉, 가장 기초적인 클래스의 개체가 지니는 내재적·외재적 속성.</w:t>
            </w:r>
          </w:p>
        </w:tc>
      </w:tr>
      <w:tr>
        <w:tc>
          <w:tcPr>
            <w:tcW w:type="dxa" w:w="680"/>
          </w:tcPr>
          <w:p>
            <w:pPr>
              <w:spacing w:after="40" w:line="264" w:lineRule="auto"/>
            </w:pPr>
            <w:r/>
            <w:r>
              <w:rPr>
                <w:sz w:val="15"/>
              </w:rPr>
              <w:t>B07</w:t>
            </w:r>
          </w:p>
        </w:tc>
        <w:tc>
          <w:tcPr>
            <w:tcW w:type="dxa" w:w="1928"/>
          </w:tcPr>
          <w:p>
            <w:pPr>
              <w:spacing w:after="40" w:line="264" w:lineRule="auto"/>
            </w:pPr>
            <w:r/>
            <w:r>
              <w:rPr>
                <w:sz w:val="15"/>
              </w:rPr>
              <w:t>Białas p.3 §2.6</w:t>
            </w:r>
          </w:p>
        </w:tc>
        <w:tc>
          <w:tcPr>
            <w:tcW w:type="dxa" w:w="6803"/>
          </w:tcPr>
          <w:p>
            <w:pPr>
              <w:spacing w:after="40" w:line="264" w:lineRule="auto"/>
            </w:pPr>
            <w:r/>
            <w:r>
              <w:rPr>
                <w:sz w:val="15"/>
              </w:rPr>
              <w:t>The individuals with filled-in slots represent the key BCM artefacts, mostly documents, of the BCMO related knowledge base.</w:t>
              <w:br/>
              <w:t>→ slot이 채워진 개체는 BCMO 지식베이스의 핵심 BCM 산출물(주로 문서)을 나타낸다.</w:t>
            </w:r>
          </w:p>
        </w:tc>
      </w:tr>
      <w:tr>
        <w:tc>
          <w:tcPr>
            <w:tcW w:type="dxa" w:w="680"/>
            <w:shd w:val="clear" w:color="auto" w:fill="F3F6FA"/>
          </w:tcPr>
          <w:p>
            <w:pPr>
              <w:spacing w:after="40" w:line="264" w:lineRule="auto"/>
            </w:pPr>
            <w:r/>
            <w:r>
              <w:rPr>
                <w:sz w:val="15"/>
              </w:rPr>
              <w:t>B08</w:t>
            </w:r>
          </w:p>
        </w:tc>
        <w:tc>
          <w:tcPr>
            <w:tcW w:type="dxa" w:w="1928"/>
            <w:shd w:val="clear" w:color="auto" w:fill="F3F6FA"/>
          </w:tcPr>
          <w:p>
            <w:pPr>
              <w:spacing w:after="40" w:line="264" w:lineRule="auto"/>
            </w:pPr>
            <w:r/>
            <w:r>
              <w:rPr>
                <w:sz w:val="15"/>
              </w:rPr>
              <w:t>Białas p.3 §2.7</w:t>
            </w:r>
          </w:p>
        </w:tc>
        <w:tc>
          <w:tcPr>
            <w:tcW w:type="dxa" w:w="6803"/>
            <w:shd w:val="clear" w:color="auto" w:fill="F3F6FA"/>
          </w:tcPr>
          <w:p>
            <w:pPr>
              <w:spacing w:after="40" w:line="264" w:lineRule="auto"/>
            </w:pPr>
            <w:r/>
            <w:r>
              <w:rPr>
                <w:sz w:val="15"/>
              </w:rPr>
              <w:t>During the validation process the user checks if the right structures of individuals are composed, if they have assumed properties, if the needed information can be retrieved properly by queries from the knowledge database, and if the forms are properly defined.</w:t>
              <w:br/>
              <w:t>→ 검증 과정에서 사용자는 개체의 올바른 구조가 구성되었는지, 가정된 속성을 갖는지, 필요한 정보가 질의로 올바르게 검색되는지, 입력 양식이 적절히 정의되었는지를 확인한다.</w:t>
            </w:r>
          </w:p>
        </w:tc>
      </w:tr>
      <w:tr>
        <w:tc>
          <w:tcPr>
            <w:tcW w:type="dxa" w:w="680"/>
          </w:tcPr>
          <w:p>
            <w:pPr>
              <w:spacing w:after="40" w:line="264" w:lineRule="auto"/>
            </w:pPr>
            <w:r/>
            <w:r>
              <w:rPr>
                <w:sz w:val="15"/>
              </w:rPr>
              <w:t>B09</w:t>
            </w:r>
          </w:p>
        </w:tc>
        <w:tc>
          <w:tcPr>
            <w:tcW w:type="dxa" w:w="1928"/>
          </w:tcPr>
          <w:p>
            <w:pPr>
              <w:spacing w:after="40" w:line="264" w:lineRule="auto"/>
            </w:pPr>
            <w:r/>
            <w:r>
              <w:rPr>
                <w:sz w:val="15"/>
              </w:rPr>
              <w:t>Białas p.2 §2.3</w:t>
            </w:r>
          </w:p>
        </w:tc>
        <w:tc>
          <w:tcPr>
            <w:tcW w:type="dxa" w:w="6803"/>
          </w:tcPr>
          <w:p>
            <w:pPr>
              <w:spacing w:after="40" w:line="264" w:lineRule="auto"/>
            </w:pPr>
            <w:r/>
            <w:r>
              <w:rPr>
                <w:sz w:val="15"/>
              </w:rPr>
              <w:t>The terms are grouped around four phases of the PDCA (Plan-Do-Check-Act) management model</w:t>
              <w:br/>
              <w:t>→ 용어는 PDCA 관리 모델의 네 단계를 중심으로 묶인다.</w:t>
            </w:r>
          </w:p>
        </w:tc>
      </w:tr>
      <w:tr>
        <w:tc>
          <w:tcPr>
            <w:tcW w:type="dxa" w:w="680"/>
            <w:shd w:val="clear" w:color="auto" w:fill="F3F6FA"/>
          </w:tcPr>
          <w:p>
            <w:pPr>
              <w:spacing w:after="40" w:line="264" w:lineRule="auto"/>
            </w:pPr>
            <w:r/>
            <w:r>
              <w:rPr>
                <w:sz w:val="15"/>
              </w:rPr>
              <w:t>B10</w:t>
            </w:r>
          </w:p>
        </w:tc>
        <w:tc>
          <w:tcPr>
            <w:tcW w:type="dxa" w:w="1928"/>
            <w:shd w:val="clear" w:color="auto" w:fill="F3F6FA"/>
          </w:tcPr>
          <w:p>
            <w:pPr>
              <w:spacing w:after="40" w:line="264" w:lineRule="auto"/>
            </w:pPr>
            <w:r/>
            <w:r>
              <w:rPr>
                <w:sz w:val="15"/>
              </w:rPr>
              <w:t>Białas p.6 §2.8 (Fig.4 설명)</w:t>
            </w:r>
          </w:p>
        </w:tc>
        <w:tc>
          <w:tcPr>
            <w:tcW w:type="dxa" w:w="6803"/>
            <w:shd w:val="clear" w:color="auto" w:fill="F3F6FA"/>
          </w:tcPr>
          <w:p>
            <w:pPr>
              <w:spacing w:after="40" w:line="264" w:lineRule="auto"/>
            </w:pPr>
            <w:r/>
            <w:r>
              <w:rPr>
                <w:sz w:val="15"/>
              </w:rPr>
              <w:t>resources required for these services resumption</w:t>
              <w:br/>
              <w:t>→ 이들 서비스 재개에 필요한 자원</w:t>
            </w:r>
          </w:p>
        </w:tc>
      </w:tr>
      <w:tr>
        <w:tc>
          <w:tcPr>
            <w:tcW w:type="dxa" w:w="680"/>
          </w:tcPr>
          <w:p>
            <w:pPr>
              <w:spacing w:after="40" w:line="264" w:lineRule="auto"/>
            </w:pPr>
            <w:r/>
            <w:r>
              <w:rPr>
                <w:sz w:val="15"/>
              </w:rPr>
              <w:t>B11</w:t>
            </w:r>
          </w:p>
        </w:tc>
        <w:tc>
          <w:tcPr>
            <w:tcW w:type="dxa" w:w="1928"/>
          </w:tcPr>
          <w:p>
            <w:pPr>
              <w:spacing w:after="40" w:line="264" w:lineRule="auto"/>
            </w:pPr>
            <w:r/>
            <w:r>
              <w:rPr>
                <w:sz w:val="15"/>
              </w:rPr>
              <w:t>Białas p.6 §2.8 (Fig.4 설명)</w:t>
            </w:r>
          </w:p>
        </w:tc>
        <w:tc>
          <w:tcPr>
            <w:tcW w:type="dxa" w:w="6803"/>
          </w:tcPr>
          <w:p>
            <w:pPr>
              <w:spacing w:after="40" w:line="264" w:lineRule="auto"/>
            </w:pPr>
            <w:r/>
            <w:r>
              <w:rPr>
                <w:sz w:val="15"/>
              </w:rPr>
              <w:t>looks for business impact analysis (BIA) reports related to the two following issues</w:t>
              <w:br/>
              <w:t>→ (업무연속성 관리자가) 다음 두 가지 사안과 관련된 BIA 보고서를 찾는다.</w:t>
            </w:r>
          </w:p>
        </w:tc>
      </w:tr>
      <w:tr>
        <w:tc>
          <w:tcPr>
            <w:tcW w:type="dxa" w:w="680"/>
            <w:shd w:val="clear" w:color="auto" w:fill="F3F6FA"/>
          </w:tcPr>
          <w:p>
            <w:pPr>
              <w:spacing w:after="40" w:line="264" w:lineRule="auto"/>
            </w:pPr>
            <w:r/>
            <w:r>
              <w:rPr>
                <w:sz w:val="15"/>
              </w:rPr>
              <w:t>B12</w:t>
            </w:r>
          </w:p>
        </w:tc>
        <w:tc>
          <w:tcPr>
            <w:tcW w:type="dxa" w:w="1928"/>
            <w:shd w:val="clear" w:color="auto" w:fill="F3F6FA"/>
          </w:tcPr>
          <w:p>
            <w:pPr>
              <w:spacing w:after="40" w:line="264" w:lineRule="auto"/>
            </w:pPr>
            <w:r/>
            <w:r>
              <w:rPr>
                <w:sz w:val="15"/>
              </w:rPr>
              <w:t>Białas p.5 §2.8 (Fig.3 설명)</w:t>
            </w:r>
          </w:p>
        </w:tc>
        <w:tc>
          <w:tcPr>
            <w:tcW w:type="dxa" w:w="6803"/>
            <w:shd w:val="clear" w:color="auto" w:fill="F3F6FA"/>
          </w:tcPr>
          <w:p>
            <w:pPr>
              <w:spacing w:after="40" w:line="264" w:lineRule="auto"/>
            </w:pPr>
            <w:r/>
            <w:r>
              <w:rPr>
                <w:sz w:val="15"/>
              </w:rPr>
              <w:t>Please note the person responsible for trainings, expressed by a certain role, engaged resources for trainings, needs, programs, detailed activities, results and records</w:t>
              <w:br/>
              <w:t>→ 훈련 책임자(역할로 표현), 훈련에 투입된 자원, 필요, 프로그램, 세부 활동, 결과, 기록에 유의하라.</w:t>
            </w:r>
          </w:p>
        </w:tc>
      </w:tr>
      <w:tr>
        <w:tc>
          <w:tcPr>
            <w:tcW w:type="dxa" w:w="680"/>
          </w:tcPr>
          <w:p>
            <w:pPr>
              <w:spacing w:after="40" w:line="264" w:lineRule="auto"/>
            </w:pPr>
            <w:r/>
            <w:r>
              <w:rPr>
                <w:sz w:val="15"/>
              </w:rPr>
              <w:t>B13</w:t>
            </w:r>
          </w:p>
        </w:tc>
        <w:tc>
          <w:tcPr>
            <w:tcW w:type="dxa" w:w="1928"/>
          </w:tcPr>
          <w:p>
            <w:pPr>
              <w:spacing w:after="40" w:line="264" w:lineRule="auto"/>
            </w:pPr>
            <w:r/>
            <w:r>
              <w:rPr>
                <w:sz w:val="15"/>
              </w:rPr>
              <w:t>Białas p.4-5 §2.8 (Fig.2 설명)</w:t>
            </w:r>
          </w:p>
        </w:tc>
        <w:tc>
          <w:tcPr>
            <w:tcW w:type="dxa" w:w="6803"/>
          </w:tcPr>
          <w:p>
            <w:pPr>
              <w:spacing w:after="40" w:line="264" w:lineRule="auto"/>
            </w:pPr>
            <w:r/>
            <w:r>
              <w:rPr>
                <w:sz w:val="15"/>
              </w:rPr>
              <w:t>Individuals included in slots represent particular issues from the phase “Plan” specified by standard: general requirements, business continuity scope, objectives, policy and plan, suppliers and outsourced activities, provision of resources, training, awareness, embedding BCM in the organization’s culture, documentation and records.</w:t>
              <w:br/>
              <w:t>→ slot에 포함된 개체는 표준이 규정한 "Plan" 단계의 개별 사안(일반 요구사항, 범위, 목표, 정책과 계획, 공급자·외주, 자원 제공, 교육, 인식, 조직문화 내재화, 문서·기록)을 나타낸다.</w:t>
            </w:r>
          </w:p>
        </w:tc>
      </w:tr>
      <w:tr>
        <w:tc>
          <w:tcPr>
            <w:tcW w:type="dxa" w:w="680"/>
            <w:shd w:val="clear" w:color="auto" w:fill="F3F6FA"/>
          </w:tcPr>
          <w:p>
            <w:pPr>
              <w:spacing w:after="40" w:line="264" w:lineRule="auto"/>
            </w:pPr>
            <w:r/>
            <w:r>
              <w:rPr>
                <w:sz w:val="15"/>
              </w:rPr>
              <w:t>B14</w:t>
            </w:r>
          </w:p>
        </w:tc>
        <w:tc>
          <w:tcPr>
            <w:tcW w:type="dxa" w:w="1928"/>
            <w:shd w:val="clear" w:color="auto" w:fill="F3F6FA"/>
          </w:tcPr>
          <w:p>
            <w:pPr>
              <w:spacing w:after="40" w:line="264" w:lineRule="auto"/>
            </w:pPr>
            <w:r/>
            <w:r>
              <w:rPr>
                <w:sz w:val="15"/>
              </w:rPr>
              <w:t>Białas p.6 §3</w:t>
            </w:r>
          </w:p>
        </w:tc>
        <w:tc>
          <w:tcPr>
            <w:tcW w:type="dxa" w:w="6803"/>
            <w:shd w:val="clear" w:color="auto" w:fill="F3F6FA"/>
          </w:tcPr>
          <w:p>
            <w:pPr>
              <w:spacing w:after="40" w:line="264" w:lineRule="auto"/>
            </w:pPr>
            <w:r/>
            <w:r>
              <w:rPr>
                <w:sz w:val="15"/>
              </w:rPr>
              <w:t>it is still a prototype which requires: knowledge base extension, further development, introducing more sophisticated competency questions, and more validation on real data</w:t>
              <w:br/>
              <w:t>→ (BCMO는) 여전히 프로토타입이며 지식베이스 확장, 추가 개발, 더 정교한 competency question 도입, 실제 데이터에 대한 추가 검증이 필요하다.</w:t>
            </w:r>
          </w:p>
        </w:tc>
      </w:tr>
      <w:tr>
        <w:tc>
          <w:tcPr>
            <w:tcW w:type="dxa" w:w="680"/>
          </w:tcPr>
          <w:p>
            <w:pPr>
              <w:spacing w:after="40" w:line="264" w:lineRule="auto"/>
            </w:pPr>
            <w:r/>
            <w:r>
              <w:rPr>
                <w:sz w:val="15"/>
              </w:rPr>
              <w:t>B15</w:t>
            </w:r>
          </w:p>
        </w:tc>
        <w:tc>
          <w:tcPr>
            <w:tcW w:type="dxa" w:w="1928"/>
          </w:tcPr>
          <w:p>
            <w:pPr>
              <w:spacing w:after="40" w:line="264" w:lineRule="auto"/>
            </w:pPr>
            <w:r/>
            <w:r>
              <w:rPr>
                <w:sz w:val="15"/>
              </w:rPr>
              <w:t>Białas p.1 초록</w:t>
            </w:r>
          </w:p>
        </w:tc>
        <w:tc>
          <w:tcPr>
            <w:tcW w:type="dxa" w:w="6803"/>
          </w:tcPr>
          <w:p>
            <w:pPr>
              <w:spacing w:after="40" w:line="264" w:lineRule="auto"/>
            </w:pPr>
            <w:r/>
            <w:r>
              <w:rPr>
                <w:sz w:val="15"/>
              </w:rPr>
              <w:t>compliant with the BS 25999 standard</w:t>
              <w:br/>
              <w:t>→ BS 25999 표준에 부합하는</w:t>
            </w:r>
          </w:p>
        </w:tc>
      </w:tr>
      <w:tr>
        <w:tc>
          <w:tcPr>
            <w:tcW w:type="dxa" w:w="680"/>
            <w:shd w:val="clear" w:color="auto" w:fill="F3F6FA"/>
          </w:tcPr>
          <w:p>
            <w:pPr>
              <w:spacing w:after="40" w:line="264" w:lineRule="auto"/>
            </w:pPr>
            <w:r/>
            <w:r>
              <w:rPr>
                <w:sz w:val="15"/>
              </w:rPr>
              <w:t>B16</w:t>
            </w:r>
          </w:p>
        </w:tc>
        <w:tc>
          <w:tcPr>
            <w:tcW w:type="dxa" w:w="1928"/>
            <w:shd w:val="clear" w:color="auto" w:fill="F3F6FA"/>
          </w:tcPr>
          <w:p>
            <w:pPr>
              <w:spacing w:after="40" w:line="264" w:lineRule="auto"/>
            </w:pPr>
            <w:r/>
            <w:r>
              <w:rPr>
                <w:sz w:val="15"/>
              </w:rPr>
              <w:t>Białas p.4 §2.8 (Fig.1 설명)</w:t>
            </w:r>
          </w:p>
        </w:tc>
        <w:tc>
          <w:tcPr>
            <w:tcW w:type="dxa" w:w="6803"/>
            <w:shd w:val="clear" w:color="auto" w:fill="F3F6FA"/>
          </w:tcPr>
          <w:p>
            <w:pPr>
              <w:spacing w:after="40" w:line="264" w:lineRule="auto"/>
            </w:pPr>
            <w:r/>
            <w:r>
              <w:rPr>
                <w:sz w:val="15"/>
              </w:rPr>
              <w:t>supportedByResource slot contains three individuals of resources used to manage and maintain BCMS within this organization</w:t>
              <w:br/>
              <w:t>→ supportedByResource slot은 이 조직 안에서 BCMS를 관리·유지하는 데 쓰이는 세 개의 자원 개체를 담는다.</w:t>
            </w:r>
          </w:p>
        </w:tc>
      </w:tr>
      <w:tr>
        <w:tc>
          <w:tcPr>
            <w:tcW w:type="dxa" w:w="680"/>
          </w:tcPr>
          <w:p>
            <w:pPr>
              <w:spacing w:after="40" w:line="264" w:lineRule="auto"/>
            </w:pPr>
            <w:r/>
            <w:r>
              <w:rPr>
                <w:sz w:val="15"/>
              </w:rPr>
              <w:t>A49</w:t>
            </w:r>
          </w:p>
        </w:tc>
        <w:tc>
          <w:tcPr>
            <w:tcW w:type="dxa" w:w="1928"/>
          </w:tcPr>
          <w:p>
            <w:pPr>
              <w:spacing w:after="40" w:line="264" w:lineRule="auto"/>
            </w:pPr>
            <w:r/>
            <w:r>
              <w:rPr>
                <w:sz w:val="15"/>
              </w:rPr>
              <w:t>Arias p.9 §4.1</w:t>
            </w:r>
          </w:p>
        </w:tc>
        <w:tc>
          <w:tcPr>
            <w:tcW w:type="dxa" w:w="6803"/>
          </w:tcPr>
          <w:p>
            <w:pPr>
              <w:spacing w:after="40" w:line="264" w:lineRule="auto"/>
            </w:pPr>
            <w:r/>
            <w:r>
              <w:rPr>
                <w:sz w:val="15"/>
              </w:rPr>
              <w:t>This means that the business continuity manager is accountable for the whole process.</w:t>
              <w:br/>
              <w:t>→ 이는 업무연속성 관리자가 프로세스 전체에 대해 책임(accountable)을 진다는 뜻이다.</w:t>
            </w:r>
          </w:p>
        </w:tc>
      </w:tr>
      <w:tr>
        <w:tc>
          <w:tcPr>
            <w:tcW w:type="dxa" w:w="680"/>
            <w:shd w:val="clear" w:color="auto" w:fill="F3F6FA"/>
          </w:tcPr>
          <w:p>
            <w:pPr>
              <w:spacing w:after="40" w:line="264" w:lineRule="auto"/>
            </w:pPr>
            <w:r/>
            <w:r>
              <w:rPr>
                <w:sz w:val="15"/>
              </w:rPr>
              <w:t>A50</w:t>
            </w:r>
          </w:p>
        </w:tc>
        <w:tc>
          <w:tcPr>
            <w:tcW w:type="dxa" w:w="1928"/>
            <w:shd w:val="clear" w:color="auto" w:fill="F3F6FA"/>
          </w:tcPr>
          <w:p>
            <w:pPr>
              <w:spacing w:after="40" w:line="264" w:lineRule="auto"/>
            </w:pPr>
            <w:r/>
            <w:r>
              <w:rPr>
                <w:sz w:val="15"/>
              </w:rPr>
              <w:t>Arias p.9 §4.1</w:t>
            </w:r>
          </w:p>
        </w:tc>
        <w:tc>
          <w:tcPr>
            <w:tcW w:type="dxa" w:w="6803"/>
            <w:shd w:val="clear" w:color="auto" w:fill="F3F6FA"/>
          </w:tcPr>
          <w:p>
            <w:pPr>
              <w:spacing w:after="40" w:line="264" w:lineRule="auto"/>
            </w:pPr>
            <w:r/>
            <w:r>
              <w:rPr>
                <w:sz w:val="15"/>
              </w:rPr>
              <w:t>The business continuity manager is also responsible for the process design</w:t>
              <w:br/>
              <w:t>→ 업무연속성 관리자는 프로세스 설계에 대한 책임(responsible)도 진다.</w:t>
            </w:r>
          </w:p>
        </w:tc>
      </w:tr>
      <w:tr>
        <w:tc>
          <w:tcPr>
            <w:tcW w:type="dxa" w:w="680"/>
          </w:tcPr>
          <w:p>
            <w:pPr>
              <w:spacing w:after="40" w:line="264" w:lineRule="auto"/>
            </w:pPr>
            <w:r/>
            <w:r>
              <w:rPr>
                <w:sz w:val="15"/>
              </w:rPr>
              <w:t>A51</w:t>
            </w:r>
          </w:p>
        </w:tc>
        <w:tc>
          <w:tcPr>
            <w:tcW w:type="dxa" w:w="1928"/>
          </w:tcPr>
          <w:p>
            <w:pPr>
              <w:spacing w:after="40" w:line="264" w:lineRule="auto"/>
            </w:pPr>
            <w:r/>
            <w:r>
              <w:rPr>
                <w:sz w:val="15"/>
              </w:rPr>
              <w:t>Arias p.16-17 §4.3</w:t>
            </w:r>
          </w:p>
        </w:tc>
        <w:tc>
          <w:tcPr>
            <w:tcW w:type="dxa" w:w="6803"/>
          </w:tcPr>
          <w:p>
            <w:pPr>
              <w:spacing w:after="40" w:line="264" w:lineRule="auto"/>
            </w:pPr>
            <w:r/>
            <w:r>
              <w:rPr>
                <w:sz w:val="15"/>
              </w:rPr>
              <w:t>Specific outputs, such as management approval and scope definition, necessitate regular scrutiny for relevance and appropriateness.</w:t>
              <w:br/>
              <w:t>→ 경영진 승인과 범위 정의 같은 특정 산출물은 적합성과 적절성에 대한 정기적 점검을 필요로 한다.</w:t>
            </w:r>
          </w:p>
        </w:tc>
      </w:tr>
      <w:tr>
        <w:tc>
          <w:tcPr>
            <w:tcW w:type="dxa" w:w="680"/>
            <w:shd w:val="clear" w:color="auto" w:fill="F3F6FA"/>
          </w:tcPr>
          <w:p>
            <w:pPr>
              <w:spacing w:after="40" w:line="264" w:lineRule="auto"/>
            </w:pPr>
            <w:r/>
            <w:r>
              <w:rPr>
                <w:sz w:val="15"/>
              </w:rPr>
              <w:t>A52</w:t>
            </w:r>
          </w:p>
        </w:tc>
        <w:tc>
          <w:tcPr>
            <w:tcW w:type="dxa" w:w="1928"/>
            <w:shd w:val="clear" w:color="auto" w:fill="F3F6FA"/>
          </w:tcPr>
          <w:p>
            <w:pPr>
              <w:spacing w:after="40" w:line="264" w:lineRule="auto"/>
            </w:pPr>
            <w:r/>
            <w:r>
              <w:rPr>
                <w:sz w:val="15"/>
              </w:rPr>
              <w:t>Arias p.17 §4.3</w:t>
            </w:r>
          </w:p>
        </w:tc>
        <w:tc>
          <w:tcPr>
            <w:tcW w:type="dxa" w:w="6803"/>
            <w:shd w:val="clear" w:color="auto" w:fill="F3F6FA"/>
          </w:tcPr>
          <w:p>
            <w:pPr>
              <w:spacing w:after="40" w:line="264" w:lineRule="auto"/>
            </w:pPr>
            <w:r/>
            <w:r>
              <w:rPr>
                <w:sz w:val="15"/>
              </w:rPr>
              <w:t>Regular activities like renewing the management approval are also integrated into the business continuity governance processes.</w:t>
              <w:br/>
              <w:t>→ 경영진 승인의 갱신 같은 정기 활동도 BC 거버넌스 프로세스에 통합되어 있다.</w:t>
            </w:r>
          </w:p>
        </w:tc>
      </w:tr>
      <w:tr>
        <w:tc>
          <w:tcPr>
            <w:tcW w:type="dxa" w:w="680"/>
          </w:tcPr>
          <w:p>
            <w:pPr>
              <w:spacing w:after="40" w:line="264" w:lineRule="auto"/>
            </w:pPr>
            <w:r/>
            <w:r>
              <w:rPr>
                <w:sz w:val="15"/>
              </w:rPr>
              <w:t>A53</w:t>
            </w:r>
          </w:p>
        </w:tc>
        <w:tc>
          <w:tcPr>
            <w:tcW w:type="dxa" w:w="1928"/>
          </w:tcPr>
          <w:p>
            <w:pPr>
              <w:spacing w:after="40" w:line="264" w:lineRule="auto"/>
            </w:pPr>
            <w:r/>
            <w:r>
              <w:rPr>
                <w:sz w:val="15"/>
              </w:rPr>
              <w:t>Arias p.18 §5</w:t>
            </w:r>
          </w:p>
        </w:tc>
        <w:tc>
          <w:tcPr>
            <w:tcW w:type="dxa" w:w="6803"/>
          </w:tcPr>
          <w:p>
            <w:pPr>
              <w:spacing w:after="40" w:line="264" w:lineRule="auto"/>
            </w:pPr>
            <w:r/>
            <w:r>
              <w:rPr>
                <w:sz w:val="15"/>
              </w:rPr>
              <w:t>Regular reviews of BC plans and procedures and a process-oriented approach with continuous improvements are essential.</w:t>
              <w:br/>
              <w:t>→ BC 계획·절차의 정기 검토와 지속적 개선을 동반한 프로세스 중심 접근이 필수적이다.</w:t>
            </w:r>
          </w:p>
        </w:tc>
      </w:tr>
      <w:tr>
        <w:tc>
          <w:tcPr>
            <w:tcW w:type="dxa" w:w="680"/>
            <w:shd w:val="clear" w:color="auto" w:fill="F3F6FA"/>
          </w:tcPr>
          <w:p>
            <w:pPr>
              <w:spacing w:after="40" w:line="264" w:lineRule="auto"/>
            </w:pPr>
            <w:r/>
            <w:r>
              <w:rPr>
                <w:sz w:val="15"/>
              </w:rPr>
              <w:t>A54</w:t>
            </w:r>
          </w:p>
        </w:tc>
        <w:tc>
          <w:tcPr>
            <w:tcW w:type="dxa" w:w="1928"/>
            <w:shd w:val="clear" w:color="auto" w:fill="F3F6FA"/>
          </w:tcPr>
          <w:p>
            <w:pPr>
              <w:spacing w:after="40" w:line="264" w:lineRule="auto"/>
            </w:pPr>
            <w:r/>
            <w:r>
              <w:rPr>
                <w:sz w:val="15"/>
              </w:rPr>
              <w:t>Arias p.18 §5</w:t>
            </w:r>
          </w:p>
        </w:tc>
        <w:tc>
          <w:tcPr>
            <w:tcW w:type="dxa" w:w="6803"/>
            <w:shd w:val="clear" w:color="auto" w:fill="F3F6FA"/>
          </w:tcPr>
          <w:p>
            <w:pPr>
              <w:spacing w:after="40" w:line="264" w:lineRule="auto"/>
            </w:pPr>
            <w:r/>
            <w:r>
              <w:rPr>
                <w:sz w:val="15"/>
              </w:rPr>
              <w:t>The core processes of the BCMS are regularly evaluated and adjusted to ensure the effectiveness and efficiency of the system.</w:t>
              <w:br/>
              <w:t>→ BCMS의 핵심 프로세스는 시스템의 효과성과 효율성을 보장하기 위해 정기적으로 평가·조정된다.</w:t>
            </w:r>
          </w:p>
        </w:tc>
      </w:tr>
      <w:tr>
        <w:tc>
          <w:tcPr>
            <w:tcW w:type="dxa" w:w="680"/>
          </w:tcPr>
          <w:p>
            <w:pPr>
              <w:spacing w:after="40" w:line="264" w:lineRule="auto"/>
            </w:pPr>
            <w:r/>
            <w:r>
              <w:rPr>
                <w:sz w:val="15"/>
              </w:rPr>
              <w:t>B17</w:t>
            </w:r>
          </w:p>
        </w:tc>
        <w:tc>
          <w:tcPr>
            <w:tcW w:type="dxa" w:w="1928"/>
          </w:tcPr>
          <w:p>
            <w:pPr>
              <w:spacing w:after="40" w:line="264" w:lineRule="auto"/>
            </w:pPr>
            <w:r/>
            <w:r>
              <w:rPr>
                <w:sz w:val="15"/>
              </w:rPr>
              <w:t>Białas p.5 §2.8 (Fig.3 설명)</w:t>
            </w:r>
          </w:p>
        </w:tc>
        <w:tc>
          <w:tcPr>
            <w:tcW w:type="dxa" w:w="6803"/>
          </w:tcPr>
          <w:p>
            <w:pPr>
              <w:spacing w:after="40" w:line="264" w:lineRule="auto"/>
            </w:pPr>
            <w:r/>
            <w:r>
              <w:rPr>
                <w:sz w:val="15"/>
              </w:rPr>
              <w:t>results and records (used as evidences during BCMS certification)</w:t>
              <w:br/>
              <w:t>→ 결과와 기록(BCMS 인증 과정에서 증거로 사용됨)</w:t>
            </w:r>
          </w:p>
        </w:tc>
      </w:tr>
      <w:tr>
        <w:tc>
          <w:tcPr>
            <w:tcW w:type="dxa" w:w="680"/>
            <w:shd w:val="clear" w:color="auto" w:fill="F3F6FA"/>
          </w:tcPr>
          <w:p>
            <w:pPr>
              <w:spacing w:after="40" w:line="264" w:lineRule="auto"/>
            </w:pPr>
            <w:r/>
            <w:r>
              <w:rPr>
                <w:sz w:val="15"/>
              </w:rPr>
              <w:t>B18</w:t>
            </w:r>
          </w:p>
        </w:tc>
        <w:tc>
          <w:tcPr>
            <w:tcW w:type="dxa" w:w="1928"/>
            <w:shd w:val="clear" w:color="auto" w:fill="F3F6FA"/>
          </w:tcPr>
          <w:p>
            <w:pPr>
              <w:spacing w:after="40" w:line="264" w:lineRule="auto"/>
            </w:pPr>
            <w:r/>
            <w:r>
              <w:rPr>
                <w:sz w:val="15"/>
              </w:rPr>
              <w:t>Białas p.4 §2.8 (Fig.1 설명)</w:t>
            </w:r>
          </w:p>
        </w:tc>
        <w:tc>
          <w:tcPr>
            <w:tcW w:type="dxa" w:w="6803"/>
            <w:shd w:val="clear" w:color="auto" w:fill="F3F6FA"/>
          </w:tcPr>
          <w:p>
            <w:pPr>
              <w:spacing w:after="40" w:line="264" w:lineRule="auto"/>
            </w:pPr>
            <w:r/>
            <w:r>
              <w:rPr>
                <w:sz w:val="15"/>
              </w:rPr>
              <w:t>the monitorReview_C slot filled with BCMS_3Check_4 individual, and the maintImprove_A slot filled with BCMS_4Act_1 individual</w:t>
              <w:br/>
              <w:t>→ monitorReview_C slot은 BCMS_3Check_4 개체로, maintImprove_A slot은 BCMS_4Act_1 개체로 채워진다.</w:t>
            </w:r>
          </w:p>
        </w:tc>
      </w:tr>
    </w:tbl>
    <w:p>
      <w:pPr>
        <w:spacing w:after="40"/>
      </w:pPr>
    </w:p>
    <w:p>
      <w:pPr>
        <w:pStyle w:val="Heading1"/>
      </w:pPr>
      <w:r>
        <w:t>부록 C. 수정 이력</w:t>
      </w:r>
    </w:p>
    <w:tbl>
      <w:tblPr>
        <w:tblStyle w:val="TableGrid"/>
        <w:tblW w:type="auto" w:w="0"/>
        <w:jc w:val="center"/>
        <w:tblLayout w:type="fixed"/>
        <w:tblLook w:firstColumn="1" w:firstRow="1" w:lastColumn="0" w:lastRow="0" w:noHBand="0" w:noVBand="1" w:val="04A0"/>
      </w:tblPr>
      <w:tblGrid>
        <w:gridCol w:w="737"/>
        <w:gridCol w:w="794"/>
        <w:gridCol w:w="1247"/>
        <w:gridCol w:w="2154"/>
        <w:gridCol w:w="3175"/>
        <w:gridCol w:w="1304"/>
      </w:tblGrid>
      <w:tr>
        <w:trPr>
          <w:tblHeader w:val="true"/>
        </w:trPr>
        <w:tc>
          <w:tcPr>
            <w:tcW w:type="dxa" w:w="737"/>
            <w:shd w:val="clear" w:color="auto" w:fill="14213D"/>
          </w:tcPr>
          <w:p>
            <w:pPr>
              <w:spacing w:after="40" w:line="264" w:lineRule="auto"/>
            </w:pPr>
            <w:r/>
            <w:r>
              <w:rPr>
                <w:b/>
                <w:color w:val="FFFFFF"/>
                <w:sz w:val="15"/>
              </w:rPr>
              <w:t>ID</w:t>
            </w:r>
          </w:p>
        </w:tc>
        <w:tc>
          <w:tcPr>
            <w:tcW w:type="dxa" w:w="794"/>
            <w:shd w:val="clear" w:color="auto" w:fill="14213D"/>
          </w:tcPr>
          <w:p>
            <w:pPr>
              <w:spacing w:after="40" w:line="264" w:lineRule="auto"/>
            </w:pPr>
            <w:r/>
            <w:r>
              <w:rPr>
                <w:b/>
                <w:color w:val="FFFFFF"/>
                <w:sz w:val="15"/>
              </w:rPr>
              <w:t>중요도</w:t>
            </w:r>
          </w:p>
        </w:tc>
        <w:tc>
          <w:tcPr>
            <w:tcW w:type="dxa" w:w="1247"/>
            <w:shd w:val="clear" w:color="auto" w:fill="14213D"/>
          </w:tcPr>
          <w:p>
            <w:pPr>
              <w:spacing w:after="40" w:line="264" w:lineRule="auto"/>
            </w:pPr>
            <w:r/>
            <w:r>
              <w:rPr>
                <w:b/>
                <w:color w:val="FFFFFF"/>
                <w:sz w:val="15"/>
              </w:rPr>
              <w:t>대상</w:t>
            </w:r>
          </w:p>
        </w:tc>
        <w:tc>
          <w:tcPr>
            <w:tcW w:type="dxa" w:w="2154"/>
            <w:shd w:val="clear" w:color="auto" w:fill="14213D"/>
          </w:tcPr>
          <w:p>
            <w:pPr>
              <w:spacing w:after="40" w:line="264" w:lineRule="auto"/>
            </w:pPr>
            <w:r/>
            <w:r>
              <w:rPr>
                <w:b/>
                <w:color w:val="FFFFFF"/>
                <w:sz w:val="15"/>
              </w:rPr>
              <w:t>V3 문제</w:t>
            </w:r>
          </w:p>
        </w:tc>
        <w:tc>
          <w:tcPr>
            <w:tcW w:type="dxa" w:w="3175"/>
            <w:shd w:val="clear" w:color="auto" w:fill="14213D"/>
          </w:tcPr>
          <w:p>
            <w:pPr>
              <w:spacing w:after="40" w:line="264" w:lineRule="auto"/>
            </w:pPr>
            <w:r/>
            <w:r>
              <w:rPr>
                <w:b/>
                <w:color w:val="FFFFFF"/>
                <w:sz w:val="15"/>
              </w:rPr>
              <w:t>수정</w:t>
            </w:r>
          </w:p>
        </w:tc>
        <w:tc>
          <w:tcPr>
            <w:tcW w:type="dxa" w:w="1304"/>
            <w:shd w:val="clear" w:color="auto" w:fill="14213D"/>
          </w:tcPr>
          <w:p>
            <w:pPr>
              <w:spacing w:after="40" w:line="264" w:lineRule="auto"/>
            </w:pPr>
            <w:r/>
            <w:r>
              <w:rPr>
                <w:b/>
                <w:color w:val="FFFFFF"/>
                <w:sz w:val="15"/>
              </w:rPr>
              <w:t>근거</w:t>
            </w:r>
          </w:p>
        </w:tc>
      </w:tr>
      <w:tr>
        <w:tc>
          <w:tcPr>
            <w:tcW w:type="dxa" w:w="737"/>
          </w:tcPr>
          <w:p>
            <w:pPr>
              <w:spacing w:after="40" w:line="264" w:lineRule="auto"/>
            </w:pPr>
            <w:r/>
            <w:r>
              <w:rPr>
                <w:sz w:val="15"/>
              </w:rPr>
              <w:t>R01</w:t>
            </w:r>
          </w:p>
        </w:tc>
        <w:tc>
          <w:tcPr>
            <w:tcW w:type="dxa" w:w="794"/>
          </w:tcPr>
          <w:p>
            <w:pPr>
              <w:spacing w:after="40" w:line="264" w:lineRule="auto"/>
            </w:pPr>
            <w:r/>
            <w:r>
              <w:rPr>
                <w:sz w:val="15"/>
              </w:rPr>
              <w:t>최우선</w:t>
            </w:r>
          </w:p>
        </w:tc>
        <w:tc>
          <w:tcPr>
            <w:tcW w:type="dxa" w:w="1247"/>
          </w:tcPr>
          <w:p>
            <w:pPr>
              <w:spacing w:after="40" w:line="264" w:lineRule="auto"/>
            </w:pPr>
            <w:r/>
            <w:r>
              <w:rPr>
                <w:sz w:val="15"/>
              </w:rPr>
              <w:t>새 시작점</w:t>
            </w:r>
          </w:p>
        </w:tc>
        <w:tc>
          <w:tcPr>
            <w:tcW w:type="dxa" w:w="2154"/>
          </w:tcPr>
          <w:p>
            <w:pPr>
              <w:spacing w:after="40" w:line="264" w:lineRule="auto"/>
            </w:pPr>
            <w:r/>
            <w:r>
              <w:rPr>
                <w:sz w:val="15"/>
              </w:rPr>
              <w:t>Arias 22개 프로세스와 이전 세 관점 폐기가 명확하지 않음</w:t>
            </w:r>
          </w:p>
        </w:tc>
        <w:tc>
          <w:tcPr>
            <w:tcW w:type="dxa" w:w="3175"/>
          </w:tcPr>
          <w:p>
            <w:pPr>
              <w:spacing w:after="40" w:line="264" w:lineRule="auto"/>
            </w:pPr>
            <w:r/>
            <w:r>
              <w:rPr>
                <w:sz w:val="15"/>
              </w:rPr>
              <w:t>22개 프로세스 유지. 이전 세 관점은 측정 틀로 사용하지 않음. V3에서 수정한 V4가 다음 대화 기준.</w:t>
            </w:r>
          </w:p>
        </w:tc>
        <w:tc>
          <w:tcPr>
            <w:tcW w:type="dxa" w:w="1304"/>
          </w:tcPr>
          <w:p>
            <w:pPr>
              <w:spacing w:after="40" w:line="264" w:lineRule="auto"/>
            </w:pPr>
            <w:r/>
            <w:r>
              <w:rPr>
                <w:sz w:val="15"/>
              </w:rPr>
              <w:t>사용자 지시 2026-10-09</w:t>
            </w:r>
          </w:p>
        </w:tc>
      </w:tr>
      <w:tr>
        <w:tc>
          <w:tcPr>
            <w:tcW w:type="dxa" w:w="737"/>
            <w:shd w:val="clear" w:color="auto" w:fill="F3F6FA"/>
          </w:tcPr>
          <w:p>
            <w:pPr>
              <w:spacing w:after="40" w:line="264" w:lineRule="auto"/>
            </w:pPr>
            <w:r/>
            <w:r>
              <w:rPr>
                <w:sz w:val="15"/>
              </w:rPr>
              <w:t>R02</w:t>
            </w:r>
          </w:p>
        </w:tc>
        <w:tc>
          <w:tcPr>
            <w:tcW w:type="dxa" w:w="794"/>
            <w:shd w:val="clear" w:color="auto" w:fill="F3F6FA"/>
          </w:tcPr>
          <w:p>
            <w:pPr>
              <w:spacing w:after="40" w:line="264" w:lineRule="auto"/>
            </w:pPr>
            <w:r/>
            <w:r>
              <w:rPr>
                <w:sz w:val="15"/>
              </w:rPr>
              <w:t>최우선</w:t>
            </w:r>
          </w:p>
        </w:tc>
        <w:tc>
          <w:tcPr>
            <w:tcW w:type="dxa" w:w="1247"/>
            <w:shd w:val="clear" w:color="auto" w:fill="F3F6FA"/>
          </w:tcPr>
          <w:p>
            <w:pPr>
              <w:spacing w:after="40" w:line="264" w:lineRule="auto"/>
            </w:pPr>
            <w:r/>
            <w:r>
              <w:rPr>
                <w:sz w:val="15"/>
              </w:rPr>
              <w:t>6개 차원의 지위</w:t>
            </w:r>
          </w:p>
        </w:tc>
        <w:tc>
          <w:tcPr>
            <w:tcW w:type="dxa" w:w="2154"/>
            <w:shd w:val="clear" w:color="auto" w:fill="F3F6FA"/>
          </w:tcPr>
          <w:p>
            <w:pPr>
              <w:spacing w:after="40" w:line="264" w:lineRule="auto"/>
            </w:pPr>
            <w:r/>
            <w:r>
              <w:rPr>
                <w:sz w:val="15"/>
              </w:rPr>
              <w:t>초기 가설인데 정의·점수표에서는 6차원 확정처럼 서술</w:t>
            </w:r>
          </w:p>
        </w:tc>
        <w:tc>
          <w:tcPr>
            <w:tcW w:type="dxa" w:w="3175"/>
            <w:shd w:val="clear" w:color="auto" w:fill="F3F6FA"/>
          </w:tcPr>
          <w:p>
            <w:pPr>
              <w:spacing w:after="40" w:line="264" w:lineRule="auto"/>
            </w:pPr>
            <w:r/>
            <w:r>
              <w:rPr>
                <w:sz w:val="15"/>
              </w:rPr>
              <w:t>품질 후보 4, 관리조건 후보 1, 경로 후보 1로 역할을 구분한 검토안을 제시. 요인 수는 미확정.</w:t>
            </w:r>
          </w:p>
        </w:tc>
        <w:tc>
          <w:tcPr>
            <w:tcW w:type="dxa" w:w="1304"/>
            <w:shd w:val="clear" w:color="auto" w:fill="F3F6FA"/>
          </w:tcPr>
          <w:p>
            <w:pPr>
              <w:spacing w:after="40" w:line="264" w:lineRule="auto"/>
            </w:pPr>
            <w:r/>
            <w:r>
              <w:rPr>
                <w:sz w:val="15"/>
              </w:rPr>
              <w:t>S10 저널 pp.302–303</w:t>
            </w:r>
          </w:p>
        </w:tc>
      </w:tr>
      <w:tr>
        <w:tc>
          <w:tcPr>
            <w:tcW w:type="dxa" w:w="737"/>
          </w:tcPr>
          <w:p>
            <w:pPr>
              <w:spacing w:after="40" w:line="264" w:lineRule="auto"/>
            </w:pPr>
            <w:r/>
            <w:r>
              <w:rPr>
                <w:sz w:val="15"/>
              </w:rPr>
              <w:t>R03</w:t>
            </w:r>
          </w:p>
        </w:tc>
        <w:tc>
          <w:tcPr>
            <w:tcW w:type="dxa" w:w="794"/>
          </w:tcPr>
          <w:p>
            <w:pPr>
              <w:spacing w:after="40" w:line="264" w:lineRule="auto"/>
            </w:pPr>
            <w:r/>
            <w:r>
              <w:rPr>
                <w:sz w:val="15"/>
              </w:rPr>
              <w:t>중요</w:t>
            </w:r>
          </w:p>
        </w:tc>
        <w:tc>
          <w:tcPr>
            <w:tcW w:type="dxa" w:w="1247"/>
          </w:tcPr>
          <w:p>
            <w:pPr>
              <w:spacing w:after="40" w:line="264" w:lineRule="auto"/>
            </w:pPr>
            <w:r/>
            <w:r>
              <w:rPr>
                <w:sz w:val="15"/>
              </w:rPr>
              <w:t>정합성 인용</w:t>
            </w:r>
          </w:p>
        </w:tc>
        <w:tc>
          <w:tcPr>
            <w:tcW w:type="dxa" w:w="2154"/>
          </w:tcPr>
          <w:p>
            <w:pPr>
              <w:spacing w:after="40" w:line="264" w:lineRule="auto"/>
            </w:pPr>
            <w:r/>
            <w:r>
              <w:rPr>
                <w:sz w:val="15"/>
              </w:rPr>
              <w:t>Wang·Strong의 표현 일관성과 내용 간 모순 없음을 동일시할 위험</w:t>
            </w:r>
          </w:p>
        </w:tc>
        <w:tc>
          <w:tcPr>
            <w:tcW w:type="dxa" w:w="3175"/>
          </w:tcPr>
          <w:p>
            <w:pPr>
              <w:spacing w:after="40" w:line="264" w:lineRule="auto"/>
            </w:pPr>
            <w:r/>
            <w:r>
              <w:rPr>
                <w:sz w:val="15"/>
              </w:rPr>
              <w:t>표현 형식의 일관성과 의미적 정합성을 분리. S06은 현재 저자기관 초록 확인 수준. 직접 정의 보강 필요.</w:t>
            </w:r>
          </w:p>
        </w:tc>
        <w:tc>
          <w:tcPr>
            <w:tcW w:type="dxa" w:w="1304"/>
          </w:tcPr>
          <w:p>
            <w:pPr>
              <w:spacing w:after="40" w:line="264" w:lineRule="auto"/>
            </w:pPr>
            <w:r/>
            <w:r>
              <w:rPr>
                <w:sz w:val="15"/>
              </w:rPr>
              <w:t>S03 Appendix D; S06 초록</w:t>
            </w:r>
          </w:p>
        </w:tc>
      </w:tr>
      <w:tr>
        <w:tc>
          <w:tcPr>
            <w:tcW w:type="dxa" w:w="737"/>
            <w:shd w:val="clear" w:color="auto" w:fill="F3F6FA"/>
          </w:tcPr>
          <w:p>
            <w:pPr>
              <w:spacing w:after="40" w:line="264" w:lineRule="auto"/>
            </w:pPr>
            <w:r/>
            <w:r>
              <w:rPr>
                <w:sz w:val="15"/>
              </w:rPr>
              <w:t>R04</w:t>
            </w:r>
          </w:p>
        </w:tc>
        <w:tc>
          <w:tcPr>
            <w:tcW w:type="dxa" w:w="794"/>
            <w:shd w:val="clear" w:color="auto" w:fill="F3F6FA"/>
          </w:tcPr>
          <w:p>
            <w:pPr>
              <w:spacing w:after="40" w:line="264" w:lineRule="auto"/>
            </w:pPr>
            <w:r/>
            <w:r>
              <w:rPr>
                <w:sz w:val="15"/>
              </w:rPr>
              <w:t>중요</w:t>
            </w:r>
          </w:p>
        </w:tc>
        <w:tc>
          <w:tcPr>
            <w:tcW w:type="dxa" w:w="1247"/>
            <w:shd w:val="clear" w:color="auto" w:fill="F3F6FA"/>
          </w:tcPr>
          <w:p>
            <w:pPr>
              <w:spacing w:after="40" w:line="264" w:lineRule="auto"/>
            </w:pPr>
            <w:r/>
            <w:r>
              <w:rPr>
                <w:sz w:val="15"/>
              </w:rPr>
              <w:t>추적성 범위</w:t>
            </w:r>
          </w:p>
        </w:tc>
        <w:tc>
          <w:tcPr>
            <w:tcW w:type="dxa" w:w="2154"/>
            <w:shd w:val="clear" w:color="auto" w:fill="F3F6FA"/>
          </w:tcPr>
          <w:p>
            <w:pPr>
              <w:spacing w:after="40" w:line="264" w:lineRule="auto"/>
            </w:pPr>
            <w:r/>
            <w:r>
              <w:rPr>
                <w:sz w:val="15"/>
              </w:rPr>
              <w:t>전방·후방 추적 개념에 후방 문항만 배정</w:t>
            </w:r>
          </w:p>
        </w:tc>
        <w:tc>
          <w:tcPr>
            <w:tcW w:type="dxa" w:w="3175"/>
            <w:shd w:val="clear" w:color="auto" w:fill="F3F6FA"/>
          </w:tcPr>
          <w:p>
            <w:pPr>
              <w:spacing w:after="40" w:line="264" w:lineRule="auto"/>
            </w:pPr>
            <w:r/>
            <w:r>
              <w:rPr>
                <w:sz w:val="15"/>
              </w:rPr>
              <w:t>현재 정의를 후방 근거 추적가능성으로 한정. 전방 추적 포함 여부는 Gate 2에서 판단.</w:t>
            </w:r>
          </w:p>
        </w:tc>
        <w:tc>
          <w:tcPr>
            <w:tcW w:type="dxa" w:w="1304"/>
            <w:shd w:val="clear" w:color="auto" w:fill="F3F6FA"/>
          </w:tcPr>
          <w:p>
            <w:pPr>
              <w:spacing w:after="40" w:line="264" w:lineRule="auto"/>
            </w:pPr>
            <w:r/>
            <w:r>
              <w:rPr>
                <w:sz w:val="15"/>
              </w:rPr>
              <w:t>S01 §5.1 PDF p.4</w:t>
            </w:r>
          </w:p>
        </w:tc>
      </w:tr>
      <w:tr>
        <w:tc>
          <w:tcPr>
            <w:tcW w:type="dxa" w:w="737"/>
          </w:tcPr>
          <w:p>
            <w:pPr>
              <w:spacing w:after="40" w:line="264" w:lineRule="auto"/>
            </w:pPr>
            <w:r/>
            <w:r>
              <w:rPr>
                <w:sz w:val="15"/>
              </w:rPr>
              <w:t>R05</w:t>
            </w:r>
          </w:p>
        </w:tc>
        <w:tc>
          <w:tcPr>
            <w:tcW w:type="dxa" w:w="794"/>
          </w:tcPr>
          <w:p>
            <w:pPr>
              <w:spacing w:after="40" w:line="264" w:lineRule="auto"/>
            </w:pPr>
            <w:r/>
            <w:r>
              <w:rPr>
                <w:sz w:val="15"/>
              </w:rPr>
              <w:t>중요</w:t>
            </w:r>
          </w:p>
        </w:tc>
        <w:tc>
          <w:tcPr>
            <w:tcW w:type="dxa" w:w="1247"/>
          </w:tcPr>
          <w:p>
            <w:pPr>
              <w:spacing w:after="40" w:line="264" w:lineRule="auto"/>
            </w:pPr>
            <w:r/>
            <w:r>
              <w:rPr>
                <w:sz w:val="15"/>
              </w:rPr>
              <w:t>증빙성 인용</w:t>
            </w:r>
          </w:p>
        </w:tc>
        <w:tc>
          <w:tcPr>
            <w:tcW w:type="dxa" w:w="2154"/>
          </w:tcPr>
          <w:p>
            <w:pPr>
              <w:spacing w:after="40" w:line="264" w:lineRule="auto"/>
            </w:pPr>
            <w:r/>
            <w:r>
              <w:rPr>
                <w:sz w:val="15"/>
              </w:rPr>
              <w:t>훈련 기록의 증거 역할을 모든 연결의 품질 차원으로 확정</w:t>
            </w:r>
          </w:p>
        </w:tc>
        <w:tc>
          <w:tcPr>
            <w:tcW w:type="dxa" w:w="3175"/>
          </w:tcPr>
          <w:p>
            <w:pPr>
              <w:spacing w:after="40" w:line="264" w:lineRule="auto"/>
            </w:pPr>
            <w:r/>
            <w:r>
              <w:rPr>
                <w:sz w:val="15"/>
              </w:rPr>
              <w:t>연결 증빙가능성은 연구자 확장. 실제 사용 기록으로 문항을 수정하고 TR 중복을 검토.</w:t>
            </w:r>
          </w:p>
        </w:tc>
        <w:tc>
          <w:tcPr>
            <w:tcW w:type="dxa" w:w="1304"/>
          </w:tcPr>
          <w:p>
            <w:pPr>
              <w:spacing w:after="40" w:line="264" w:lineRule="auto"/>
            </w:pPr>
            <w:r/>
            <w:r>
              <w:rPr>
                <w:sz w:val="15"/>
              </w:rPr>
              <w:t>B17 PDF p.5</w:t>
            </w:r>
          </w:p>
        </w:tc>
      </w:tr>
      <w:tr>
        <w:tc>
          <w:tcPr>
            <w:tcW w:type="dxa" w:w="737"/>
            <w:shd w:val="clear" w:color="auto" w:fill="F3F6FA"/>
          </w:tcPr>
          <w:p>
            <w:pPr>
              <w:spacing w:after="40" w:line="264" w:lineRule="auto"/>
            </w:pPr>
            <w:r/>
            <w:r>
              <w:rPr>
                <w:sz w:val="15"/>
              </w:rPr>
              <w:t>R06</w:t>
            </w:r>
          </w:p>
        </w:tc>
        <w:tc>
          <w:tcPr>
            <w:tcW w:type="dxa" w:w="794"/>
            <w:shd w:val="clear" w:color="auto" w:fill="F3F6FA"/>
          </w:tcPr>
          <w:p>
            <w:pPr>
              <w:spacing w:after="40" w:line="264" w:lineRule="auto"/>
            </w:pPr>
            <w:r/>
            <w:r>
              <w:rPr>
                <w:sz w:val="15"/>
              </w:rPr>
              <w:t>최우선</w:t>
            </w:r>
          </w:p>
        </w:tc>
        <w:tc>
          <w:tcPr>
            <w:tcW w:type="dxa" w:w="1247"/>
            <w:shd w:val="clear" w:color="auto" w:fill="F3F6FA"/>
          </w:tcPr>
          <w:p>
            <w:pPr>
              <w:spacing w:after="40" w:line="264" w:lineRule="auto"/>
            </w:pPr>
            <w:r/>
            <w:r>
              <w:rPr>
                <w:sz w:val="15"/>
              </w:rPr>
              <w:t>책임성 개념</w:t>
            </w:r>
          </w:p>
        </w:tc>
        <w:tc>
          <w:tcPr>
            <w:tcW w:type="dxa" w:w="2154"/>
            <w:shd w:val="clear" w:color="auto" w:fill="F3F6FA"/>
          </w:tcPr>
          <w:p>
            <w:pPr>
              <w:spacing w:after="40" w:line="264" w:lineRule="auto"/>
            </w:pPr>
            <w:r/>
            <w:r>
              <w:rPr>
                <w:sz w:val="15"/>
              </w:rPr>
              <w:t>담당 지정 문항을 Bovens Accountability로 설명</w:t>
            </w:r>
          </w:p>
        </w:tc>
        <w:tc>
          <w:tcPr>
            <w:tcW w:type="dxa" w:w="3175"/>
            <w:shd w:val="clear" w:color="auto" w:fill="F3F6FA"/>
          </w:tcPr>
          <w:p>
            <w:pPr>
              <w:spacing w:after="40" w:line="264" w:lineRule="auto"/>
            </w:pPr>
            <w:r/>
            <w:r>
              <w:rPr>
                <w:sz w:val="15"/>
              </w:rPr>
              <w:t>연결 책임명확성으로 변경. 관리조건 후보로 분리. 설명 의무·판단·결과 부담을 측정했다고 주장하지 않음.</w:t>
            </w:r>
          </w:p>
        </w:tc>
        <w:tc>
          <w:tcPr>
            <w:tcW w:type="dxa" w:w="1304"/>
            <w:shd w:val="clear" w:color="auto" w:fill="F3F6FA"/>
          </w:tcPr>
          <w:p>
            <w:pPr>
              <w:spacing w:after="40" w:line="264" w:lineRule="auto"/>
            </w:pPr>
            <w:r/>
            <w:r>
              <w:rPr>
                <w:sz w:val="15"/>
              </w:rPr>
              <w:t>S07 출판사 초록; A49·A50</w:t>
            </w:r>
          </w:p>
        </w:tc>
      </w:tr>
      <w:tr>
        <w:tc>
          <w:tcPr>
            <w:tcW w:type="dxa" w:w="737"/>
          </w:tcPr>
          <w:p>
            <w:pPr>
              <w:spacing w:after="40" w:line="264" w:lineRule="auto"/>
            </w:pPr>
            <w:r/>
            <w:r>
              <w:rPr>
                <w:sz w:val="15"/>
              </w:rPr>
              <w:t>R07</w:t>
            </w:r>
          </w:p>
        </w:tc>
        <w:tc>
          <w:tcPr>
            <w:tcW w:type="dxa" w:w="794"/>
          </w:tcPr>
          <w:p>
            <w:pPr>
              <w:spacing w:after="40" w:line="264" w:lineRule="auto"/>
            </w:pPr>
            <w:r/>
            <w:r>
              <w:rPr>
                <w:sz w:val="15"/>
              </w:rPr>
              <w:t>중요</w:t>
            </w:r>
          </w:p>
        </w:tc>
        <w:tc>
          <w:tcPr>
            <w:tcW w:type="dxa" w:w="1247"/>
          </w:tcPr>
          <w:p>
            <w:pPr>
              <w:spacing w:after="40" w:line="264" w:lineRule="auto"/>
            </w:pPr>
            <w:r/>
            <w:r>
              <w:rPr>
                <w:sz w:val="15"/>
              </w:rPr>
              <w:t>시간 개념</w:t>
            </w:r>
          </w:p>
        </w:tc>
        <w:tc>
          <w:tcPr>
            <w:tcW w:type="dxa" w:w="2154"/>
          </w:tcPr>
          <w:p>
            <w:pPr>
              <w:spacing w:after="40" w:line="264" w:lineRule="auto"/>
            </w:pPr>
            <w:r/>
            <w:r>
              <w:rPr>
                <w:sz w:val="15"/>
              </w:rPr>
              <w:t>최신성과 적시성을 혼용</w:t>
            </w:r>
          </w:p>
        </w:tc>
        <w:tc>
          <w:tcPr>
            <w:tcW w:type="dxa" w:w="3175"/>
          </w:tcPr>
          <w:p>
            <w:pPr>
              <w:spacing w:after="40" w:line="264" w:lineRule="auto"/>
            </w:pPr>
            <w:r/>
            <w:r>
              <w:rPr>
                <w:sz w:val="15"/>
              </w:rPr>
              <w:t>변경전파 적시성으로 변경. 과업 필요 시점 기준으로 문항 수정. 변경 없음 분리.</w:t>
            </w:r>
          </w:p>
        </w:tc>
        <w:tc>
          <w:tcPr>
            <w:tcW w:type="dxa" w:w="1304"/>
          </w:tcPr>
          <w:p>
            <w:pPr>
              <w:spacing w:after="40" w:line="264" w:lineRule="auto"/>
            </w:pPr>
            <w:r/>
            <w:r>
              <w:rPr>
                <w:sz w:val="15"/>
              </w:rPr>
              <w:t>S04 저널 pp.214–215</w:t>
            </w:r>
          </w:p>
        </w:tc>
      </w:tr>
      <w:tr>
        <w:tc>
          <w:tcPr>
            <w:tcW w:type="dxa" w:w="737"/>
            <w:shd w:val="clear" w:color="auto" w:fill="F3F6FA"/>
          </w:tcPr>
          <w:p>
            <w:pPr>
              <w:spacing w:after="40" w:line="264" w:lineRule="auto"/>
            </w:pPr>
            <w:r/>
            <w:r>
              <w:rPr>
                <w:sz w:val="15"/>
              </w:rPr>
              <w:t>R08</w:t>
            </w:r>
          </w:p>
        </w:tc>
        <w:tc>
          <w:tcPr>
            <w:tcW w:type="dxa" w:w="794"/>
            <w:shd w:val="clear" w:color="auto" w:fill="F3F6FA"/>
          </w:tcPr>
          <w:p>
            <w:pPr>
              <w:spacing w:after="40" w:line="264" w:lineRule="auto"/>
            </w:pPr>
            <w:r/>
            <w:r>
              <w:rPr>
                <w:sz w:val="15"/>
              </w:rPr>
              <w:t>최우선</w:t>
            </w:r>
          </w:p>
        </w:tc>
        <w:tc>
          <w:tcPr>
            <w:tcW w:type="dxa" w:w="1247"/>
            <w:shd w:val="clear" w:color="auto" w:fill="F3F6FA"/>
          </w:tcPr>
          <w:p>
            <w:pPr>
              <w:spacing w:after="40" w:line="264" w:lineRule="auto"/>
            </w:pPr>
            <w:r/>
            <w:r>
              <w:rPr>
                <w:sz w:val="15"/>
              </w:rPr>
              <w:t>환류와 완결성</w:t>
            </w:r>
          </w:p>
        </w:tc>
        <w:tc>
          <w:tcPr>
            <w:tcW w:type="dxa" w:w="2154"/>
            <w:shd w:val="clear" w:color="auto" w:fill="F3F6FA"/>
          </w:tcPr>
          <w:p>
            <w:pPr>
              <w:spacing w:after="40" w:line="264" w:lineRule="auto"/>
            </w:pPr>
            <w:r/>
            <w:r>
              <w:rPr>
                <w:sz w:val="15"/>
              </w:rPr>
              <w:t>개선 결과 사용을 닫힌 순환 완료로 확장; Double-loop를 직접 근거로 사용</w:t>
            </w:r>
          </w:p>
        </w:tc>
        <w:tc>
          <w:tcPr>
            <w:tcW w:type="dxa" w:w="3175"/>
            <w:shd w:val="clear" w:color="auto" w:fill="F3F6FA"/>
          </w:tcPr>
          <w:p>
            <w:pPr>
              <w:spacing w:after="40" w:line="264" w:lineRule="auto"/>
            </w:pPr>
            <w:r/>
            <w:r>
              <w:rPr>
                <w:sz w:val="15"/>
              </w:rPr>
              <w:t>개선조치 완결성은 경로 후보로 보류. 경로·종료 기준 및 직접 근거를 추가 확보. S08을 직접 정의 근거에서 제외.</w:t>
            </w:r>
          </w:p>
        </w:tc>
        <w:tc>
          <w:tcPr>
            <w:tcW w:type="dxa" w:w="1304"/>
            <w:shd w:val="clear" w:color="auto" w:fill="F3F6FA"/>
          </w:tcPr>
          <w:p>
            <w:pPr>
              <w:spacing w:after="40" w:line="264" w:lineRule="auto"/>
            </w:pPr>
            <w:r/>
            <w:r>
              <w:rPr>
                <w:sz w:val="15"/>
              </w:rPr>
              <w:t>A23·A25·A29; 본 연구 판단</w:t>
            </w:r>
          </w:p>
        </w:tc>
      </w:tr>
      <w:tr>
        <w:tc>
          <w:tcPr>
            <w:tcW w:type="dxa" w:w="737"/>
          </w:tcPr>
          <w:p>
            <w:pPr>
              <w:spacing w:after="40" w:line="264" w:lineRule="auto"/>
            </w:pPr>
            <w:r/>
            <w:r>
              <w:rPr>
                <w:sz w:val="15"/>
              </w:rPr>
              <w:t>R09</w:t>
            </w:r>
          </w:p>
        </w:tc>
        <w:tc>
          <w:tcPr>
            <w:tcW w:type="dxa" w:w="794"/>
          </w:tcPr>
          <w:p>
            <w:pPr>
              <w:spacing w:after="40" w:line="264" w:lineRule="auto"/>
            </w:pPr>
            <w:r/>
            <w:r>
              <w:rPr>
                <w:sz w:val="15"/>
              </w:rPr>
              <w:t>최우선</w:t>
            </w:r>
          </w:p>
        </w:tc>
        <w:tc>
          <w:tcPr>
            <w:tcW w:type="dxa" w:w="1247"/>
          </w:tcPr>
          <w:p>
            <w:pPr>
              <w:spacing w:after="40" w:line="264" w:lineRule="auto"/>
            </w:pPr>
            <w:r/>
            <w:r>
              <w:rPr>
                <w:sz w:val="15"/>
              </w:rPr>
              <w:t>31개 관계 혼합</w:t>
            </w:r>
          </w:p>
        </w:tc>
        <w:tc>
          <w:tcPr>
            <w:tcW w:type="dxa" w:w="2154"/>
          </w:tcPr>
          <w:p>
            <w:pPr>
              <w:spacing w:after="40" w:line="264" w:lineRule="auto"/>
            </w:pPr>
            <w:r/>
            <w:r>
              <w:rPr>
                <w:sz w:val="15"/>
              </w:rPr>
              <w:t>위계 2·집단 2·가설 3에 동일하게 문항 생성</w:t>
            </w:r>
          </w:p>
        </w:tc>
        <w:tc>
          <w:tcPr>
            <w:tcW w:type="dxa" w:w="3175"/>
          </w:tcPr>
          <w:p>
            <w:pPr>
              <w:spacing w:after="40" w:line="264" w:lineRule="auto"/>
            </w:pPr>
            <w:r/>
            <w:r>
              <w:rPr>
                <w:sz w:val="15"/>
              </w:rPr>
              <w:t>운영 후보 24·위계 2·집단 2·근거 보류 3으로 구분. 관련 35문항은 기록 보존용 보류.</w:t>
            </w:r>
          </w:p>
        </w:tc>
        <w:tc>
          <w:tcPr>
            <w:tcW w:type="dxa" w:w="1304"/>
          </w:tcPr>
          <w:p>
            <w:pPr>
              <w:spacing w:after="40" w:line="264" w:lineRule="auto"/>
            </w:pPr>
            <w:r/>
            <w:r>
              <w:rPr>
                <w:sz w:val="15"/>
              </w:rPr>
              <w:t>A18·A21·A30; 관계근거31</w:t>
            </w:r>
          </w:p>
        </w:tc>
      </w:tr>
      <w:tr>
        <w:tc>
          <w:tcPr>
            <w:tcW w:type="dxa" w:w="737"/>
            <w:shd w:val="clear" w:color="auto" w:fill="F3F6FA"/>
          </w:tcPr>
          <w:p>
            <w:pPr>
              <w:spacing w:after="40" w:line="264" w:lineRule="auto"/>
            </w:pPr>
            <w:r/>
            <w:r>
              <w:rPr>
                <w:sz w:val="15"/>
              </w:rPr>
              <w:t>R10</w:t>
            </w:r>
          </w:p>
        </w:tc>
        <w:tc>
          <w:tcPr>
            <w:tcW w:type="dxa" w:w="794"/>
            <w:shd w:val="clear" w:color="auto" w:fill="F3F6FA"/>
          </w:tcPr>
          <w:p>
            <w:pPr>
              <w:spacing w:after="40" w:line="264" w:lineRule="auto"/>
            </w:pPr>
            <w:r/>
            <w:r>
              <w:rPr>
                <w:sz w:val="15"/>
              </w:rPr>
              <w:t>중요</w:t>
            </w:r>
          </w:p>
        </w:tc>
        <w:tc>
          <w:tcPr>
            <w:tcW w:type="dxa" w:w="1247"/>
            <w:shd w:val="clear" w:color="auto" w:fill="F3F6FA"/>
          </w:tcPr>
          <w:p>
            <w:pPr>
              <w:spacing w:after="40" w:line="264" w:lineRule="auto"/>
            </w:pPr>
            <w:r/>
            <w:r>
              <w:rPr>
                <w:sz w:val="15"/>
              </w:rPr>
              <w:t>관계 근거 등급</w:t>
            </w:r>
          </w:p>
        </w:tc>
        <w:tc>
          <w:tcPr>
            <w:tcW w:type="dxa" w:w="2154"/>
            <w:shd w:val="clear" w:color="auto" w:fill="F3F6FA"/>
          </w:tcPr>
          <w:p>
            <w:pPr>
              <w:spacing w:after="40" w:line="264" w:lineRule="auto"/>
            </w:pPr>
            <w:r/>
            <w:r>
              <w:rPr>
                <w:sz w:val="15"/>
              </w:rPr>
              <w:t>L16·L23–L27·L31을 E1로 처리</w:t>
            </w:r>
          </w:p>
        </w:tc>
        <w:tc>
          <w:tcPr>
            <w:tcW w:type="dxa" w:w="3175"/>
            <w:shd w:val="clear" w:color="auto" w:fill="F3F6FA"/>
          </w:tcPr>
          <w:p>
            <w:pPr>
              <w:spacing w:after="40" w:line="264" w:lineRule="auto"/>
            </w:pPr>
            <w:r/>
            <w:r>
              <w:rPr>
                <w:sz w:val="15"/>
              </w:rPr>
              <w:t>끝점·방향·집단의 정규화가 필요하므로 E2로 변경. E1 19·E2 9·E3 3. 문헌 직접성 분류이며 전문가 합의 아님.</w:t>
            </w:r>
          </w:p>
        </w:tc>
        <w:tc>
          <w:tcPr>
            <w:tcW w:type="dxa" w:w="1304"/>
            <w:shd w:val="clear" w:color="auto" w:fill="F3F6FA"/>
          </w:tcPr>
          <w:p>
            <w:pPr>
              <w:spacing w:after="40" w:line="264" w:lineRule="auto"/>
            </w:pPr>
            <w:r/>
            <w:r>
              <w:rPr>
                <w:sz w:val="15"/>
              </w:rPr>
              <w:t>A23·A29·A30·A18</w:t>
            </w:r>
          </w:p>
        </w:tc>
      </w:tr>
      <w:tr>
        <w:tc>
          <w:tcPr>
            <w:tcW w:type="dxa" w:w="737"/>
          </w:tcPr>
          <w:p>
            <w:pPr>
              <w:spacing w:after="40" w:line="264" w:lineRule="auto"/>
            </w:pPr>
            <w:r/>
            <w:r>
              <w:rPr>
                <w:sz w:val="15"/>
              </w:rPr>
              <w:t>R11</w:t>
            </w:r>
          </w:p>
        </w:tc>
        <w:tc>
          <w:tcPr>
            <w:tcW w:type="dxa" w:w="794"/>
          </w:tcPr>
          <w:p>
            <w:pPr>
              <w:spacing w:after="40" w:line="264" w:lineRule="auto"/>
            </w:pPr>
            <w:r/>
            <w:r>
              <w:rPr>
                <w:sz w:val="15"/>
              </w:rPr>
              <w:t>최우선</w:t>
            </w:r>
          </w:p>
        </w:tc>
        <w:tc>
          <w:tcPr>
            <w:tcW w:type="dxa" w:w="1247"/>
          </w:tcPr>
          <w:p>
            <w:pPr>
              <w:spacing w:after="40" w:line="264" w:lineRule="auto"/>
            </w:pPr>
            <w:r/>
            <w:r>
              <w:rPr>
                <w:sz w:val="15"/>
              </w:rPr>
              <w:t>ProcessLink와 CQ</w:t>
            </w:r>
          </w:p>
        </w:tc>
        <w:tc>
          <w:tcPr>
            <w:tcW w:type="dxa" w:w="2154"/>
          </w:tcPr>
          <w:p>
            <w:pPr>
              <w:spacing w:after="40" w:line="264" w:lineRule="auto"/>
            </w:pPr>
            <w:r/>
            <w:r>
              <w:rPr>
                <w:sz w:val="15"/>
              </w:rPr>
              <w:t>프로세스 유형에 품질 점수를 고정; CQ와 설문을 동일시</w:t>
            </w:r>
          </w:p>
        </w:tc>
        <w:tc>
          <w:tcPr>
            <w:tcW w:type="dxa" w:w="3175"/>
          </w:tcPr>
          <w:p>
            <w:pPr>
              <w:spacing w:after="40" w:line="264" w:lineRule="auto"/>
            </w:pPr>
            <w:r/>
            <w:r>
              <w:rPr>
                <w:sz w:val="15"/>
              </w:rPr>
              <w:t>LinkObservation에 조직·기간·응답자·문항 응답을 귀속. CQ는 지식구조 질의, 문항은 경험적 상태 관측으로 분리.</w:t>
            </w:r>
          </w:p>
        </w:tc>
        <w:tc>
          <w:tcPr>
            <w:tcW w:type="dxa" w:w="1304"/>
          </w:tcPr>
          <w:p>
            <w:pPr>
              <w:spacing w:after="40" w:line="264" w:lineRule="auto"/>
            </w:pPr>
            <w:r/>
            <w:r>
              <w:rPr>
                <w:sz w:val="15"/>
              </w:rPr>
              <w:t>B02·B04–B08</w:t>
            </w:r>
          </w:p>
        </w:tc>
      </w:tr>
      <w:tr>
        <w:tc>
          <w:tcPr>
            <w:tcW w:type="dxa" w:w="737"/>
            <w:shd w:val="clear" w:color="auto" w:fill="F3F6FA"/>
          </w:tcPr>
          <w:p>
            <w:pPr>
              <w:spacing w:after="40" w:line="264" w:lineRule="auto"/>
            </w:pPr>
            <w:r/>
            <w:r>
              <w:rPr>
                <w:sz w:val="15"/>
              </w:rPr>
              <w:t>R12</w:t>
            </w:r>
          </w:p>
        </w:tc>
        <w:tc>
          <w:tcPr>
            <w:tcW w:type="dxa" w:w="794"/>
            <w:shd w:val="clear" w:color="auto" w:fill="F3F6FA"/>
          </w:tcPr>
          <w:p>
            <w:pPr>
              <w:spacing w:after="40" w:line="264" w:lineRule="auto"/>
            </w:pPr>
            <w:r/>
            <w:r>
              <w:rPr>
                <w:sz w:val="15"/>
              </w:rPr>
              <w:t>최우선</w:t>
            </w:r>
          </w:p>
        </w:tc>
        <w:tc>
          <w:tcPr>
            <w:tcW w:type="dxa" w:w="1247"/>
            <w:shd w:val="clear" w:color="auto" w:fill="F3F6FA"/>
          </w:tcPr>
          <w:p>
            <w:pPr>
              <w:spacing w:after="40" w:line="264" w:lineRule="auto"/>
            </w:pPr>
            <w:r/>
            <w:r>
              <w:rPr>
                <w:sz w:val="15"/>
              </w:rPr>
              <w:t>점수 산정</w:t>
            </w:r>
          </w:p>
        </w:tc>
        <w:tc>
          <w:tcPr>
            <w:tcW w:type="dxa" w:w="2154"/>
            <w:shd w:val="clear" w:color="auto" w:fill="F3F6FA"/>
          </w:tcPr>
          <w:p>
            <w:pPr>
              <w:spacing w:after="40" w:line="264" w:lineRule="auto"/>
            </w:pPr>
            <w:r/>
            <w:r>
              <w:rPr>
                <w:sz w:val="15"/>
              </w:rPr>
              <w:t>5~6차원 평균과 동일가중 6차원 지수를 자동 산출</w:t>
            </w:r>
          </w:p>
        </w:tc>
        <w:tc>
          <w:tcPr>
            <w:tcW w:type="dxa" w:w="3175"/>
            <w:shd w:val="clear" w:color="auto" w:fill="F3F6FA"/>
          </w:tcPr>
          <w:p>
            <w:pPr>
              <w:spacing w:after="40" w:line="264" w:lineRule="auto"/>
            </w:pPr>
            <w:r/>
            <w:r>
              <w:rPr>
                <w:sz w:val="15"/>
              </w:rPr>
              <w:t>확정 전 점수·자동 평균 산출 중단. 반영적/형성적/프로파일 선택과 조직 집계 근거를 먼저 검토.</w:t>
            </w:r>
          </w:p>
        </w:tc>
        <w:tc>
          <w:tcPr>
            <w:tcW w:type="dxa" w:w="1304"/>
            <w:shd w:val="clear" w:color="auto" w:fill="F3F6FA"/>
          </w:tcPr>
          <w:p>
            <w:pPr>
              <w:spacing w:after="40" w:line="264" w:lineRule="auto"/>
            </w:pPr>
            <w:r/>
            <w:r>
              <w:rPr>
                <w:sz w:val="15"/>
              </w:rPr>
              <w:t>S10 저널 pp.302–303</w:t>
            </w:r>
          </w:p>
        </w:tc>
      </w:tr>
      <w:tr>
        <w:tc>
          <w:tcPr>
            <w:tcW w:type="dxa" w:w="737"/>
          </w:tcPr>
          <w:p>
            <w:pPr>
              <w:spacing w:after="40" w:line="264" w:lineRule="auto"/>
            </w:pPr>
            <w:r/>
            <w:r>
              <w:rPr>
                <w:sz w:val="15"/>
              </w:rPr>
              <w:t>R13</w:t>
            </w:r>
          </w:p>
        </w:tc>
        <w:tc>
          <w:tcPr>
            <w:tcW w:type="dxa" w:w="794"/>
          </w:tcPr>
          <w:p>
            <w:pPr>
              <w:spacing w:after="40" w:line="264" w:lineRule="auto"/>
            </w:pPr>
            <w:r/>
            <w:r>
              <w:rPr>
                <w:sz w:val="15"/>
              </w:rPr>
              <w:t>중요</w:t>
            </w:r>
          </w:p>
        </w:tc>
        <w:tc>
          <w:tcPr>
            <w:tcW w:type="dxa" w:w="1247"/>
          </w:tcPr>
          <w:p>
            <w:pPr>
              <w:spacing w:after="40" w:line="264" w:lineRule="auto"/>
            </w:pPr>
            <w:r/>
            <w:r>
              <w:rPr>
                <w:sz w:val="15"/>
              </w:rPr>
              <w:t>응답·누락 처리</w:t>
            </w:r>
          </w:p>
        </w:tc>
        <w:tc>
          <w:tcPr>
            <w:tcW w:type="dxa" w:w="2154"/>
          </w:tcPr>
          <w:p>
            <w:pPr>
              <w:spacing w:after="40" w:line="264" w:lineRule="auto"/>
            </w:pPr>
            <w:r/>
            <w:r>
              <w:rPr>
                <w:sz w:val="15"/>
              </w:rPr>
              <w:t>9에 해당 없음과 모름을 합침; 프로세스 미보유 전부 건너뜀</w:t>
            </w:r>
          </w:p>
        </w:tc>
        <w:tc>
          <w:tcPr>
            <w:tcW w:type="dxa" w:w="3175"/>
          </w:tcPr>
          <w:p>
            <w:pPr>
              <w:spacing w:after="40" w:line="264" w:lineRule="auto"/>
            </w:pPr>
            <w:r/>
            <w:r>
              <w:rPr>
                <w:sz w:val="15"/>
              </w:rPr>
              <w:t>모름·범위 밖·변경 없음·미운영을 분리. 범위상 필요한 프로세스의 미운영을 해당 없음으로 은폐하지 않음.</w:t>
            </w:r>
          </w:p>
        </w:tc>
        <w:tc>
          <w:tcPr>
            <w:tcW w:type="dxa" w:w="1304"/>
          </w:tcPr>
          <w:p>
            <w:pPr>
              <w:spacing w:after="40" w:line="264" w:lineRule="auto"/>
            </w:pPr>
            <w:r/>
            <w:r>
              <w:rPr>
                <w:sz w:val="15"/>
              </w:rPr>
              <w:t>연구자 응답 설계 수정</w:t>
            </w:r>
          </w:p>
        </w:tc>
      </w:tr>
      <w:tr>
        <w:tc>
          <w:tcPr>
            <w:tcW w:type="dxa" w:w="737"/>
            <w:shd w:val="clear" w:color="auto" w:fill="F3F6FA"/>
          </w:tcPr>
          <w:p>
            <w:pPr>
              <w:spacing w:after="40" w:line="264" w:lineRule="auto"/>
            </w:pPr>
            <w:r/>
            <w:r>
              <w:rPr>
                <w:sz w:val="15"/>
              </w:rPr>
              <w:t>R14</w:t>
            </w:r>
          </w:p>
        </w:tc>
        <w:tc>
          <w:tcPr>
            <w:tcW w:type="dxa" w:w="794"/>
            <w:shd w:val="clear" w:color="auto" w:fill="F3F6FA"/>
          </w:tcPr>
          <w:p>
            <w:pPr>
              <w:spacing w:after="40" w:line="264" w:lineRule="auto"/>
            </w:pPr>
            <w:r/>
            <w:r>
              <w:rPr>
                <w:sz w:val="15"/>
              </w:rPr>
              <w:t>중요</w:t>
            </w:r>
          </w:p>
        </w:tc>
        <w:tc>
          <w:tcPr>
            <w:tcW w:type="dxa" w:w="1247"/>
            <w:shd w:val="clear" w:color="auto" w:fill="F3F6FA"/>
          </w:tcPr>
          <w:p>
            <w:pPr>
              <w:spacing w:after="40" w:line="264" w:lineRule="auto"/>
            </w:pPr>
            <w:r/>
            <w:r>
              <w:rPr>
                <w:sz w:val="15"/>
              </w:rPr>
              <w:t>타당화 수치</w:t>
            </w:r>
          </w:p>
        </w:tc>
        <w:tc>
          <w:tcPr>
            <w:tcW w:type="dxa" w:w="2154"/>
            <w:shd w:val="clear" w:color="auto" w:fill="F3F6FA"/>
          </w:tcPr>
          <w:p>
            <w:pPr>
              <w:spacing w:after="40" w:line="264" w:lineRule="auto"/>
            </w:pPr>
            <w:r/>
            <w:r>
              <w:rPr>
                <w:sz w:val="15"/>
              </w:rPr>
              <w:t>80/20을 연결과 문항에 자동 적용; N≥150과 r&lt;.85 고정</w:t>
            </w:r>
          </w:p>
        </w:tc>
        <w:tc>
          <w:tcPr>
            <w:tcW w:type="dxa" w:w="3175"/>
            <w:shd w:val="clear" w:color="auto" w:fill="F3F6FA"/>
          </w:tcPr>
          <w:p>
            <w:pPr>
              <w:spacing w:after="40" w:line="264" w:lineRule="auto"/>
            </w:pPr>
            <w:r/>
            <w:r>
              <w:rPr>
                <w:sz w:val="15"/>
              </w:rPr>
              <w:t>프로세스 지명률을 전용하지 않음. I-CVI를 근거와 함께 쓰되 자동 채택은 금지. 표본·판별타당도는 최종 모형에 따라 설계.</w:t>
            </w:r>
          </w:p>
        </w:tc>
        <w:tc>
          <w:tcPr>
            <w:tcW w:type="dxa" w:w="1304"/>
            <w:shd w:val="clear" w:color="auto" w:fill="F3F6FA"/>
          </w:tcPr>
          <w:p>
            <w:pPr>
              <w:spacing w:after="40" w:line="264" w:lineRule="auto"/>
            </w:pPr>
            <w:r/>
            <w:r>
              <w:rPr>
                <w:sz w:val="15"/>
              </w:rPr>
              <w:t>S14 초록; S10; S13</w:t>
            </w:r>
          </w:p>
        </w:tc>
      </w:tr>
      <w:tr>
        <w:tc>
          <w:tcPr>
            <w:tcW w:type="dxa" w:w="737"/>
          </w:tcPr>
          <w:p>
            <w:pPr>
              <w:spacing w:after="40" w:line="264" w:lineRule="auto"/>
            </w:pPr>
            <w:r/>
            <w:r>
              <w:rPr>
                <w:sz w:val="15"/>
              </w:rPr>
              <w:t>R15</w:t>
            </w:r>
          </w:p>
        </w:tc>
        <w:tc>
          <w:tcPr>
            <w:tcW w:type="dxa" w:w="794"/>
          </w:tcPr>
          <w:p>
            <w:pPr>
              <w:spacing w:after="40" w:line="264" w:lineRule="auto"/>
            </w:pPr>
            <w:r/>
            <w:r>
              <w:rPr>
                <w:sz w:val="15"/>
              </w:rPr>
              <w:t>중요</w:t>
            </w:r>
          </w:p>
        </w:tc>
        <w:tc>
          <w:tcPr>
            <w:tcW w:type="dxa" w:w="1247"/>
          </w:tcPr>
          <w:p>
            <w:pPr>
              <w:spacing w:after="40" w:line="264" w:lineRule="auto"/>
            </w:pPr>
            <w:r/>
            <w:r>
              <w:rPr>
                <w:sz w:val="15"/>
              </w:rPr>
              <w:t>외부타당도</w:t>
            </w:r>
          </w:p>
        </w:tc>
        <w:tc>
          <w:tcPr>
            <w:tcW w:type="dxa" w:w="2154"/>
          </w:tcPr>
          <w:p>
            <w:pPr>
              <w:spacing w:after="40" w:line="264" w:lineRule="auto"/>
            </w:pPr>
            <w:r/>
            <w:r>
              <w:rPr>
                <w:sz w:val="15"/>
              </w:rPr>
              <w:t>종합·역문항·E1/E3 응답 차이를 외부타당도로 해석</w:t>
            </w:r>
          </w:p>
        </w:tc>
        <w:tc>
          <w:tcPr>
            <w:tcW w:type="dxa" w:w="3175"/>
          </w:tcPr>
          <w:p>
            <w:pPr>
              <w:spacing w:after="40" w:line="264" w:lineRule="auto"/>
            </w:pPr>
            <w:r/>
            <w:r>
              <w:rPr>
                <w:sz w:val="15"/>
              </w:rPr>
              <w:t>방법효과·주의 문항과 외부준거를 구별. ORAS 출처·판본·항목을 확보하고 개념 중복과 판별타당도 검토.</w:t>
            </w:r>
          </w:p>
        </w:tc>
        <w:tc>
          <w:tcPr>
            <w:tcW w:type="dxa" w:w="1304"/>
          </w:tcPr>
          <w:p>
            <w:pPr>
              <w:spacing w:after="40" w:line="264" w:lineRule="auto"/>
            </w:pPr>
            <w:r/>
            <w:r>
              <w:rPr>
                <w:sz w:val="15"/>
              </w:rPr>
              <w:t>S10; 검증계획</w:t>
            </w:r>
          </w:p>
        </w:tc>
      </w:tr>
      <w:tr>
        <w:tc>
          <w:tcPr>
            <w:tcW w:type="dxa" w:w="737"/>
            <w:shd w:val="clear" w:color="auto" w:fill="F3F6FA"/>
          </w:tcPr>
          <w:p>
            <w:pPr>
              <w:spacing w:after="40" w:line="264" w:lineRule="auto"/>
            </w:pPr>
            <w:r/>
            <w:r>
              <w:rPr>
                <w:sz w:val="15"/>
              </w:rPr>
              <w:t>R16</w:t>
            </w:r>
          </w:p>
        </w:tc>
        <w:tc>
          <w:tcPr>
            <w:tcW w:type="dxa" w:w="794"/>
            <w:shd w:val="clear" w:color="auto" w:fill="F3F6FA"/>
          </w:tcPr>
          <w:p>
            <w:pPr>
              <w:spacing w:after="40" w:line="264" w:lineRule="auto"/>
            </w:pPr>
            <w:r/>
            <w:r>
              <w:rPr>
                <w:sz w:val="15"/>
              </w:rPr>
              <w:t>중요</w:t>
            </w:r>
          </w:p>
        </w:tc>
        <w:tc>
          <w:tcPr>
            <w:tcW w:type="dxa" w:w="1247"/>
            <w:shd w:val="clear" w:color="auto" w:fill="F3F6FA"/>
          </w:tcPr>
          <w:p>
            <w:pPr>
              <w:spacing w:after="40" w:line="264" w:lineRule="auto"/>
            </w:pPr>
            <w:r/>
            <w:r>
              <w:rPr>
                <w:sz w:val="15"/>
              </w:rPr>
              <w:t>범위·누락</w:t>
            </w:r>
          </w:p>
        </w:tc>
        <w:tc>
          <w:tcPr>
            <w:tcW w:type="dxa" w:w="2154"/>
            <w:shd w:val="clear" w:color="auto" w:fill="F3F6FA"/>
          </w:tcPr>
          <w:p>
            <w:pPr>
              <w:spacing w:after="40" w:line="264" w:lineRule="auto"/>
            </w:pPr>
            <w:r/>
            <w:r>
              <w:rPr>
                <w:sz w:val="15"/>
              </w:rPr>
              <w:t>22개 표시를 모든 운영 관계 완성으로 간주</w:t>
            </w:r>
          </w:p>
        </w:tc>
        <w:tc>
          <w:tcPr>
            <w:tcW w:type="dxa" w:w="3175"/>
            <w:shd w:val="clear" w:color="auto" w:fill="F3F6FA"/>
          </w:tcPr>
          <w:p>
            <w:pPr>
              <w:spacing w:after="40" w:line="264" w:lineRule="auto"/>
            </w:pPr>
            <w:r/>
            <w:r>
              <w:rPr>
                <w:sz w:val="15"/>
              </w:rPr>
              <w:t>운영 후보에 18개 유형 등장. POL·AWR·WARN·REC의 운영 연결 공백을 별도 표시. 전체 활동의 커버리지 %는 산출 불가.</w:t>
            </w:r>
          </w:p>
        </w:tc>
        <w:tc>
          <w:tcPr>
            <w:tcW w:type="dxa" w:w="1304"/>
            <w:shd w:val="clear" w:color="auto" w:fill="F3F6FA"/>
          </w:tcPr>
          <w:p>
            <w:pPr>
              <w:spacing w:after="40" w:line="264" w:lineRule="auto"/>
            </w:pPr>
            <w:r/>
            <w:r>
              <w:rPr>
                <w:sz w:val="15"/>
              </w:rPr>
              <w:t>Arias Table 5; 관계근거31</w:t>
            </w:r>
          </w:p>
        </w:tc>
      </w:tr>
      <w:tr>
        <w:tc>
          <w:tcPr>
            <w:tcW w:type="dxa" w:w="737"/>
          </w:tcPr>
          <w:p>
            <w:pPr>
              <w:spacing w:after="40" w:line="264" w:lineRule="auto"/>
            </w:pPr>
            <w:r/>
            <w:r>
              <w:rPr>
                <w:sz w:val="15"/>
              </w:rPr>
              <w:t>R17</w:t>
            </w:r>
          </w:p>
        </w:tc>
        <w:tc>
          <w:tcPr>
            <w:tcW w:type="dxa" w:w="794"/>
          </w:tcPr>
          <w:p>
            <w:pPr>
              <w:spacing w:after="40" w:line="264" w:lineRule="auto"/>
            </w:pPr>
            <w:r/>
            <w:r>
              <w:rPr>
                <w:sz w:val="15"/>
              </w:rPr>
              <w:t>중요</w:t>
            </w:r>
          </w:p>
        </w:tc>
        <w:tc>
          <w:tcPr>
            <w:tcW w:type="dxa" w:w="1247"/>
          </w:tcPr>
          <w:p>
            <w:pPr>
              <w:spacing w:after="40" w:line="264" w:lineRule="auto"/>
            </w:pPr>
            <w:r/>
            <w:r>
              <w:rPr>
                <w:sz w:val="15"/>
              </w:rPr>
              <w:t>문항 수 충돌</w:t>
            </w:r>
          </w:p>
        </w:tc>
        <w:tc>
          <w:tcPr>
            <w:tcW w:type="dxa" w:w="2154"/>
          </w:tcPr>
          <w:p>
            <w:pPr>
              <w:spacing w:after="40" w:line="264" w:lineRule="auto"/>
            </w:pPr>
            <w:r/>
            <w:r>
              <w:rPr>
                <w:sz w:val="15"/>
              </w:rPr>
              <w:t>첨부 원문 DOCX의 연구 부록은 30관계·60문항, V3는 31관계·179문항</w:t>
            </w:r>
          </w:p>
        </w:tc>
        <w:tc>
          <w:tcPr>
            <w:tcW w:type="dxa" w:w="3175"/>
          </w:tcPr>
          <w:p>
            <w:pPr>
              <w:spacing w:after="40" w:line="264" w:lineRule="auto"/>
            </w:pPr>
            <w:r/>
            <w:r>
              <w:rPr>
                <w:sz w:val="15"/>
              </w:rPr>
              <w:t>60문항 배정 규칙을 현 설계로 사용하지 않음. V3 179개 ID를 검토 기록으로 보존하고 최종 수는 중복·내용타당화 후 결정.</w:t>
            </w:r>
          </w:p>
        </w:tc>
        <w:tc>
          <w:tcPr>
            <w:tcW w:type="dxa" w:w="1304"/>
          </w:tcPr>
          <w:p>
            <w:pPr>
              <w:spacing w:after="40" w:line="264" w:lineRule="auto"/>
            </w:pPr>
            <w:r/>
            <w:r>
              <w:rPr>
                <w:sz w:val="15"/>
              </w:rPr>
              <w:t>첨부 DOCX 부록 및 V3 문항은행</w:t>
            </w:r>
          </w:p>
        </w:tc>
      </w:tr>
      <w:tr>
        <w:tc>
          <w:tcPr>
            <w:tcW w:type="dxa" w:w="737"/>
            <w:shd w:val="clear" w:color="auto" w:fill="F3F6FA"/>
          </w:tcPr>
          <w:p>
            <w:pPr>
              <w:spacing w:after="40" w:line="264" w:lineRule="auto"/>
            </w:pPr>
            <w:r/>
            <w:r>
              <w:rPr>
                <w:sz w:val="15"/>
              </w:rPr>
              <w:t>R18</w:t>
            </w:r>
          </w:p>
        </w:tc>
        <w:tc>
          <w:tcPr>
            <w:tcW w:type="dxa" w:w="794"/>
            <w:shd w:val="clear" w:color="auto" w:fill="F3F6FA"/>
          </w:tcPr>
          <w:p>
            <w:pPr>
              <w:spacing w:after="40" w:line="264" w:lineRule="auto"/>
            </w:pPr>
            <w:r/>
            <w:r>
              <w:rPr>
                <w:sz w:val="15"/>
              </w:rPr>
              <w:t>중요</w:t>
            </w:r>
          </w:p>
        </w:tc>
        <w:tc>
          <w:tcPr>
            <w:tcW w:type="dxa" w:w="1247"/>
            <w:shd w:val="clear" w:color="auto" w:fill="F3F6FA"/>
          </w:tcPr>
          <w:p>
            <w:pPr>
              <w:spacing w:after="40" w:line="264" w:lineRule="auto"/>
            </w:pPr>
            <w:r/>
            <w:r>
              <w:rPr>
                <w:sz w:val="15"/>
              </w:rPr>
              <w:t>원문과 연구 부록</w:t>
            </w:r>
          </w:p>
        </w:tc>
        <w:tc>
          <w:tcPr>
            <w:tcW w:type="dxa" w:w="2154"/>
            <w:shd w:val="clear" w:color="auto" w:fill="F3F6FA"/>
          </w:tcPr>
          <w:p>
            <w:pPr>
              <w:spacing w:after="40" w:line="264" w:lineRule="auto"/>
            </w:pPr>
            <w:r/>
            <w:r>
              <w:rPr>
                <w:sz w:val="15"/>
              </w:rPr>
              <w:t>원문 DOCX에서 직접 인용과 연구자 연결 추론이 혼재</w:t>
            </w:r>
          </w:p>
        </w:tc>
        <w:tc>
          <w:tcPr>
            <w:tcW w:type="dxa" w:w="3175"/>
            <w:shd w:val="clear" w:color="auto" w:fill="F3F6FA"/>
          </w:tcPr>
          <w:p>
            <w:pPr>
              <w:spacing w:after="40" w:line="264" w:lineRule="auto"/>
            </w:pPr>
            <w:r/>
            <w:r>
              <w:rPr>
                <w:sz w:val="15"/>
              </w:rPr>
              <w:t>인용은 발행 PDF의 쪽·절·표 기준. DOCX 후반 관계표·60문항 제안은 연구자 부록으로 다룸.</w:t>
            </w:r>
          </w:p>
        </w:tc>
        <w:tc>
          <w:tcPr>
            <w:tcW w:type="dxa" w:w="1304"/>
            <w:shd w:val="clear" w:color="auto" w:fill="F3F6FA"/>
          </w:tcPr>
          <w:p>
            <w:pPr>
              <w:spacing w:after="40" w:line="264" w:lineRule="auto"/>
            </w:pPr>
            <w:r/>
            <w:r>
              <w:rPr>
                <w:sz w:val="15"/>
              </w:rPr>
              <w:t>Arias PDF §4.3; Białas 첨부 PDF</w:t>
            </w:r>
          </w:p>
        </w:tc>
      </w:tr>
      <w:tr>
        <w:tc>
          <w:tcPr>
            <w:tcW w:type="dxa" w:w="737"/>
          </w:tcPr>
          <w:p>
            <w:pPr>
              <w:spacing w:after="40" w:line="264" w:lineRule="auto"/>
            </w:pPr>
            <w:r/>
            <w:r>
              <w:rPr>
                <w:sz w:val="15"/>
              </w:rPr>
              <w:t>R19</w:t>
            </w:r>
          </w:p>
        </w:tc>
        <w:tc>
          <w:tcPr>
            <w:tcW w:type="dxa" w:w="794"/>
          </w:tcPr>
          <w:p>
            <w:pPr>
              <w:spacing w:after="40" w:line="264" w:lineRule="auto"/>
            </w:pPr>
            <w:r/>
            <w:r>
              <w:rPr>
                <w:sz w:val="15"/>
              </w:rPr>
              <w:t>보완</w:t>
            </w:r>
          </w:p>
        </w:tc>
        <w:tc>
          <w:tcPr>
            <w:tcW w:type="dxa" w:w="1247"/>
          </w:tcPr>
          <w:p>
            <w:pPr>
              <w:spacing w:after="40" w:line="264" w:lineRule="auto"/>
            </w:pPr>
            <w:r/>
            <w:r>
              <w:rPr>
                <w:sz w:val="15"/>
              </w:rPr>
              <w:t>인용 문자열 대조</w:t>
            </w:r>
          </w:p>
        </w:tc>
        <w:tc>
          <w:tcPr>
            <w:tcW w:type="dxa" w:w="2154"/>
          </w:tcPr>
          <w:p>
            <w:pPr>
              <w:spacing w:after="40" w:line="264" w:lineRule="auto"/>
            </w:pPr>
            <w:r/>
            <w:r>
              <w:rPr>
                <w:sz w:val="15"/>
              </w:rPr>
              <w:t>72개 문자 일치가 연결·차원 타당성 확인으로 읽힐 위험</w:t>
            </w:r>
          </w:p>
        </w:tc>
        <w:tc>
          <w:tcPr>
            <w:tcW w:type="dxa" w:w="3175"/>
          </w:tcPr>
          <w:p>
            <w:pPr>
              <w:spacing w:after="40" w:line="264" w:lineRule="auto"/>
            </w:pPr>
            <w:r/>
            <w:r>
              <w:rPr>
                <w:sz w:val="15"/>
              </w:rPr>
              <w:t>페이지 범위와 머리말·꼬리말 제거 후 72개 문자열 대조 일치. 문자 일치는 해석·번역·측정 타당성의 증거가 아님.</w:t>
            </w:r>
          </w:p>
        </w:tc>
        <w:tc>
          <w:tcPr>
            <w:tcW w:type="dxa" w:w="1304"/>
          </w:tcPr>
          <w:p>
            <w:pPr>
              <w:spacing w:after="40" w:line="264" w:lineRule="auto"/>
            </w:pPr>
            <w:r/>
            <w:r>
              <w:rPr>
                <w:sz w:val="15"/>
              </w:rPr>
              <w:t>인용원문72 재대조</w:t>
            </w:r>
          </w:p>
        </w:tc>
      </w:tr>
      <w:tr>
        <w:tc>
          <w:tcPr>
            <w:tcW w:type="dxa" w:w="737"/>
            <w:shd w:val="clear" w:color="auto" w:fill="F3F6FA"/>
          </w:tcPr>
          <w:p>
            <w:pPr>
              <w:spacing w:after="40" w:line="264" w:lineRule="auto"/>
            </w:pPr>
            <w:r/>
            <w:r>
              <w:rPr>
                <w:sz w:val="15"/>
              </w:rPr>
              <w:t>R20</w:t>
            </w:r>
          </w:p>
        </w:tc>
        <w:tc>
          <w:tcPr>
            <w:tcW w:type="dxa" w:w="794"/>
            <w:shd w:val="clear" w:color="auto" w:fill="F3F6FA"/>
          </w:tcPr>
          <w:p>
            <w:pPr>
              <w:spacing w:after="40" w:line="264" w:lineRule="auto"/>
            </w:pPr>
            <w:r/>
            <w:r>
              <w:rPr>
                <w:sz w:val="15"/>
              </w:rPr>
              <w:t>보완</w:t>
            </w:r>
          </w:p>
        </w:tc>
        <w:tc>
          <w:tcPr>
            <w:tcW w:type="dxa" w:w="1247"/>
            <w:shd w:val="clear" w:color="auto" w:fill="F3F6FA"/>
          </w:tcPr>
          <w:p>
            <w:pPr>
              <w:spacing w:after="40" w:line="264" w:lineRule="auto"/>
            </w:pPr>
            <w:r/>
            <w:r>
              <w:rPr>
                <w:sz w:val="15"/>
              </w:rPr>
              <w:t>관계동사·품질 혼합</w:t>
            </w:r>
          </w:p>
        </w:tc>
        <w:tc>
          <w:tcPr>
            <w:tcW w:type="dxa" w:w="2154"/>
            <w:shd w:val="clear" w:color="auto" w:fill="F3F6FA"/>
          </w:tcPr>
          <w:p>
            <w:pPr>
              <w:spacing w:after="40" w:line="264" w:lineRule="auto"/>
            </w:pPr>
            <w:r/>
            <w:r>
              <w:rPr>
                <w:sz w:val="15"/>
              </w:rPr>
              <w:t>동사가 차원 이름과 비슷하면 자동으로 중복이라고 판단</w:t>
            </w:r>
          </w:p>
        </w:tc>
        <w:tc>
          <w:tcPr>
            <w:tcW w:type="dxa" w:w="3175"/>
            <w:shd w:val="clear" w:color="auto" w:fill="F3F6FA"/>
          </w:tcPr>
          <w:p>
            <w:pPr>
              <w:spacing w:after="40" w:line="264" w:lineRule="auto"/>
            </w:pPr>
            <w:r/>
            <w:r>
              <w:rPr>
                <w:sz w:val="15"/>
              </w:rPr>
              <w:t>관계 의미와 품질 상태는 서로 다른 층. 실제 동일 내용의 문항·기록에 한해서 중복 여부를 판단.</w:t>
            </w:r>
          </w:p>
        </w:tc>
        <w:tc>
          <w:tcPr>
            <w:tcW w:type="dxa" w:w="1304"/>
            <w:shd w:val="clear" w:color="auto" w:fill="F3F6FA"/>
          </w:tcPr>
          <w:p>
            <w:pPr>
              <w:spacing w:after="40" w:line="264" w:lineRule="auto"/>
            </w:pPr>
            <w:r/>
            <w:r>
              <w:rPr>
                <w:sz w:val="15"/>
              </w:rPr>
              <w:t>본 연구의 의미 구조 설계</w:t>
            </w:r>
          </w:p>
        </w:tc>
      </w:tr>
      <w:tr>
        <w:tc>
          <w:tcPr>
            <w:tcW w:type="dxa" w:w="737"/>
          </w:tcPr>
          <w:p>
            <w:pPr>
              <w:spacing w:after="40" w:line="264" w:lineRule="auto"/>
            </w:pPr>
            <w:r/>
            <w:r>
              <w:rPr>
                <w:sz w:val="15"/>
              </w:rPr>
              <w:t>R21–R26</w:t>
            </w:r>
          </w:p>
        </w:tc>
        <w:tc>
          <w:tcPr>
            <w:tcW w:type="dxa" w:w="794"/>
          </w:tcPr>
          <w:p>
            <w:pPr>
              <w:spacing w:after="40" w:line="264" w:lineRule="auto"/>
            </w:pPr>
            <w:r/>
            <w:r>
              <w:rPr>
                <w:sz w:val="15"/>
              </w:rPr>
              <w:t>V5</w:t>
            </w:r>
          </w:p>
        </w:tc>
        <w:tc>
          <w:tcPr>
            <w:tcW w:type="dxa" w:w="1247"/>
          </w:tcPr>
          <w:p>
            <w:pPr>
              <w:spacing w:after="40" w:line="264" w:lineRule="auto"/>
            </w:pPr>
            <w:r/>
            <w:r>
              <w:rPr>
                <w:sz w:val="15"/>
              </w:rPr>
              <w:t>발표용 정리</w:t>
            </w:r>
          </w:p>
        </w:tc>
        <w:tc>
          <w:tcPr>
            <w:tcW w:type="dxa" w:w="2154"/>
          </w:tcPr>
          <w:p>
            <w:pPr>
              <w:spacing w:after="40" w:line="264" w:lineRule="auto"/>
            </w:pPr>
            <w:r/>
            <w:r>
              <w:rPr>
                <w:sz w:val="15"/>
              </w:rPr>
              <w:t>—</w:t>
            </w:r>
          </w:p>
        </w:tc>
        <w:tc>
          <w:tcPr>
            <w:tcW w:type="dxa" w:w="3175"/>
          </w:tcPr>
          <w:p>
            <w:pPr>
              <w:spacing w:after="40" w:line="264" w:lineRule="auto"/>
            </w:pPr>
            <w:r/>
            <w:r>
              <w:rPr>
                <w:sz w:val="15"/>
              </w:rPr>
              <w:t>이야기하기·인용지도·참고문헌 추가(R21), 인용 확인 수준 3단계(R22), 72개 재대조(R23), 서지 표기(R24), 22×22 MAP 이미지(R25), B17 쪽 번호 p.6→p.5 정정(R26). 연구 분류·문항·정의는 V4와 동일.</w:t>
            </w:r>
          </w:p>
        </w:tc>
        <w:tc>
          <w:tcPr>
            <w:tcW w:type="dxa" w:w="1304"/>
          </w:tcPr>
          <w:p>
            <w:pPr>
              <w:spacing w:after="40" w:line="264" w:lineRule="auto"/>
            </w:pPr>
            <w:r/>
            <w:r>
              <w:rPr>
                <w:sz w:val="15"/>
              </w:rPr>
              <w:t>시트 수정이력</w:t>
            </w:r>
          </w:p>
        </w:tc>
      </w:tr>
    </w:tbl>
    <w:p>
      <w:pPr>
        <w:spacing w:after="40"/>
      </w:pP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BCMS 연계성 해설서 V5 · 쪽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ascii="맑은 고딕" w:hAnsi="맑은 고딕" w:eastAsia="맑은 고딕"/>
      <w:b/>
      <w:bCs/>
      <w:color w:val="14213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4213D"/>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421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