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Informe de cumplimiento</w:t>
      </w:r>
    </w:p>
    <w:p>
      <w:pPr>
        <w:spacing w:after="40"/>
      </w:pPr>
      <w:r>
        <w:rPr>
          <w:color w:val="444444"/>
          <w:sz w:val="28"/>
          <w:szCs w:val="28"/>
        </w:rPr>
        <w:t xml:space="preserve">Monitor de Salud de Oracle — Proyecto TLD</w:t>
      </w:r>
    </w:p>
    <w:p>
      <w:pPr>
        <w:spacing w:after="300"/>
      </w:pPr>
      <w:r>
        <w:rPr>
          <w:i/>
          <w:iCs/>
          <w:color w:val="666666"/>
          <w:sz w:val="20"/>
          <w:szCs w:val="20"/>
        </w:rPr>
        <w:t xml:space="preserve">Comparación contra “EIF402 — Monitor de Salud de una Base de Datos” (Admin. de Bases de Datos, II Ciclo 2026)</w:t>
      </w:r>
    </w:p>
    <w:p>
      <w:pPr>
        <w:pStyle w:val="Heading1"/>
        <w:spacing w:after="160" w:before="320"/>
      </w:pPr>
      <w:r>
        <w:rPr>
          <w:b/>
          <w:bCs/>
        </w:rPr>
        <w:t xml:space="preserve">1. Resumen ejecutivo</w:t>
      </w:r>
    </w:p>
    <w:p>
      <w:pPr>
        <w:spacing w:after="160"/>
      </w:pPr>
      <w:r>
        <w:rPr>
          <w:sz w:val="21"/>
          <w:szCs w:val="21"/>
        </w:rPr>
        <w:t xml:space="preserve">El monitor implementado en tld-backend/src/routes/monitor.js, js/monitor-salud.js y monitor.html cubre de forma sólida la arquitectura conceptual del documento: tres componentes (Procesos, Memoria, Archivos), cada uno con su indicador (IP, IM, IA), combinados en el Índice de Salud de la Base de Datos (ISBD) con la fórmula y la escala exactas propuestas, un sistema de alertas con los 8 campos solicitados, y un dashboard equivalente al esquema del documento.</w:t>
      </w:r>
    </w:p>
    <w:p>
      <w:pPr>
        <w:spacing w:after="160"/>
      </w:pPr>
      <w:r>
        <w:rPr>
          <w:sz w:val="21"/>
          <w:szCs w:val="21"/>
        </w:rPr>
        <w:t xml:space="preserve">De los 17 requisitos evaluados: 10 cumplen completamente, 6 cumplen parcialmente (variables o fuentes de Oracle específicas que se sustituyeron por equivalentes, sin romper el indicador) y 1 no está implementado: el modelo de datos persistente (tablas MONITOR_*) descrito en la sección 24 del documento. Actualmente el sistema no guarda historial de índices ni de alertas en base de datos; el único historial que existe vive en el navegador (localStorage), limitado a 40 lecturas.</w:t>
      </w:r>
    </w:p>
    <w:p>
      <w:pPr>
        <w:pStyle w:val="Heading1"/>
        <w:spacing w:after="160" w:before="320"/>
      </w:pPr>
      <w:r>
        <w:rPr>
          <w:b/>
          <w:bCs/>
        </w:rPr>
        <w:t xml:space="preserve">2. Tabla de cumplimiento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500"/>
        <w:gridCol w:w="4620"/>
      </w:tblGrid>
      <w:tr>
        <w:trPr>
          <w:tblHeader/>
        </w:trPr>
        <w:tc>
          <w:tcPr>
            <w:tcW w:type="dxa" w:w="560"/>
            <w:shd w:fill="2F3A4C" w:color="auto" w:val="clear"/>
            <w:tcMar>
              <w:top w:type="dxa" w:w="80"/>
              <w:left w:type="dxa" w:w="100"/>
              <w:bottom w:type="dxa" w:w="80"/>
              <w:right w:type="dxa" w:w="100"/>
            </w:tcMar>
          </w:tcPr>
          <w:p>
            <w:pPr>
              <w:jc w:val="left"/>
            </w:pPr>
            <w:r>
              <w:rPr>
                <w:b/>
                <w:bCs/>
                <w:color w:val="FFFFFF"/>
                <w:sz w:val="19"/>
                <w:szCs w:val="19"/>
              </w:rPr>
              <w:t xml:space="preserve">#</w:t>
            </w:r>
          </w:p>
        </w:tc>
        <w:tc>
          <w:tcPr>
            <w:tcW w:type="dxa" w:w="3400"/>
            <w:shd w:fill="2F3A4C" w:color="auto" w:val="clear"/>
            <w:tcMar>
              <w:top w:type="dxa" w:w="80"/>
              <w:left w:type="dxa" w:w="100"/>
              <w:bottom w:type="dxa" w:w="80"/>
              <w:right w:type="dxa" w:w="100"/>
            </w:tcMar>
          </w:tcPr>
          <w:p>
            <w:pPr>
              <w:jc w:val="left"/>
            </w:pPr>
            <w:r>
              <w:rPr>
                <w:b/>
                <w:bCs/>
                <w:color w:val="FFFFFF"/>
                <w:sz w:val="19"/>
                <w:szCs w:val="19"/>
              </w:rPr>
              <w:t xml:space="preserve">Requisito (documento EIF402)</w:t>
            </w:r>
          </w:p>
        </w:tc>
        <w:tc>
          <w:tcPr>
            <w:tcW w:type="dxa" w:w="1500"/>
            <w:shd w:fill="2F3A4C" w:color="auto" w:val="clear"/>
            <w:tcMar>
              <w:top w:type="dxa" w:w="80"/>
              <w:left w:type="dxa" w:w="100"/>
              <w:bottom w:type="dxa" w:w="80"/>
              <w:right w:type="dxa" w:w="100"/>
            </w:tcMar>
          </w:tcPr>
          <w:p>
            <w:pPr>
              <w:jc w:val="left"/>
            </w:pPr>
            <w:r>
              <w:rPr>
                <w:b/>
                <w:bCs/>
                <w:color w:val="FFFFFF"/>
                <w:sz w:val="19"/>
                <w:szCs w:val="19"/>
              </w:rPr>
              <w:t xml:space="preserve">Estado</w:t>
            </w:r>
          </w:p>
        </w:tc>
        <w:tc>
          <w:tcPr>
            <w:tcW w:type="dxa" w:w="4620"/>
            <w:shd w:fill="2F3A4C" w:color="auto" w:val="clear"/>
            <w:tcMar>
              <w:top w:type="dxa" w:w="80"/>
              <w:left w:type="dxa" w:w="100"/>
              <w:bottom w:type="dxa" w:w="80"/>
              <w:right w:type="dxa" w:w="100"/>
            </w:tcMar>
          </w:tcPr>
          <w:p>
            <w:pPr>
              <w:jc w:val="left"/>
            </w:pPr>
            <w:r>
              <w:rPr>
                <w:b/>
                <w:bCs/>
                <w:color w:val="FFFFFF"/>
                <w:sz w:val="19"/>
                <w:szCs w:val="19"/>
              </w:rPr>
              <w:t xml:space="preserve">Evidencia / observación</w:t>
            </w:r>
          </w:p>
        </w:tc>
      </w:tr>
      <w:tr>
        <w:tc>
          <w:tcPr>
            <w:tcW w:type="dxa" w:w="560"/>
            <w:tcMar>
              <w:top w:type="dxa" w:w="80"/>
              <w:left w:type="dxa" w:w="100"/>
              <w:bottom w:type="dxa" w:w="80"/>
              <w:right w:type="dxa" w:w="100"/>
            </w:tcMar>
          </w:tcPr>
          <w:p>
            <w:pPr>
              <w:jc w:val="center"/>
            </w:pPr>
            <w:r>
              <w:rPr>
                <w:b w:val="false"/>
                <w:bCs w:val="false"/>
                <w:sz w:val="19"/>
                <w:szCs w:val="19"/>
              </w:rPr>
              <w:t xml:space="preserve">1</w:t>
            </w:r>
          </w:p>
        </w:tc>
        <w:tc>
          <w:tcPr>
            <w:tcW w:type="dxa" w:w="3400"/>
            <w:tcMar>
              <w:top w:type="dxa" w:w="80"/>
              <w:left w:type="dxa" w:w="100"/>
              <w:bottom w:type="dxa" w:w="80"/>
              <w:right w:type="dxa" w:w="100"/>
            </w:tcMar>
          </w:tcPr>
          <w:p>
            <w:pPr>
              <w:jc w:val="left"/>
            </w:pPr>
            <w:r>
              <w:rPr>
                <w:b w:val="false"/>
                <w:bCs w:val="false"/>
                <w:sz w:val="19"/>
                <w:szCs w:val="19"/>
              </w:rPr>
              <w:t xml:space="preserve">Tres componentes (Procesos, Memoria, Archivos) que alimentan un Índice de Salud (ISBD) mostrado en un dashboard</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monitor.html + monitor-salud.js implementan exactamente esta arquitectura: 3 paneles → IP/IM/IA → ISBD → tarjetas y alertas.</w:t>
            </w:r>
          </w:p>
        </w:tc>
      </w:tr>
      <w:tr>
        <w:tc>
          <w:tcPr>
            <w:tcW w:type="dxa" w:w="560"/>
            <w:tcMar>
              <w:top w:type="dxa" w:w="80"/>
              <w:left w:type="dxa" w:w="100"/>
              <w:bottom w:type="dxa" w:w="80"/>
              <w:right w:type="dxa" w:w="100"/>
            </w:tcMar>
          </w:tcPr>
          <w:p>
            <w:pPr>
              <w:jc w:val="center"/>
            </w:pPr>
            <w:r>
              <w:rPr>
                <w:b w:val="false"/>
                <w:bCs w:val="false"/>
                <w:sz w:val="19"/>
                <w:szCs w:val="19"/>
              </w:rPr>
              <w:t xml:space="preserve">2</w:t>
            </w:r>
          </w:p>
        </w:tc>
        <w:tc>
          <w:tcPr>
            <w:tcW w:type="dxa" w:w="3400"/>
            <w:tcMar>
              <w:top w:type="dxa" w:w="80"/>
              <w:left w:type="dxa" w:w="100"/>
              <w:bottom w:type="dxa" w:w="80"/>
              <w:right w:type="dxa" w:w="100"/>
            </w:tcMar>
          </w:tcPr>
          <w:p>
            <w:pPr>
              <w:jc w:val="left"/>
            </w:pPr>
            <w:r>
              <w:rPr>
                <w:b w:val="false"/>
                <w:bCs w:val="false"/>
                <w:sz w:val="19"/>
                <w:szCs w:val="19"/>
              </w:rPr>
              <w:t xml:space="preserve">Procesos — variables propuestas (actuales, máximos, sesiones activas/inactivas/bloqueadas, long ops, uso de recursos)</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Todas presentes en buildMetrics()/calcIP(): processesCurrent, processesLimit, sessionsActive/Inactive, sessionsBlocked, longOps, utilización.</w:t>
            </w:r>
          </w:p>
        </w:tc>
      </w:tr>
      <w:tr>
        <w:tc>
          <w:tcPr>
            <w:tcW w:type="dxa" w:w="560"/>
            <w:tcMar>
              <w:top w:type="dxa" w:w="80"/>
              <w:left w:type="dxa" w:w="100"/>
              <w:bottom w:type="dxa" w:w="80"/>
              <w:right w:type="dxa" w:w="100"/>
            </w:tcMar>
          </w:tcPr>
          <w:p>
            <w:pPr>
              <w:jc w:val="center"/>
            </w:pPr>
            <w:r>
              <w:rPr>
                <w:b w:val="false"/>
                <w:bCs w:val="false"/>
                <w:sz w:val="19"/>
                <w:szCs w:val="19"/>
              </w:rPr>
              <w:t xml:space="preserve">3</w:t>
            </w:r>
          </w:p>
        </w:tc>
        <w:tc>
          <w:tcPr>
            <w:tcW w:type="dxa" w:w="3400"/>
            <w:tcMar>
              <w:top w:type="dxa" w:w="80"/>
              <w:left w:type="dxa" w:w="100"/>
              <w:bottom w:type="dxa" w:w="80"/>
              <w:right w:type="dxa" w:w="100"/>
            </w:tcMar>
          </w:tcPr>
          <w:p>
            <w:pPr>
              <w:jc w:val="left"/>
            </w:pPr>
            <w:r>
              <w:rPr>
                <w:b w:val="false"/>
                <w:bCs w:val="false"/>
                <w:sz w:val="19"/>
                <w:szCs w:val="19"/>
              </w:rPr>
              <w:t xml:space="preserve">Procesos — fuentes: V$PROCESS, V$SESSION, V$RESOURCE_LIMIT, V$SESSION_LONGOPS, V$WAIT_CHAINS</w:t>
            </w:r>
          </w:p>
        </w:tc>
        <w:tc>
          <w:tcPr>
            <w:tcW w:type="dxa" w:w="1500"/>
            <w:shd w:fill="FFF4E0" w:color="auto" w:val="clear"/>
            <w:tcMar>
              <w:top w:type="dxa" w:w="80"/>
              <w:left w:type="dxa" w:w="100"/>
              <w:bottom w:type="dxa" w:w="80"/>
              <w:right w:type="dxa" w:w="100"/>
            </w:tcMar>
          </w:tcPr>
          <w:p>
            <w:pPr>
              <w:jc w:val="center"/>
            </w:pPr>
            <w:r>
              <w:rPr>
                <w:b/>
                <w:bCs/>
                <w:color w:val="B36B00"/>
                <w:sz w:val="19"/>
                <w:szCs w:val="19"/>
              </w:rPr>
              <w:t xml:space="preserve">Parcial</w:t>
            </w:r>
          </w:p>
        </w:tc>
        <w:tc>
          <w:tcPr>
            <w:tcW w:type="dxa" w:w="4620"/>
            <w:tcMar>
              <w:top w:type="dxa" w:w="80"/>
              <w:left w:type="dxa" w:w="100"/>
              <w:bottom w:type="dxa" w:w="80"/>
              <w:right w:type="dxa" w:w="100"/>
            </w:tcMar>
          </w:tcPr>
          <w:p>
            <w:pPr>
              <w:jc w:val="left"/>
            </w:pPr>
            <w:r>
              <w:rPr>
                <w:b w:val="false"/>
                <w:bCs w:val="false"/>
                <w:sz w:val="18"/>
                <w:szCs w:val="18"/>
              </w:rPr>
              <w:t xml:space="preserve">V$RESOURCE_LIMIT se evitó a propósito (no devuelve filas dentro del PDB XEPDB1, según prueba documentada en el propio código) y se sustituyó por V$PROCESS+V$PARAMETER. V$WAIT_CHAINS solo se menciona como sugerencia de texto en una alerta; no se consulta.</w:t>
            </w:r>
          </w:p>
        </w:tc>
      </w:tr>
      <w:tr>
        <w:tc>
          <w:tcPr>
            <w:tcW w:type="dxa" w:w="560"/>
            <w:tcMar>
              <w:top w:type="dxa" w:w="80"/>
              <w:left w:type="dxa" w:w="100"/>
              <w:bottom w:type="dxa" w:w="80"/>
              <w:right w:type="dxa" w:w="100"/>
            </w:tcMar>
          </w:tcPr>
          <w:p>
            <w:pPr>
              <w:jc w:val="center"/>
            </w:pPr>
            <w:r>
              <w:rPr>
                <w:b w:val="false"/>
                <w:bCs w:val="false"/>
                <w:sz w:val="19"/>
                <w:szCs w:val="19"/>
              </w:rPr>
              <w:t xml:space="preserve">4</w:t>
            </w:r>
          </w:p>
        </w:tc>
        <w:tc>
          <w:tcPr>
            <w:tcW w:type="dxa" w:w="3400"/>
            <w:tcMar>
              <w:top w:type="dxa" w:w="80"/>
              <w:left w:type="dxa" w:w="100"/>
              <w:bottom w:type="dxa" w:w="80"/>
              <w:right w:type="dxa" w:w="100"/>
            </w:tcMar>
          </w:tcPr>
          <w:p>
            <w:pPr>
              <w:jc w:val="left"/>
            </w:pPr>
            <w:r>
              <w:rPr>
                <w:b w:val="false"/>
                <w:bCs w:val="false"/>
                <w:sz w:val="19"/>
                <w:szCs w:val="19"/>
              </w:rPr>
              <w:t xml:space="preserve">Indicador de Procesos — escala 0-69% Normal / 70-84% Advertencia / 85-94% Alto / 95-100% Crítico</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Los umbrales de alerta de “Utilización procesos” usan exactamente 70/85/95%. El puntaje IP añade además una curva continua (no exigida por el documento, que la marca como calibrable).</w:t>
            </w:r>
          </w:p>
        </w:tc>
      </w:tr>
      <w:tr>
        <w:tc>
          <w:tcPr>
            <w:tcW w:type="dxa" w:w="560"/>
            <w:tcMar>
              <w:top w:type="dxa" w:w="80"/>
              <w:left w:type="dxa" w:w="100"/>
              <w:bottom w:type="dxa" w:w="80"/>
              <w:right w:type="dxa" w:w="100"/>
            </w:tcMar>
          </w:tcPr>
          <w:p>
            <w:pPr>
              <w:jc w:val="center"/>
            </w:pPr>
            <w:r>
              <w:rPr>
                <w:b w:val="false"/>
                <w:bCs w:val="false"/>
                <w:sz w:val="19"/>
                <w:szCs w:val="19"/>
              </w:rPr>
              <w:t xml:space="preserve">5</w:t>
            </w:r>
          </w:p>
        </w:tc>
        <w:tc>
          <w:tcPr>
            <w:tcW w:type="dxa" w:w="3400"/>
            <w:tcMar>
              <w:top w:type="dxa" w:w="80"/>
              <w:left w:type="dxa" w:w="100"/>
              <w:bottom w:type="dxa" w:w="80"/>
              <w:right w:type="dxa" w:w="100"/>
            </w:tcMar>
          </w:tcPr>
          <w:p>
            <w:pPr>
              <w:jc w:val="left"/>
            </w:pPr>
            <w:r>
              <w:rPr>
                <w:b w:val="false"/>
                <w:bCs w:val="false"/>
                <w:sz w:val="19"/>
                <w:szCs w:val="19"/>
              </w:rPr>
              <w:t xml:space="preserve">Memoria — variables propuestas (SGA, memoria libre, Shared Pool, Buffer Cache, PGA asignada/usada/máxima, over-allocation, cache hit)</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Todas presentes: sgaTotalMb, sgaFreeMb, sharedPoolPct, bufferCachePct, pgaAllocatedMb, pgaInuseMb, pgaTargetMb, pgaOverAlloc, pgaCacheHitPct.</w:t>
            </w:r>
          </w:p>
        </w:tc>
      </w:tr>
      <w:tr>
        <w:tc>
          <w:tcPr>
            <w:tcW w:type="dxa" w:w="560"/>
            <w:tcMar>
              <w:top w:type="dxa" w:w="80"/>
              <w:left w:type="dxa" w:w="100"/>
              <w:bottom w:type="dxa" w:w="80"/>
              <w:right w:type="dxa" w:w="100"/>
            </w:tcMar>
          </w:tcPr>
          <w:p>
            <w:pPr>
              <w:jc w:val="center"/>
            </w:pPr>
            <w:r>
              <w:rPr>
                <w:b w:val="false"/>
                <w:bCs w:val="false"/>
                <w:sz w:val="19"/>
                <w:szCs w:val="19"/>
              </w:rPr>
              <w:t xml:space="preserve">6</w:t>
            </w:r>
          </w:p>
        </w:tc>
        <w:tc>
          <w:tcPr>
            <w:tcW w:type="dxa" w:w="3400"/>
            <w:tcMar>
              <w:top w:type="dxa" w:w="80"/>
              <w:left w:type="dxa" w:w="100"/>
              <w:bottom w:type="dxa" w:w="80"/>
              <w:right w:type="dxa" w:w="100"/>
            </w:tcMar>
          </w:tcPr>
          <w:p>
            <w:pPr>
              <w:jc w:val="left"/>
            </w:pPr>
            <w:r>
              <w:rPr>
                <w:b w:val="false"/>
                <w:bCs w:val="false"/>
                <w:sz w:val="19"/>
                <w:szCs w:val="19"/>
              </w:rPr>
              <w:t xml:space="preserve">Memoria — fuentes: V$SGA, V$SGAINFO, V$SGASTAT, V$PGASTAT, V$MEMORY_DYNAMIC_COMPONENTS</w:t>
            </w:r>
          </w:p>
        </w:tc>
        <w:tc>
          <w:tcPr>
            <w:tcW w:type="dxa" w:w="1500"/>
            <w:shd w:fill="FFF4E0" w:color="auto" w:val="clear"/>
            <w:tcMar>
              <w:top w:type="dxa" w:w="80"/>
              <w:left w:type="dxa" w:w="100"/>
              <w:bottom w:type="dxa" w:w="80"/>
              <w:right w:type="dxa" w:w="100"/>
            </w:tcMar>
          </w:tcPr>
          <w:p>
            <w:pPr>
              <w:jc w:val="center"/>
            </w:pPr>
            <w:r>
              <w:rPr>
                <w:b/>
                <w:bCs/>
                <w:color w:val="B36B00"/>
                <w:sz w:val="19"/>
                <w:szCs w:val="19"/>
              </w:rPr>
              <w:t xml:space="preserve">Parcial</w:t>
            </w:r>
          </w:p>
        </w:tc>
        <w:tc>
          <w:tcPr>
            <w:tcW w:type="dxa" w:w="4620"/>
            <w:tcMar>
              <w:top w:type="dxa" w:w="80"/>
              <w:left w:type="dxa" w:w="100"/>
              <w:bottom w:type="dxa" w:w="80"/>
              <w:right w:type="dxa" w:w="100"/>
            </w:tcMar>
          </w:tcPr>
          <w:p>
            <w:pPr>
              <w:jc w:val="left"/>
            </w:pPr>
            <w:r>
              <w:rPr>
                <w:b w:val="false"/>
                <w:bCs w:val="false"/>
                <w:sz w:val="18"/>
                <w:szCs w:val="18"/>
              </w:rPr>
              <w:t xml:space="preserve">Las primeras cuatro sí se consultan. V$MEMORY_DYNAMIC_COMPONENTS no se usa en esta versión.</w:t>
            </w:r>
          </w:p>
        </w:tc>
      </w:tr>
      <w:tr>
        <w:tc>
          <w:tcPr>
            <w:tcW w:type="dxa" w:w="560"/>
            <w:tcMar>
              <w:top w:type="dxa" w:w="80"/>
              <w:left w:type="dxa" w:w="100"/>
              <w:bottom w:type="dxa" w:w="80"/>
              <w:right w:type="dxa" w:w="100"/>
            </w:tcMar>
          </w:tcPr>
          <w:p>
            <w:pPr>
              <w:jc w:val="center"/>
            </w:pPr>
            <w:r>
              <w:rPr>
                <w:b w:val="false"/>
                <w:bCs w:val="false"/>
                <w:sz w:val="19"/>
                <w:szCs w:val="19"/>
              </w:rPr>
              <w:t xml:space="preserve">7</w:t>
            </w:r>
          </w:p>
        </w:tc>
        <w:tc>
          <w:tcPr>
            <w:tcW w:type="dxa" w:w="3400"/>
            <w:tcMar>
              <w:top w:type="dxa" w:w="80"/>
              <w:left w:type="dxa" w:w="100"/>
              <w:bottom w:type="dxa" w:w="80"/>
              <w:right w:type="dxa" w:w="100"/>
            </w:tcMar>
          </w:tcPr>
          <w:p>
            <w:pPr>
              <w:jc w:val="left"/>
            </w:pPr>
            <w:r>
              <w:rPr>
                <w:b w:val="false"/>
                <w:bCs w:val="false"/>
                <w:sz w:val="19"/>
                <w:szCs w:val="19"/>
              </w:rPr>
              <w:t xml:space="preserve">Indicador de Memoria — no debe interpretar “más uso = peor salud” de forma aislada</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calcIM() combina 6 señales independientes con penalizaciones propias; Buffer Cache Hit y PGA Cache Hit se tratan correctamente en sentido inverso (alto = bueno).</w:t>
            </w:r>
          </w:p>
        </w:tc>
      </w:tr>
      <w:tr>
        <w:tc>
          <w:tcPr>
            <w:tcW w:type="dxa" w:w="560"/>
            <w:tcMar>
              <w:top w:type="dxa" w:w="80"/>
              <w:left w:type="dxa" w:w="100"/>
              <w:bottom w:type="dxa" w:w="80"/>
              <w:right w:type="dxa" w:w="100"/>
            </w:tcMar>
          </w:tcPr>
          <w:p>
            <w:pPr>
              <w:jc w:val="center"/>
            </w:pPr>
            <w:r>
              <w:rPr>
                <w:b w:val="false"/>
                <w:bCs w:val="false"/>
                <w:sz w:val="19"/>
                <w:szCs w:val="19"/>
              </w:rPr>
              <w:t xml:space="preserve">8</w:t>
            </w:r>
          </w:p>
        </w:tc>
        <w:tc>
          <w:tcPr>
            <w:tcW w:type="dxa" w:w="3400"/>
            <w:tcMar>
              <w:top w:type="dxa" w:w="80"/>
              <w:left w:type="dxa" w:w="100"/>
              <w:bottom w:type="dxa" w:w="80"/>
              <w:right w:type="dxa" w:w="100"/>
            </w:tcMar>
          </w:tcPr>
          <w:p>
            <w:pPr>
              <w:jc w:val="left"/>
            </w:pPr>
            <w:r>
              <w:rPr>
                <w:b w:val="false"/>
                <w:bCs w:val="false"/>
                <w:sz w:val="19"/>
                <w:szCs w:val="19"/>
              </w:rPr>
              <w:t xml:space="preserve">Archivos — variables propuestas (datafiles online/offline, tamaño, espacio de tablespaces, tempfiles, redo logs, archivos inválidos/inaccesibles)</w:t>
            </w:r>
          </w:p>
        </w:tc>
        <w:tc>
          <w:tcPr>
            <w:tcW w:type="dxa" w:w="1500"/>
            <w:shd w:fill="FFF4E0" w:color="auto" w:val="clear"/>
            <w:tcMar>
              <w:top w:type="dxa" w:w="80"/>
              <w:left w:type="dxa" w:w="100"/>
              <w:bottom w:type="dxa" w:w="80"/>
              <w:right w:type="dxa" w:w="100"/>
            </w:tcMar>
          </w:tcPr>
          <w:p>
            <w:pPr>
              <w:jc w:val="center"/>
            </w:pPr>
            <w:r>
              <w:rPr>
                <w:b/>
                <w:bCs/>
                <w:color w:val="B36B00"/>
                <w:sz w:val="19"/>
                <w:szCs w:val="19"/>
              </w:rPr>
              <w:t xml:space="preserve">Parcial</w:t>
            </w:r>
          </w:p>
        </w:tc>
        <w:tc>
          <w:tcPr>
            <w:tcW w:type="dxa" w:w="4620"/>
            <w:tcMar>
              <w:top w:type="dxa" w:w="80"/>
              <w:left w:type="dxa" w:w="100"/>
              <w:bottom w:type="dxa" w:w="80"/>
              <w:right w:type="dxa" w:w="100"/>
            </w:tcMar>
          </w:tcPr>
          <w:p>
            <w:pPr>
              <w:jc w:val="left"/>
            </w:pPr>
            <w:r>
              <w:rPr>
                <w:b w:val="false"/>
                <w:bCs w:val="false"/>
                <w:sz w:val="18"/>
                <w:szCs w:val="18"/>
              </w:rPr>
              <w:t xml:space="preserve">Todas presentes salvo “Tempfiles: estado y capacidad”, donde solo se reporta el % de uso agregado (DBA_TEMP_FREE_SPACE) y no un estado por tempfile individual.</w:t>
            </w:r>
          </w:p>
        </w:tc>
      </w:tr>
      <w:tr>
        <w:tc>
          <w:tcPr>
            <w:tcW w:type="dxa" w:w="560"/>
            <w:tcMar>
              <w:top w:type="dxa" w:w="80"/>
              <w:left w:type="dxa" w:w="100"/>
              <w:bottom w:type="dxa" w:w="80"/>
              <w:right w:type="dxa" w:w="100"/>
            </w:tcMar>
          </w:tcPr>
          <w:p>
            <w:pPr>
              <w:jc w:val="center"/>
            </w:pPr>
            <w:r>
              <w:rPr>
                <w:b w:val="false"/>
                <w:bCs w:val="false"/>
                <w:sz w:val="19"/>
                <w:szCs w:val="19"/>
              </w:rPr>
              <w:t xml:space="preserve">9</w:t>
            </w:r>
          </w:p>
        </w:tc>
        <w:tc>
          <w:tcPr>
            <w:tcW w:type="dxa" w:w="3400"/>
            <w:tcMar>
              <w:top w:type="dxa" w:w="80"/>
              <w:left w:type="dxa" w:w="100"/>
              <w:bottom w:type="dxa" w:w="80"/>
              <w:right w:type="dxa" w:w="100"/>
            </w:tcMar>
          </w:tcPr>
          <w:p>
            <w:pPr>
              <w:jc w:val="left"/>
            </w:pPr>
            <w:r>
              <w:rPr>
                <w:b w:val="false"/>
                <w:bCs w:val="false"/>
                <w:sz w:val="19"/>
                <w:szCs w:val="19"/>
              </w:rPr>
              <w:t xml:space="preserve">Archivos — fuentes: V$DATAFILE, V$TEMPFILE / DBA_TEMP_FILES, V$LOG, V$LOGFILE</w:t>
            </w:r>
          </w:p>
        </w:tc>
        <w:tc>
          <w:tcPr>
            <w:tcW w:type="dxa" w:w="1500"/>
            <w:shd w:fill="FFF4E0" w:color="auto" w:val="clear"/>
            <w:tcMar>
              <w:top w:type="dxa" w:w="80"/>
              <w:left w:type="dxa" w:w="100"/>
              <w:bottom w:type="dxa" w:w="80"/>
              <w:right w:type="dxa" w:w="100"/>
            </w:tcMar>
          </w:tcPr>
          <w:p>
            <w:pPr>
              <w:jc w:val="center"/>
            </w:pPr>
            <w:r>
              <w:rPr>
                <w:b/>
                <w:bCs/>
                <w:color w:val="B36B00"/>
                <w:sz w:val="19"/>
                <w:szCs w:val="19"/>
              </w:rPr>
              <w:t xml:space="preserve">Parcial</w:t>
            </w:r>
          </w:p>
        </w:tc>
        <w:tc>
          <w:tcPr>
            <w:tcW w:type="dxa" w:w="4620"/>
            <w:tcMar>
              <w:top w:type="dxa" w:w="80"/>
              <w:left w:type="dxa" w:w="100"/>
              <w:bottom w:type="dxa" w:w="80"/>
              <w:right w:type="dxa" w:w="100"/>
            </w:tcMar>
          </w:tcPr>
          <w:p>
            <w:pPr>
              <w:jc w:val="left"/>
            </w:pPr>
            <w:r>
              <w:rPr>
                <w:b w:val="false"/>
                <w:bCs w:val="false"/>
                <w:sz w:val="18"/>
                <w:szCs w:val="18"/>
              </w:rPr>
              <w:t xml:space="preserve">Se usa V$DATAFILE + V$DATAFILE_HEADER (bien). Para tablespaces se usa DBA_DATA_FILES/DBA_FREE_SPACE en vez de una vista listada. Para tempfiles se usa DBA_TEMP_FREE_SPACE en lugar de V$TEMPFILE/DBA_TEMP_FILES. Para redo logs solo V$LOG; V$LOGFILE (detalle de miembros) no se consulta.</w:t>
            </w:r>
          </w:p>
        </w:tc>
      </w:tr>
      <w:tr>
        <w:tc>
          <w:tcPr>
            <w:tcW w:type="dxa" w:w="560"/>
            <w:tcMar>
              <w:top w:type="dxa" w:w="80"/>
              <w:left w:type="dxa" w:w="100"/>
              <w:bottom w:type="dxa" w:w="80"/>
              <w:right w:type="dxa" w:w="100"/>
            </w:tcMar>
          </w:tcPr>
          <w:p>
            <w:pPr>
              <w:jc w:val="center"/>
            </w:pPr>
            <w:r>
              <w:rPr>
                <w:b w:val="false"/>
                <w:bCs w:val="false"/>
                <w:sz w:val="19"/>
                <w:szCs w:val="19"/>
              </w:rPr>
              <w:t xml:space="preserve">10</w:t>
            </w:r>
          </w:p>
        </w:tc>
        <w:tc>
          <w:tcPr>
            <w:tcW w:type="dxa" w:w="3400"/>
            <w:tcMar>
              <w:top w:type="dxa" w:w="80"/>
              <w:left w:type="dxa" w:w="100"/>
              <w:bottom w:type="dxa" w:w="80"/>
              <w:right w:type="dxa" w:w="100"/>
            </w:tcMar>
          </w:tcPr>
          <w:p>
            <w:pPr>
              <w:jc w:val="left"/>
            </w:pPr>
            <w:r>
              <w:rPr>
                <w:b w:val="false"/>
                <w:bCs w:val="false"/>
                <w:sz w:val="19"/>
                <w:szCs w:val="19"/>
              </w:rPr>
              <w:t xml:space="preserve">Indicador de Archivos combina disponibilidad, espacio y estado de datafiles/tempfiles/redo logs</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calcIA() penaliza por conteo (fallas discretas) y por escalones porcentuales (espacio), tal como sugiere el documento.</w:t>
            </w:r>
          </w:p>
        </w:tc>
      </w:tr>
      <w:tr>
        <w:tc>
          <w:tcPr>
            <w:tcW w:type="dxa" w:w="560"/>
            <w:tcMar>
              <w:top w:type="dxa" w:w="80"/>
              <w:left w:type="dxa" w:w="100"/>
              <w:bottom w:type="dxa" w:w="80"/>
              <w:right w:type="dxa" w:w="100"/>
            </w:tcMar>
          </w:tcPr>
          <w:p>
            <w:pPr>
              <w:jc w:val="center"/>
            </w:pPr>
            <w:r>
              <w:rPr>
                <w:b w:val="false"/>
                <w:bCs w:val="false"/>
                <w:sz w:val="19"/>
                <w:szCs w:val="19"/>
              </w:rPr>
              <w:t xml:space="preserve">11</w:t>
            </w:r>
          </w:p>
        </w:tc>
        <w:tc>
          <w:tcPr>
            <w:tcW w:type="dxa" w:w="3400"/>
            <w:tcMar>
              <w:top w:type="dxa" w:w="80"/>
              <w:left w:type="dxa" w:w="100"/>
              <w:bottom w:type="dxa" w:w="80"/>
              <w:right w:type="dxa" w:w="100"/>
            </w:tcMar>
          </w:tcPr>
          <w:p>
            <w:pPr>
              <w:jc w:val="left"/>
            </w:pPr>
            <w:r>
              <w:rPr>
                <w:b w:val="false"/>
                <w:bCs w:val="false"/>
                <w:sz w:val="19"/>
                <w:szCs w:val="19"/>
              </w:rPr>
              <w:t xml:space="preserve">ISBD = 0.30×IP + 0.35×IM + 0.35×IA</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calcISBD() implementa la fórmula exacta con los pesos propuestos.</w:t>
            </w:r>
          </w:p>
        </w:tc>
      </w:tr>
      <w:tr>
        <w:tc>
          <w:tcPr>
            <w:tcW w:type="dxa" w:w="560"/>
            <w:tcMar>
              <w:top w:type="dxa" w:w="80"/>
              <w:left w:type="dxa" w:w="100"/>
              <w:bottom w:type="dxa" w:w="80"/>
              <w:right w:type="dxa" w:w="100"/>
            </w:tcMar>
          </w:tcPr>
          <w:p>
            <w:pPr>
              <w:jc w:val="center"/>
            </w:pPr>
            <w:r>
              <w:rPr>
                <w:b w:val="false"/>
                <w:bCs w:val="false"/>
                <w:sz w:val="19"/>
                <w:szCs w:val="19"/>
              </w:rPr>
              <w:t xml:space="preserve">12</w:t>
            </w:r>
          </w:p>
        </w:tc>
        <w:tc>
          <w:tcPr>
            <w:tcW w:type="dxa" w:w="3400"/>
            <w:tcMar>
              <w:top w:type="dxa" w:w="80"/>
              <w:left w:type="dxa" w:w="100"/>
              <w:bottom w:type="dxa" w:w="80"/>
              <w:right w:type="dxa" w:w="100"/>
            </w:tcMar>
          </w:tcPr>
          <w:p>
            <w:pPr>
              <w:jc w:val="left"/>
            </w:pPr>
            <w:r>
              <w:rPr>
                <w:b w:val="false"/>
                <w:bCs w:val="false"/>
                <w:sz w:val="19"/>
                <w:szCs w:val="19"/>
              </w:rPr>
              <w:t xml:space="preserve">Escala del ISBD: 90-100 Óptimo, 75-89 Saludable, 60-74 Advertencia, 40-59 Degradado, 0-39 Crítico</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statusFromScore() usa exactamente estos cinco rangos, aplicados también a IP/IM/IA.</w:t>
            </w:r>
          </w:p>
        </w:tc>
      </w:tr>
      <w:tr>
        <w:tc>
          <w:tcPr>
            <w:tcW w:type="dxa" w:w="560"/>
            <w:tcMar>
              <w:top w:type="dxa" w:w="80"/>
              <w:left w:type="dxa" w:w="100"/>
              <w:bottom w:type="dxa" w:w="80"/>
              <w:right w:type="dxa" w:w="100"/>
            </w:tcMar>
          </w:tcPr>
          <w:p>
            <w:pPr>
              <w:jc w:val="center"/>
            </w:pPr>
            <w:r>
              <w:rPr>
                <w:b w:val="false"/>
                <w:bCs w:val="false"/>
                <w:sz w:val="19"/>
                <w:szCs w:val="19"/>
              </w:rPr>
              <w:t xml:space="preserve">13</w:t>
            </w:r>
          </w:p>
        </w:tc>
        <w:tc>
          <w:tcPr>
            <w:tcW w:type="dxa" w:w="3400"/>
            <w:tcMar>
              <w:top w:type="dxa" w:w="80"/>
              <w:left w:type="dxa" w:w="100"/>
              <w:bottom w:type="dxa" w:w="80"/>
              <w:right w:type="dxa" w:w="100"/>
            </w:tcMar>
          </w:tcPr>
          <w:p>
            <w:pPr>
              <w:jc w:val="left"/>
            </w:pPr>
            <w:r>
              <w:rPr>
                <w:b w:val="false"/>
                <w:bCs w:val="false"/>
                <w:sz w:val="19"/>
                <w:szCs w:val="19"/>
              </w:rPr>
              <w:t xml:space="preserve">El índice global no debe ocultar un problema crítico puntual; el sistema debe tener dos niveles (puntuación + alertas críticas) y mostrar causas</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Si existe una alerta crítica activa y el ISBD ≥60, el badge “Estado real” se fuerza a Crítico aunque el puntaje diera más. El botón “Ver causas” despliega la explicación (buildCausas()) con la alerta que provocó el forzado o el indicador más débil.</w:t>
            </w:r>
          </w:p>
        </w:tc>
      </w:tr>
      <w:tr>
        <w:tc>
          <w:tcPr>
            <w:tcW w:type="dxa" w:w="560"/>
            <w:tcMar>
              <w:top w:type="dxa" w:w="80"/>
              <w:left w:type="dxa" w:w="100"/>
              <w:bottom w:type="dxa" w:w="80"/>
              <w:right w:type="dxa" w:w="100"/>
            </w:tcMar>
          </w:tcPr>
          <w:p>
            <w:pPr>
              <w:jc w:val="center"/>
            </w:pPr>
            <w:r>
              <w:rPr>
                <w:b w:val="false"/>
                <w:bCs w:val="false"/>
                <w:sz w:val="19"/>
                <w:szCs w:val="19"/>
              </w:rPr>
              <w:t xml:space="preserve">14</w:t>
            </w:r>
          </w:p>
        </w:tc>
        <w:tc>
          <w:tcPr>
            <w:tcW w:type="dxa" w:w="3400"/>
            <w:tcMar>
              <w:top w:type="dxa" w:w="80"/>
              <w:left w:type="dxa" w:w="100"/>
              <w:bottom w:type="dxa" w:w="80"/>
              <w:right w:type="dxa" w:w="100"/>
            </w:tcMar>
          </w:tcPr>
          <w:p>
            <w:pPr>
              <w:jc w:val="left"/>
            </w:pPr>
            <w:r>
              <w:rPr>
                <w:b w:val="false"/>
                <w:bCs w:val="false"/>
                <w:sz w:val="19"/>
                <w:szCs w:val="19"/>
              </w:rPr>
              <w:t xml:space="preserve">Cada alerta debe registrar: Fecha, Hora, Componente, Variable, Valor, Umbral, Nivel, Descripción</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Los 8 campos están presentes: componente, variable, valor, umbral, nivel y descripcion desde el diseño original; fecha (con hora incluida, formatFechaHora) se agregó en esta versión y se muestra en cada tarjeta de alerta y en su modal de detalle.</w:t>
            </w:r>
          </w:p>
        </w:tc>
      </w:tr>
      <w:tr>
        <w:tc>
          <w:tcPr>
            <w:tcW w:type="dxa" w:w="560"/>
            <w:tcMar>
              <w:top w:type="dxa" w:w="80"/>
              <w:left w:type="dxa" w:w="100"/>
              <w:bottom w:type="dxa" w:w="80"/>
              <w:right w:type="dxa" w:w="100"/>
            </w:tcMar>
          </w:tcPr>
          <w:p>
            <w:pPr>
              <w:jc w:val="center"/>
            </w:pPr>
            <w:r>
              <w:rPr>
                <w:b w:val="false"/>
                <w:bCs w:val="false"/>
                <w:sz w:val="19"/>
                <w:szCs w:val="19"/>
              </w:rPr>
              <w:t xml:space="preserve">15</w:t>
            </w:r>
          </w:p>
        </w:tc>
        <w:tc>
          <w:tcPr>
            <w:tcW w:type="dxa" w:w="3400"/>
            <w:tcMar>
              <w:top w:type="dxa" w:w="80"/>
              <w:left w:type="dxa" w:w="100"/>
              <w:bottom w:type="dxa" w:w="80"/>
              <w:right w:type="dxa" w:w="100"/>
            </w:tcMar>
          </w:tcPr>
          <w:p>
            <w:pPr>
              <w:jc w:val="left"/>
            </w:pPr>
            <w:r>
              <w:rPr>
                <w:b w:val="false"/>
                <w:bCs w:val="false"/>
                <w:sz w:val="19"/>
                <w:szCs w:val="19"/>
              </w:rPr>
              <w:t xml:space="preserve">Dashboard: índice general + los tres componentes con su estado + lista de alertas</w:t>
            </w:r>
          </w:p>
        </w:tc>
        <w:tc>
          <w:tcPr>
            <w:tcW w:type="dxa" w:w="1500"/>
            <w:shd w:fill="E6F4EA" w:color="auto" w:val="clear"/>
            <w:tcMar>
              <w:top w:type="dxa" w:w="80"/>
              <w:left w:type="dxa" w:w="100"/>
              <w:bottom w:type="dxa" w:w="80"/>
              <w:right w:type="dxa" w:w="100"/>
            </w:tcMar>
          </w:tcPr>
          <w:p>
            <w:pPr>
              <w:jc w:val="center"/>
            </w:pPr>
            <w:r>
              <w:rPr>
                <w:b/>
                <w:bCs/>
                <w:color w:val="1E7A34"/>
                <w:sz w:val="19"/>
                <w:szCs w:val="19"/>
              </w:rPr>
              <w:t xml:space="preserve">Cumple</w:t>
            </w:r>
          </w:p>
        </w:tc>
        <w:tc>
          <w:tcPr>
            <w:tcW w:type="dxa" w:w="4620"/>
            <w:tcMar>
              <w:top w:type="dxa" w:w="80"/>
              <w:left w:type="dxa" w:w="100"/>
              <w:bottom w:type="dxa" w:w="80"/>
              <w:right w:type="dxa" w:w="100"/>
            </w:tcMar>
          </w:tcPr>
          <w:p>
            <w:pPr>
              <w:jc w:val="left"/>
            </w:pPr>
            <w:r>
              <w:rPr>
                <w:b w:val="false"/>
                <w:bCs w:val="false"/>
                <w:sz w:val="18"/>
                <w:szCs w:val="18"/>
              </w:rPr>
              <w:t xml:space="preserve">El layout de monitor.html reproduce la estructura propuesta: tarjeta ISBD, fila de 3 KPIs (IP/IM/IA) y panel de “Alertas activas”.</w:t>
            </w:r>
          </w:p>
        </w:tc>
      </w:tr>
      <w:tr>
        <w:tc>
          <w:tcPr>
            <w:tcW w:type="dxa" w:w="560"/>
            <w:tcMar>
              <w:top w:type="dxa" w:w="80"/>
              <w:left w:type="dxa" w:w="100"/>
              <w:bottom w:type="dxa" w:w="80"/>
              <w:right w:type="dxa" w:w="100"/>
            </w:tcMar>
          </w:tcPr>
          <w:p>
            <w:pPr>
              <w:jc w:val="center"/>
            </w:pPr>
            <w:r>
              <w:rPr>
                <w:b w:val="false"/>
                <w:bCs w:val="false"/>
                <w:sz w:val="19"/>
                <w:szCs w:val="19"/>
              </w:rPr>
              <w:t xml:space="preserve">16</w:t>
            </w:r>
          </w:p>
        </w:tc>
        <w:tc>
          <w:tcPr>
            <w:tcW w:type="dxa" w:w="3400"/>
            <w:tcMar>
              <w:top w:type="dxa" w:w="80"/>
              <w:left w:type="dxa" w:w="100"/>
              <w:bottom w:type="dxa" w:w="80"/>
              <w:right w:type="dxa" w:w="100"/>
            </w:tcMar>
          </w:tcPr>
          <w:p>
            <w:pPr>
              <w:jc w:val="left"/>
            </w:pPr>
            <w:r>
              <w:rPr>
                <w:b w:val="false"/>
                <w:bCs w:val="false"/>
                <w:sz w:val="19"/>
                <w:szCs w:val="19"/>
              </w:rPr>
              <w:t xml:space="preserve">Monitoreo histórico: observar la evolución del índice en el tiempo</w:t>
            </w:r>
          </w:p>
        </w:tc>
        <w:tc>
          <w:tcPr>
            <w:tcW w:type="dxa" w:w="1500"/>
            <w:shd w:fill="FFF4E0" w:color="auto" w:val="clear"/>
            <w:tcMar>
              <w:top w:type="dxa" w:w="80"/>
              <w:left w:type="dxa" w:w="100"/>
              <w:bottom w:type="dxa" w:w="80"/>
              <w:right w:type="dxa" w:w="100"/>
            </w:tcMar>
          </w:tcPr>
          <w:p>
            <w:pPr>
              <w:jc w:val="center"/>
            </w:pPr>
            <w:r>
              <w:rPr>
                <w:b/>
                <w:bCs/>
                <w:color w:val="B36B00"/>
                <w:sz w:val="19"/>
                <w:szCs w:val="19"/>
              </w:rPr>
              <w:t xml:space="preserve">Parcial</w:t>
            </w:r>
          </w:p>
        </w:tc>
        <w:tc>
          <w:tcPr>
            <w:tcW w:type="dxa" w:w="4620"/>
            <w:tcMar>
              <w:top w:type="dxa" w:w="80"/>
              <w:left w:type="dxa" w:w="100"/>
              <w:bottom w:type="dxa" w:w="80"/>
              <w:right w:type="dxa" w:w="100"/>
            </w:tcMar>
          </w:tcPr>
          <w:p>
            <w:pPr>
              <w:jc w:val="left"/>
            </w:pPr>
            <w:r>
              <w:rPr>
                <w:b w:val="false"/>
                <w:bCs w:val="false"/>
                <w:sz w:val="18"/>
                <w:szCs w:val="18"/>
              </w:rPr>
              <w:t xml:space="preserve">Existe un gráfico de tendencia (drawHistory) con ISBD/IP/IM/IA, pero se guarda solo en localStorage del navegador (máx. 40 puntos, tld_monitor_history). No hay historial persistente en servidor/base de datos ni se comparte entre dispositivos o navegadores.</w:t>
            </w:r>
          </w:p>
        </w:tc>
      </w:tr>
      <w:tr>
        <w:tc>
          <w:tcPr>
            <w:tcW w:type="dxa" w:w="560"/>
            <w:tcMar>
              <w:top w:type="dxa" w:w="80"/>
              <w:left w:type="dxa" w:w="100"/>
              <w:bottom w:type="dxa" w:w="80"/>
              <w:right w:type="dxa" w:w="100"/>
            </w:tcMar>
          </w:tcPr>
          <w:p>
            <w:pPr>
              <w:jc w:val="center"/>
            </w:pPr>
            <w:r>
              <w:rPr>
                <w:b w:val="false"/>
                <w:bCs w:val="false"/>
                <w:sz w:val="19"/>
                <w:szCs w:val="19"/>
              </w:rPr>
              <w:t xml:space="preserve">17</w:t>
            </w:r>
          </w:p>
        </w:tc>
        <w:tc>
          <w:tcPr>
            <w:tcW w:type="dxa" w:w="3400"/>
            <w:tcMar>
              <w:top w:type="dxa" w:w="80"/>
              <w:left w:type="dxa" w:w="100"/>
              <w:bottom w:type="dxa" w:w="80"/>
              <w:right w:type="dxa" w:w="100"/>
            </w:tcMar>
          </w:tcPr>
          <w:p>
            <w:pPr>
              <w:jc w:val="left"/>
            </w:pPr>
            <w:r>
              <w:rPr>
                <w:b w:val="false"/>
                <w:bCs w:val="false"/>
                <w:sz w:val="19"/>
                <w:szCs w:val="19"/>
              </w:rPr>
              <w:t xml:space="preserve">Modelo de datos independiente: MONITOR_INSTANCIA, MONITOR_PROCESOS, MONITOR_MEMORIA, MONITOR_ARCHIVOS, MONITOR_INDICES, MONITOR_ALERTAS</w:t>
            </w:r>
          </w:p>
        </w:tc>
        <w:tc>
          <w:tcPr>
            <w:tcW w:type="dxa" w:w="1500"/>
            <w:shd w:fill="FDECEA" w:color="auto" w:val="clear"/>
            <w:tcMar>
              <w:top w:type="dxa" w:w="80"/>
              <w:left w:type="dxa" w:w="100"/>
              <w:bottom w:type="dxa" w:w="80"/>
              <w:right w:type="dxa" w:w="100"/>
            </w:tcMar>
          </w:tcPr>
          <w:p>
            <w:pPr>
              <w:jc w:val="center"/>
            </w:pPr>
            <w:r>
              <w:rPr>
                <w:b/>
                <w:bCs/>
                <w:color w:val="C0392B"/>
                <w:sz w:val="19"/>
                <w:szCs w:val="19"/>
              </w:rPr>
              <w:t xml:space="preserve">No cumple</w:t>
            </w:r>
          </w:p>
        </w:tc>
        <w:tc>
          <w:tcPr>
            <w:tcW w:type="dxa" w:w="4620"/>
            <w:tcMar>
              <w:top w:type="dxa" w:w="80"/>
              <w:left w:type="dxa" w:w="100"/>
              <w:bottom w:type="dxa" w:w="80"/>
              <w:right w:type="dxa" w:w="100"/>
            </w:tcMar>
          </w:tcPr>
          <w:p>
            <w:pPr>
              <w:jc w:val="left"/>
            </w:pPr>
            <w:r>
              <w:rPr>
                <w:b w:val="false"/>
                <w:bCs w:val="false"/>
                <w:sz w:val="18"/>
                <w:szCs w:val="18"/>
              </w:rPr>
              <w:t xml:space="preserve">No existe ninguna de estas tablas ni en 01_schema.sql ni en otro script del proyecto. Todo el cálculo (IP/IM/IA/ISBD/alertas) se rehace en memoria en cada consulta y se descarta al refrescar; no hay persistencia de índices ni de alertas.</w:t>
            </w:r>
          </w:p>
        </w:tc>
      </w:tr>
    </w:tbl>
    <w:p>
      <w:r>
        <w:br/>
        <w:t xml:space="preserve"/>
      </w:r>
    </w:p>
    <w:p>
      <w:pPr>
        <w:pStyle w:val="Heading1"/>
        <w:spacing w:after="160" w:before="320"/>
      </w:pPr>
      <w:r>
        <w:rPr>
          <w:b/>
          <w:bCs/>
        </w:rPr>
        <w:t xml:space="preserve">3. Hallazgos principales</w:t>
      </w:r>
    </w:p>
    <w:p>
      <w:pPr>
        <w:pStyle w:val="Heading2"/>
        <w:spacing w:after="120" w:before="260"/>
      </w:pPr>
      <w:r>
        <w:rPr>
          <w:b/>
          <w:bCs/>
        </w:rPr>
        <w:t xml:space="preserve">3.1 Fortaleza: alertas e ISBD ya cumplen el diseño completo</w:t>
      </w:r>
    </w:p>
    <w:p>
      <w:pPr>
        <w:spacing w:after="160"/>
      </w:pPr>
      <w:r>
        <w:rPr>
          <w:sz w:val="21"/>
          <w:szCs w:val="21"/>
        </w:rPr>
        <w:t xml:space="preserve">Desde la última revisión de este proyecto se agregaron el campo fecha/hora a cada alerta (formatFechaHora, usando el momento real de medición reportado por el backend) y el bloque de “Estado real” con “Ver causas”, que explica por qué el semáforo general puede mostrarse Crítico aunque el promedio ponderado no lo refleje. Esto cierra dos de los puntos más importantes del documento: la sección 20 (“el índice global no debe ocultar problemas”) y la sección 21 (campos completos de cada alerta).</w:t>
      </w:r>
    </w:p>
    <w:p>
      <w:pPr>
        <w:pStyle w:val="Heading2"/>
        <w:spacing w:after="120" w:before="260"/>
      </w:pPr>
      <w:r>
        <w:rPr>
          <w:b/>
          <w:bCs/>
        </w:rPr>
        <w:t xml:space="preserve">3.2 Brecha principal: sin modelo de datos persistente (sección 24)</w:t>
      </w:r>
    </w:p>
    <w:p>
      <w:pPr>
        <w:spacing w:after="160"/>
      </w:pPr>
      <w:r>
        <w:rPr>
          <w:sz w:val="21"/>
          <w:szCs w:val="21"/>
        </w:rPr>
        <w:t xml:space="preserve">El documento propone una base de datos independiente del monitor con tablas MONITOR_INSTANCIA, MONITOR_PROCESOS, MONITOR_MEMORIA, MONITOR_ARCHIVOS, MONITOR_INDICES y MONITOR_ALERTAS, cada lectura guardando su fecha_hora. En el proyecto revisado no existe ninguna de estas tablas: db/01_schema.sql solo define el esquema de la aplicación TLD (usuarios, organizaciones, auditorías, controles), no del monitor. El cálculo de IP/IM/IA/ISBD y las alertas se rehacen en memoria en cada fetch a /api/monitor/salud y se descartan; el único rastro histórico es el arreglo tld_monitor_history en localStorage del navegador, que solo guarda los 4 puntajes (no las alertas ni el detalle) y se pierde al cambiar de navegador o limpiar datos.</w:t>
      </w:r>
    </w:p>
    <w:p>
      <w:pPr>
        <w:spacing w:after="160"/>
      </w:pPr>
      <w:r>
        <w:rPr>
          <w:sz w:val="21"/>
          <w:szCs w:val="21"/>
        </w:rPr>
        <w:t xml:space="preserve">Si la rúbrica del curso evalúa explícitamente la sección 24, este es el punto de mayor impacto pendiente.</w:t>
      </w:r>
    </w:p>
    <w:p>
      <w:pPr>
        <w:pStyle w:val="Heading2"/>
        <w:spacing w:after="120" w:before="260"/>
      </w:pPr>
      <w:r>
        <w:rPr>
          <w:b/>
          <w:bCs/>
        </w:rPr>
        <w:t xml:space="preserve">3.3 Fuentes de Oracle: sustituciones justificadas, algunas sin documentar</w:t>
      </w:r>
    </w:p>
    <w:p>
      <w:pPr>
        <w:spacing w:after="160"/>
      </w:pPr>
      <w:r>
        <w:rPr>
          <w:sz w:val="21"/>
          <w:szCs w:val="21"/>
        </w:rPr>
        <w:t xml:space="preserve">El código documenta muy bien por qué V$RESOURCE_LIMIT se sustituyó por V$PROCESS + V$PARAMETER (no devuelve filas dentro del PDB XEPDB1, según prueba propia). Ese mismo criterio no se aplicó a las demás sustituciones: V$WAIT_CHAINS (solo se sugiere revisarla en el texto de una alerta, no se consulta), V$MEMORY_DYNAMIC_COMPONENTS (no se usa), V$TEMPFILE/DBA_TEMP_FILES (se usa DBA_TEMP_FREE_SPACE en su lugar, que da % agregado pero no estado por tempfile) y V$LOGFILE (no se usa; solo V$LOG a nivel de grupo, no de miembro). Ninguna de estas rompe el indicador, pero conviene dejar la misma justificación explícita si se documenta el proyecto.</w:t>
      </w:r>
    </w:p>
    <w:p>
      <w:pPr>
        <w:pStyle w:val="Heading2"/>
        <w:spacing w:after="120" w:before="260"/>
      </w:pPr>
      <w:r>
        <w:rPr>
          <w:b/>
          <w:bCs/>
        </w:rPr>
        <w:t xml:space="preserve">3.4 Variable “tempfiles: estado y capacidad” incompleta</w:t>
      </w:r>
    </w:p>
    <w:p>
      <w:pPr>
        <w:spacing w:after="160"/>
      </w:pPr>
      <w:r>
        <w:rPr>
          <w:sz w:val="21"/>
          <w:szCs w:val="21"/>
        </w:rPr>
        <w:t xml:space="preserve">El documento pide estado y capacidad para tempfiles. El monitor solo reporta tempUsedPct (capacidad agregada); no hay un desglose de estado por tempfile individual, a diferencia de lo que sí se hizo para datafiles (online/offline/problema) y tablespaces (normal/advertencia/crítico, incluso con detalle por nombre en esta versión).</w:t>
      </w:r>
    </w:p>
    <w:p>
      <w:pPr>
        <w:pStyle w:val="Heading1"/>
        <w:spacing w:after="160" w:before="320"/>
      </w:pPr>
      <w:r>
        <w:rPr>
          <w:b/>
          <w:bCs/>
        </w:rPr>
        <w:t xml:space="preserve">4. Recomendaciones</w:t>
      </w:r>
    </w:p>
    <w:p>
      <w:pPr>
        <w:pStyle w:val="ListParagraph"/>
        <w:numPr>
          <w:ilvl w:val="0"/>
          <w:numId w:val="2"/>
        </w:numPr>
        <w:spacing w:after="80"/>
      </w:pPr>
      <w:r>
        <w:rPr>
          <w:sz w:val="21"/>
          <w:szCs w:val="21"/>
        </w:rPr>
        <w:t xml:space="preserve">Si la sección 24 es evaluable, crear las tablas MONITOR_INDICES y MONITOR_ALERTAS (como mínimo) y hacer que el backend inserte una fila en cada consulta a /api/monitor/salud, en vez de calcular todo solo en memoria del navegador.</w:t>
      </w:r>
    </w:p>
    <w:p>
      <w:pPr>
        <w:pStyle w:val="ListParagraph"/>
        <w:numPr>
          <w:ilvl w:val="0"/>
          <w:numId w:val="2"/>
        </w:numPr>
        <w:spacing w:after="80"/>
      </w:pPr>
      <w:r>
        <w:rPr>
          <w:sz w:val="21"/>
          <w:szCs w:val="21"/>
        </w:rPr>
        <w:t xml:space="preserve">Documentar explícitamente, junto a cada sustitución de vista Oracle (V$WAIT_CHAINS, V$MEMORY_DYNAMIC_COMPONENTS, V$TEMPFILE, V$LOGFILE), el mismo tipo de justificación que ya existe para V$RESOURCE_LIMIT.</w:t>
      </w:r>
    </w:p>
    <w:p>
      <w:pPr>
        <w:pStyle w:val="ListParagraph"/>
        <w:numPr>
          <w:ilvl w:val="0"/>
          <w:numId w:val="2"/>
        </w:numPr>
        <w:spacing w:after="80"/>
      </w:pPr>
      <w:r>
        <w:rPr>
          <w:sz w:val="21"/>
          <w:szCs w:val="21"/>
        </w:rPr>
        <w:t xml:space="preserve">Agregar un desglose de estado por tempfile (por ejemplo, contar tempfiles con status distinto de ONLINE) para cerrar por completo la variable “Tempfiles: estado y capacidad”.</w:t>
      </w:r>
    </w:p>
    <w:p>
      <w:pPr>
        <w:pStyle w:val="ListParagraph"/>
        <w:numPr>
          <w:ilvl w:val="0"/>
          <w:numId w:val="2"/>
        </w:numPr>
        <w:spacing w:after="80"/>
      </w:pPr>
      <w:r>
        <w:rPr>
          <w:sz w:val="21"/>
          <w:szCs w:val="21"/>
        </w:rPr>
        <w:t xml:space="preserve">Si se requiere historial multi-dispositivo o multi-usuario, mover el historial de localStorage a la tabla MONITOR_INDICES sugerida arriba.</w:t>
      </w:r>
    </w:p>
    <w:p>
      <w:pPr>
        <w:pStyle w:val="Heading1"/>
        <w:spacing w:after="160" w:before="320"/>
      </w:pPr>
      <w:r>
        <w:rPr>
          <w:b/>
          <w:bCs/>
        </w:rPr>
        <w:t xml:space="preserve">5. Conclusión</w:t>
      </w:r>
    </w:p>
    <w:p>
      <w:pPr>
        <w:spacing w:after="160"/>
      </w:pPr>
      <w:r>
        <w:rPr>
          <w:sz w:val="21"/>
          <w:szCs w:val="21"/>
        </w:rPr>
        <w:t xml:space="preserve">El monitor cumple de forma sólida el núcleo conceptual y matemático del documento (los tres indicadores, el ISBD, su escala, el sistema de alertas con los 8 campos y el manejo de “el índice no debe ocultar problemas”). La brecha más significativa frente a lo solicitado es la ausencia total de persistencia en base de datos (sección 24): todo vive en memoria del servidor y en localStorage del navegador. Las demás observaciones son sustituciones puntuales de vistas de Oracle, en su mayoría ya justificadas técnicamente en el propio código.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2026-08-25T20:48:59.938Z</dcterms:created>
  <dcterms:modified xsi:type="dcterms:W3CDTF">2026-08-25T20:48:59.953Z</dcterms:modified>
</cp:coreProperties>
</file>

<file path=docProps/custom.xml><?xml version="1.0" encoding="utf-8"?>
<Properties xmlns="http://schemas.openxmlformats.org/officeDocument/2006/custom-properties" xmlns:vt="http://schemas.openxmlformats.org/officeDocument/2006/docPropsVTypes"/>
</file>