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8352B" w14:textId="5636901E" w:rsidR="00FE64F1" w:rsidRDefault="000F67F5">
      <w:pPr>
        <w:pStyle w:val="Heading1"/>
      </w:pPr>
      <w:r>
        <w:t>1.</w:t>
      </w:r>
      <w:r w:rsidR="00000000">
        <w:t>Emerging Trends in EEG Signal Processing: A Systematic Review</w:t>
      </w:r>
    </w:p>
    <w:p w14:paraId="375CB91E" w14:textId="77777777" w:rsidR="00FE64F1" w:rsidRDefault="00000000">
      <w:r>
        <w:t>Autori: Ramnivas Sharma, Hemant Kumar Meena (SN Computer Science, 2024)</w:t>
      </w:r>
    </w:p>
    <w:p w14:paraId="7B368F88" w14:textId="77777777" w:rsidR="00FE64F1" w:rsidRDefault="00000000">
      <w:pPr>
        <w:pStyle w:val="Heading2"/>
      </w:pPr>
      <w:r>
        <w:t>Introducere</w:t>
      </w:r>
    </w:p>
    <w:p w14:paraId="772D5A3A" w14:textId="77777777" w:rsidR="00FE64F1" w:rsidRPr="00E947A9" w:rsidRDefault="00000000">
      <w:pPr>
        <w:rPr>
          <w:lang w:val="pt-BR"/>
        </w:rPr>
      </w:pPr>
      <w:r>
        <w:t xml:space="preserve">Această lucrare este un review sistematic al celor mai noi tendințe în procesarea semnalelor EEG. </w:t>
      </w:r>
      <w:r w:rsidRPr="00E947A9">
        <w:rPr>
          <w:lang w:val="pt-BR"/>
        </w:rPr>
        <w:t>Autorii trec prin etapele-cheie ale fluxului de analiză (preprocesare, extragere de caracteristici, postprocesare, clasificare) și evidențiază metode moderne precum Graph Signal Processing (GSP) și modelele de deep learning.</w:t>
      </w:r>
    </w:p>
    <w:p w14:paraId="21EB4CCC" w14:textId="482DC9CD" w:rsidR="00FE64F1" w:rsidRDefault="00F80614">
      <w:pPr>
        <w:pStyle w:val="Heading2"/>
        <w:rPr>
          <w:lang w:val="pt-BR"/>
        </w:rPr>
      </w:pPr>
      <w:r w:rsidRPr="00F80614">
        <w:rPr>
          <w:lang w:val="pt-BR"/>
        </w:rPr>
        <w:t>EEG in neuroproteza si in alte domenii</w:t>
      </w:r>
    </w:p>
    <w:p w14:paraId="6241261D" w14:textId="77777777" w:rsidR="00F80614" w:rsidRPr="00F80614" w:rsidRDefault="00F80614" w:rsidP="00F80614">
      <w:pPr>
        <w:rPr>
          <w:lang w:val="pt-BR"/>
        </w:rPr>
      </w:pPr>
    </w:p>
    <w:p w14:paraId="74A8F581" w14:textId="77777777" w:rsidR="00FE64F1" w:rsidRPr="00E947A9" w:rsidRDefault="00000000">
      <w:pPr>
        <w:rPr>
          <w:lang w:val="pt-BR"/>
        </w:rPr>
      </w:pPr>
      <w:r w:rsidRPr="00E947A9">
        <w:rPr>
          <w:lang w:val="pt-BR"/>
        </w:rPr>
        <w:t>Aplicațiile EEG au deschis calea pentru progrese în neuroproteză. În numeroase domenii de cercetare, datele fiziologice precum EEG s-au dovedit a fi de neînlocuit: autentificarea identității, clasificarea stadiilor somnului, recunoașterea emoțiilor, detectarea stării ochilor și monitorizarea somnolenței. Toate aceste domenii beneficiază semnificativ de perspectivele obținute din analiza datelor EEG.</w:t>
      </w:r>
    </w:p>
    <w:p w14:paraId="10DF4908" w14:textId="77777777" w:rsidR="00FE64F1" w:rsidRPr="00E947A9" w:rsidRDefault="00000000">
      <w:pPr>
        <w:rPr>
          <w:lang w:val="pt-BR"/>
        </w:rPr>
      </w:pPr>
      <w:r w:rsidRPr="00E947A9">
        <w:rPr>
          <w:lang w:val="pt-BR"/>
        </w:rPr>
        <w:t>Fluxul de analiză EEG (preprocesare → caracteristici → selecție → analiză:</w:t>
      </w:r>
    </w:p>
    <w:p w14:paraId="6101726C" w14:textId="77777777" w:rsidR="00FE64F1" w:rsidRPr="00E947A9" w:rsidRDefault="00000000">
      <w:pPr>
        <w:rPr>
          <w:lang w:val="pt-BR"/>
        </w:rPr>
      </w:pPr>
      <w:r w:rsidRPr="00E947A9">
        <w:rPr>
          <w:lang w:val="pt-BR"/>
        </w:rPr>
        <w:t>Inițial, semnalele brute trec prin preprocesare, unde tehnici precum filtrarea sunt utilizate pentru a le îmbunătăți calitatea. Ulterior, informațiile esențiale sunt extrase sub formă de caracteristici. Aceste caracteristici sunt apoi rafinate prin metode de selecție pentru optimizare. În faza de analiză, se diagnostichează boli sau se identifică diverse stări funcționale ale creierului folosind modele de învățare automată sau teste statistice.</w:t>
      </w:r>
    </w:p>
    <w:p w14:paraId="0F8F941F" w14:textId="77777777" w:rsidR="00FE64F1" w:rsidRPr="00E947A9" w:rsidRDefault="00000000">
      <w:pPr>
        <w:rPr>
          <w:lang w:val="pt-BR"/>
        </w:rPr>
      </w:pPr>
      <w:r w:rsidRPr="00E947A9">
        <w:rPr>
          <w:lang w:val="pt-BR"/>
        </w:rPr>
        <w:t>EEG – achiziția semnalelor la nivelul scalpului:</w:t>
      </w:r>
    </w:p>
    <w:p w14:paraId="1232188B" w14:textId="77777777" w:rsidR="00FE64F1" w:rsidRPr="00E947A9" w:rsidRDefault="00000000">
      <w:pPr>
        <w:rPr>
          <w:lang w:val="pt-BR"/>
        </w:rPr>
      </w:pPr>
      <w:r w:rsidRPr="00E947A9">
        <w:rPr>
          <w:lang w:val="pt-BR"/>
        </w:rPr>
        <w:t>Folosind electrozi metalici atașați pe scalp, EEG înregistrează în mod continuu activitatea electrică a creierului. Chiar și în timpul somnului sau relaxării, celulele neuronale generează curenți electrici ca formă naturală de comunicare. Diagrama de bază a analizei și clasificării semnalelor EEG utilizând diferite tehnici este prezentată în Fig. 2.</w:t>
      </w:r>
    </w:p>
    <w:p w14:paraId="26E45793" w14:textId="77777777" w:rsidR="00FE64F1" w:rsidRPr="00E947A9" w:rsidRDefault="00000000">
      <w:pPr>
        <w:rPr>
          <w:lang w:val="pt-BR"/>
        </w:rPr>
      </w:pPr>
      <w:r w:rsidRPr="00E947A9">
        <w:rPr>
          <w:lang w:val="pt-BR"/>
        </w:rPr>
        <w:t>Ritmuri EEG – intervale și semnificații generale:</w:t>
      </w:r>
    </w:p>
    <w:p w14:paraId="21007C65" w14:textId="77777777" w:rsidR="00FE64F1" w:rsidRPr="00E947A9" w:rsidRDefault="00000000">
      <w:pPr>
        <w:rPr>
          <w:lang w:val="pt-BR"/>
        </w:rPr>
      </w:pPr>
      <w:r w:rsidRPr="00E947A9">
        <w:rPr>
          <w:lang w:val="pt-BR"/>
        </w:rPr>
        <w:t xml:space="preserve">Înregistrările de pe scalp captează semnale cu frecvențe sub 40 Hz și amplitudini de la câțiva microvolți până la aproape 100 </w:t>
      </w:r>
      <w:r>
        <w:t>μ</w:t>
      </w:r>
      <w:r w:rsidRPr="00E947A9">
        <w:rPr>
          <w:lang w:val="pt-BR"/>
        </w:rPr>
        <w:t xml:space="preserve">V. Ritmurile EEG sunt clasificate în mod tradițional în cinci benzi de frecvență, iar interpretarea lor variază în funcție de starea mentală și vârsta individului. De exemplu, EEG-ul unui adult diferă semnificativ de cel al unui nou-născut, cu frecvențe notabil mai mici. Înțelegerea benzilor de frecvență EEG este esențială pentru analiza activității cerebrale și interpretarea datelor în diverse contexte. Ritmul EEG acoperă 0,5–40 Hz și este împărțit în patru unde principale: </w:t>
      </w:r>
      <w:r>
        <w:t>δ</w:t>
      </w:r>
      <w:r w:rsidRPr="00E947A9">
        <w:rPr>
          <w:lang w:val="pt-BR"/>
        </w:rPr>
        <w:t xml:space="preserve"> (delta), </w:t>
      </w:r>
      <w:r>
        <w:t>θ</w:t>
      </w:r>
      <w:r w:rsidRPr="00E947A9">
        <w:rPr>
          <w:lang w:val="pt-BR"/>
        </w:rPr>
        <w:t xml:space="preserve"> (theta), </w:t>
      </w:r>
      <w:r>
        <w:t>α</w:t>
      </w:r>
      <w:r w:rsidRPr="00E947A9">
        <w:rPr>
          <w:lang w:val="pt-BR"/>
        </w:rPr>
        <w:t xml:space="preserve"> (alfa) și </w:t>
      </w:r>
      <w:r>
        <w:t>β</w:t>
      </w:r>
      <w:r w:rsidRPr="00E947A9">
        <w:rPr>
          <w:lang w:val="pt-BR"/>
        </w:rPr>
        <w:t xml:space="preserve"> (beta) (a se vedea Tabelul 1).</w:t>
      </w:r>
    </w:p>
    <w:p w14:paraId="2AB0E7F0" w14:textId="77777777" w:rsidR="00FE64F1" w:rsidRPr="00E947A9" w:rsidRDefault="00000000">
      <w:pPr>
        <w:rPr>
          <w:lang w:val="pt-BR"/>
        </w:rPr>
      </w:pPr>
      <w:r w:rsidRPr="00E947A9">
        <w:rPr>
          <w:lang w:val="pt-BR"/>
        </w:rPr>
        <w:lastRenderedPageBreak/>
        <w:t>Benzile EEG (delta, theta, alfa, beta, gamma):</w:t>
      </w:r>
    </w:p>
    <w:p w14:paraId="5FBEB355" w14:textId="77777777" w:rsidR="00FE64F1" w:rsidRPr="00E947A9" w:rsidRDefault="00000000">
      <w:pPr>
        <w:rPr>
          <w:lang w:val="pt-BR"/>
        </w:rPr>
      </w:pPr>
      <w:r w:rsidRPr="00E947A9">
        <w:rPr>
          <w:lang w:val="pt-BR"/>
        </w:rPr>
        <w:t>1) Delta (0,5–4 Hz): Observată în lobii temporal și parietal, cu amplitudine mare; prezentă în somn profund la adulți sau în hipoxie; predominantă la sugari.</w:t>
      </w:r>
      <w:r w:rsidRPr="00E947A9">
        <w:rPr>
          <w:lang w:val="pt-BR"/>
        </w:rPr>
        <w:br/>
        <w:t>2) Theta (4–8 Hz): Asociată cu emoțiile și stările mentale; proeminentă în adolescență și vizibilă la adulți în emoții negative.</w:t>
      </w:r>
      <w:r w:rsidRPr="00E947A9">
        <w:rPr>
          <w:lang w:val="pt-BR"/>
        </w:rPr>
        <w:br/>
        <w:t>3) Alfa (8–14 Hz): Observată în regiunile posterioare bilaterale; apare frecvent în stare de veghe relaxată, cu ochii închiși.</w:t>
      </w:r>
      <w:r w:rsidRPr="00E947A9">
        <w:rPr>
          <w:lang w:val="pt-BR"/>
        </w:rPr>
        <w:br/>
        <w:t>4) Beta (14–30 Hz): Observată bilateral; indică excitabilitate crescută a cortexului; corelată cu activitate neuronală intensă și stres mental.</w:t>
      </w:r>
      <w:r w:rsidRPr="00E947A9">
        <w:rPr>
          <w:lang w:val="pt-BR"/>
        </w:rPr>
        <w:br/>
        <w:t>5) Gamma (&gt;30 Hz): Observată în cortexul senzorial; asociată cu percepție senzorială și procesare cognitivă.</w:t>
      </w:r>
    </w:p>
    <w:p w14:paraId="31F2B938" w14:textId="77777777" w:rsidR="00FE64F1" w:rsidRPr="00E947A9" w:rsidRDefault="00000000">
      <w:pPr>
        <w:rPr>
          <w:lang w:val="pt-BR"/>
        </w:rPr>
      </w:pPr>
      <w:r w:rsidRPr="00E947A9">
        <w:rPr>
          <w:lang w:val="pt-BR"/>
        </w:rPr>
        <w:t>Aplicații ale semnalelor EEG:</w:t>
      </w:r>
    </w:p>
    <w:p w14:paraId="47B85E0E" w14:textId="77777777" w:rsidR="00FE64F1" w:rsidRPr="00E947A9" w:rsidRDefault="00000000">
      <w:pPr>
        <w:rPr>
          <w:lang w:val="pt-BR"/>
        </w:rPr>
      </w:pPr>
      <w:r w:rsidRPr="00E947A9">
        <w:rPr>
          <w:lang w:val="pt-BR"/>
        </w:rPr>
        <w:t>• Monitorizarea stării de vigilență, comei, morții cerebrale, AVC și tumori – informații critice despre starea funcțională a creierului.</w:t>
      </w:r>
      <w:r w:rsidRPr="00E947A9">
        <w:rPr>
          <w:lang w:val="pt-BR"/>
        </w:rPr>
        <w:br/>
        <w:t>• Evaluarea atenției și concentrării prin analiza ritmului alfa.</w:t>
      </w:r>
      <w:r w:rsidRPr="00E947A9">
        <w:rPr>
          <w:lang w:val="pt-BR"/>
        </w:rPr>
        <w:br/>
        <w:t>• Controlul profunzimii anesteziei (servo-anestezie) în timpul procedurilor medicale.</w:t>
      </w:r>
      <w:r w:rsidRPr="00E947A9">
        <w:rPr>
          <w:lang w:val="pt-BR"/>
        </w:rPr>
        <w:br/>
        <w:t>• Investigarea epilepsiei și localizarea originii crizelor, pentru diagnostic și management.</w:t>
      </w:r>
      <w:r w:rsidRPr="00E947A9">
        <w:rPr>
          <w:lang w:val="pt-BR"/>
        </w:rPr>
        <w:br/>
        <w:t>• Testarea efectelor medicamentelor antiepileptice asupra activității cerebrale și a controlului crizelor.</w:t>
      </w:r>
      <w:r w:rsidRPr="00E947A9">
        <w:rPr>
          <w:lang w:val="pt-BR"/>
        </w:rPr>
        <w:br/>
        <w:t>• Ghidarea exciziei corticale experimentale a focarului epileptic, prin identificarea ariei cerebrale responsabile.</w:t>
      </w:r>
      <w:r w:rsidRPr="00E947A9">
        <w:rPr>
          <w:lang w:val="pt-BR"/>
        </w:rPr>
        <w:br/>
        <w:t>• Monitorizarea dezvoltării cerebrale (în special la sugari și copii).</w:t>
      </w:r>
      <w:r w:rsidRPr="00E947A9">
        <w:rPr>
          <w:lang w:val="pt-BR"/>
        </w:rPr>
        <w:br/>
        <w:t>• Testarea medicamentelor cu potențiale efecte convulsive.</w:t>
      </w:r>
      <w:r w:rsidRPr="00E947A9">
        <w:rPr>
          <w:lang w:val="pt-BR"/>
        </w:rPr>
        <w:br/>
        <w:t>• Investigarea tulburărilor de somn și a celor mentale; înțelegerea fiziologiei somnului.</w:t>
      </w:r>
      <w:r w:rsidRPr="00E947A9">
        <w:rPr>
          <w:lang w:val="pt-BR"/>
        </w:rPr>
        <w:br/>
        <w:t>• Integrare în sisteme hibride de înregistrare cu fMRI sau PET, pentru o înțelegere cuprinzătoare a funcției cerebrale.</w:t>
      </w:r>
    </w:p>
    <w:p w14:paraId="06FD0838" w14:textId="77777777" w:rsidR="00FE64F1" w:rsidRPr="00E947A9" w:rsidRDefault="00000000">
      <w:pPr>
        <w:rPr>
          <w:lang w:val="pt-BR"/>
        </w:rPr>
      </w:pPr>
      <w:r w:rsidRPr="00E947A9">
        <w:rPr>
          <w:lang w:val="pt-BR"/>
        </w:rPr>
        <w:t>Analiza în domeniul timpului:</w:t>
      </w:r>
    </w:p>
    <w:p w14:paraId="34310A9C" w14:textId="77777777" w:rsidR="00FE64F1" w:rsidRPr="00E947A9" w:rsidRDefault="00000000">
      <w:pPr>
        <w:rPr>
          <w:lang w:val="pt-BR"/>
        </w:rPr>
      </w:pPr>
      <w:r w:rsidRPr="00E947A9">
        <w:rPr>
          <w:lang w:val="pt-BR"/>
        </w:rPr>
        <w:t>Analiza în domeniul timp examinează evoluția în timp a caracteristicilor semnalului: amplitudine, durată, forme de undă.</w:t>
      </w:r>
      <w:r w:rsidRPr="00E947A9">
        <w:rPr>
          <w:lang w:val="pt-BR"/>
        </w:rPr>
        <w:br/>
        <w:t>• Analiza amplitudinii: intensitatea/forța semnalului; amplitudine mare → activitate neuronală puternică; amplitudine mică → stări relaxate/inactive.</w:t>
      </w:r>
      <w:r w:rsidRPr="00E947A9">
        <w:rPr>
          <w:lang w:val="pt-BR"/>
        </w:rPr>
        <w:br/>
        <w:t>• Modele temporale: identificarea patternurilor recurente (activități regulate sau modele anormale – ex. crize).</w:t>
      </w:r>
      <w:r w:rsidRPr="00E947A9">
        <w:rPr>
          <w:lang w:val="pt-BR"/>
        </w:rPr>
        <w:br/>
        <w:t>• Măsuri statistice: variabilitate, medie, deviație standard, asimetrie (skewness), kurtosis.</w:t>
      </w:r>
    </w:p>
    <w:p w14:paraId="5870DA56" w14:textId="77777777" w:rsidR="00FE64F1" w:rsidRPr="00E947A9" w:rsidRDefault="00000000">
      <w:pPr>
        <w:rPr>
          <w:lang w:val="pt-BR"/>
        </w:rPr>
      </w:pPr>
      <w:r w:rsidRPr="00E947A9">
        <w:rPr>
          <w:lang w:val="pt-BR"/>
        </w:rPr>
        <w:t>Analiza în domeniul frecvenței:</w:t>
      </w:r>
    </w:p>
    <w:p w14:paraId="7C750302" w14:textId="77777777" w:rsidR="00FE64F1" w:rsidRPr="00E947A9" w:rsidRDefault="00000000">
      <w:pPr>
        <w:rPr>
          <w:lang w:val="pt-BR"/>
        </w:rPr>
      </w:pPr>
      <w:r w:rsidRPr="00E947A9">
        <w:rPr>
          <w:lang w:val="pt-BR"/>
        </w:rPr>
        <w:t>Analiza în frecvență relevă componentele spectrale ale EEG.</w:t>
      </w:r>
      <w:r w:rsidRPr="00E947A9">
        <w:rPr>
          <w:lang w:val="pt-BR"/>
        </w:rPr>
        <w:br/>
        <w:t>• Densitatea spectrală a puterii (PSD): distribuția puterii pe frecvențe (calculată cu FFT), evidențiază benzile dominante.</w:t>
      </w:r>
      <w:r w:rsidRPr="00E947A9">
        <w:rPr>
          <w:lang w:val="pt-BR"/>
        </w:rPr>
        <w:br/>
      </w:r>
      <w:r w:rsidRPr="00E947A9">
        <w:rPr>
          <w:lang w:val="pt-BR"/>
        </w:rPr>
        <w:lastRenderedPageBreak/>
        <w:t>• Puterea pe bandă: analiza energiei pe benzile EEG pentru informații specifice despre starea creierului.</w:t>
      </w:r>
    </w:p>
    <w:p w14:paraId="300167E7" w14:textId="77777777" w:rsidR="00FE64F1" w:rsidRPr="00E947A9" w:rsidRDefault="00000000">
      <w:pPr>
        <w:rPr>
          <w:lang w:val="pt-BR"/>
        </w:rPr>
      </w:pPr>
      <w:r w:rsidRPr="00E947A9">
        <w:rPr>
          <w:lang w:val="pt-BR"/>
        </w:rPr>
        <w:t>Analiza timp–frecvență:</w:t>
      </w:r>
    </w:p>
    <w:p w14:paraId="40FBCC47" w14:textId="77777777" w:rsidR="00FE64F1" w:rsidRPr="00E947A9" w:rsidRDefault="00000000">
      <w:pPr>
        <w:rPr>
          <w:lang w:val="pt-BR"/>
        </w:rPr>
      </w:pPr>
      <w:r w:rsidRPr="00E947A9">
        <w:rPr>
          <w:lang w:val="pt-BR"/>
        </w:rPr>
        <w:t>Semnalele EEG sunt dinamice și își schimbă conținutul spectral în timp, deci analiza timp–frecvență este esențială.</w:t>
      </w:r>
      <w:r w:rsidRPr="00E947A9">
        <w:rPr>
          <w:lang w:val="pt-BR"/>
        </w:rPr>
        <w:br/>
        <w:t>• STFT: permite observarea modificărilor de frecvență în intervale scurte; analiză localizată în timp (ferestre de mărimi diferite).</w:t>
      </w:r>
      <w:r w:rsidRPr="00E947A9">
        <w:rPr>
          <w:lang w:val="pt-BR"/>
        </w:rPr>
        <w:br/>
        <w:t>• CWT: analizează semnalul la diferite scale și oferă rezoluție ridicată în timp și frecvență.</w:t>
      </w:r>
    </w:p>
    <w:p w14:paraId="16D8A4F3" w14:textId="77777777" w:rsidR="00FE64F1" w:rsidRPr="00E947A9" w:rsidRDefault="00000000">
      <w:pPr>
        <w:rPr>
          <w:lang w:val="pt-BR"/>
        </w:rPr>
      </w:pPr>
      <w:r w:rsidRPr="00E947A9">
        <w:rPr>
          <w:lang w:val="pt-BR"/>
        </w:rPr>
        <w:t>Postprocesare: selecția caracteristicilor și reducerea dimensionalității:</w:t>
      </w:r>
    </w:p>
    <w:p w14:paraId="103CBA00" w14:textId="77777777" w:rsidR="00FE64F1" w:rsidRPr="00E947A9" w:rsidRDefault="00000000">
      <w:pPr>
        <w:rPr>
          <w:lang w:val="pt-BR"/>
        </w:rPr>
      </w:pPr>
      <w:r w:rsidRPr="00E947A9">
        <w:rPr>
          <w:lang w:val="pt-BR"/>
        </w:rPr>
        <w:t>Selecția caracteristicilor și reducerea dimensionalității sunt pași-cheie ai postprocesării. Selecția elimină variabilele irelevante sau zgomotul, reduce complexitatea și supraînvățarea și crește capacitatea de generalizare a modelului. Reducerea dimensionalității (numită uneori și extragere de caracteristici) combină/transformă caracteristicile într-un set mai mic, păstrând informația necesară și reducând timpul de procesare și dimensiunea vectorului inițial. Transformările pot fi liniare (PCA) sau neliniare; pentru a minimiza dimensiunile se folosesc LDA, PCA și ICA. PCA recuperează componentele cu cea mai mare variație, iar ICA pe cele mai independente.</w:t>
      </w:r>
    </w:p>
    <w:p w14:paraId="04B83C90" w14:textId="77777777" w:rsidR="00FE64F1" w:rsidRPr="00E947A9" w:rsidRDefault="00000000">
      <w:pPr>
        <w:rPr>
          <w:lang w:val="pt-BR"/>
        </w:rPr>
      </w:pPr>
      <w:r w:rsidRPr="00E947A9">
        <w:rPr>
          <w:lang w:val="pt-BR"/>
        </w:rPr>
        <w:t>Performanță și metrici de evaluare:</w:t>
      </w:r>
    </w:p>
    <w:p w14:paraId="2AF81A62" w14:textId="77777777" w:rsidR="00FE64F1" w:rsidRPr="00E947A9" w:rsidRDefault="00000000">
      <w:pPr>
        <w:rPr>
          <w:lang w:val="pt-BR"/>
        </w:rPr>
      </w:pPr>
      <w:r w:rsidRPr="00E947A9">
        <w:rPr>
          <w:lang w:val="pt-BR"/>
        </w:rPr>
        <w:t>Rețelele neuronale cu spiking și CNN-urile cu fuziune ierarhică pot depăși CNN-urile standard. În analiza performanței, sunt esențiale: Matricea de confuzie (TP, TN, FP, FN), Curba ROC (compromisul sensibilitate–specificitate) și AUC (capacitatea de a diferenția clasele). Compararea modelelor folosește acuratețea, precizia, recall, F1-score sau AUC pentru a selecta cel mai bun model.</w:t>
      </w:r>
    </w:p>
    <w:p w14:paraId="0B18F2AD" w14:textId="77777777" w:rsidR="00FE64F1" w:rsidRPr="005F497F" w:rsidRDefault="00000000">
      <w:pPr>
        <w:pStyle w:val="Heading2"/>
        <w:rPr>
          <w:lang w:val="pt-BR"/>
        </w:rPr>
      </w:pPr>
      <w:r w:rsidRPr="005F497F">
        <w:rPr>
          <w:lang w:val="pt-BR"/>
        </w:rPr>
        <w:t>Concluzie</w:t>
      </w:r>
    </w:p>
    <w:p w14:paraId="57229EDA" w14:textId="77777777" w:rsidR="00FE64F1" w:rsidRPr="00E947A9" w:rsidRDefault="00000000">
      <w:pPr>
        <w:rPr>
          <w:lang w:val="pt-BR"/>
        </w:rPr>
      </w:pPr>
      <w:r w:rsidRPr="00E947A9">
        <w:rPr>
          <w:lang w:val="pt-BR"/>
        </w:rPr>
        <w:t>Concluzie: Metodele tradiționale (timp, frecvență, timp–frecvență) rămân utile și interpretabile, dar surprind greu dependențele spațiale și tiparele neliniare ale EEG. Abordările moderne (GSP, CNN/LSTM/GCN) cresc acuratețea și robustețea clasificării, oferind o înțelegere mai bogată a dinamicii rețelelor neuronale și deschizând direcții precum seturi de date mai mari, filtrare mai eficientă a artefactelor și integrare multimodală.</w:t>
      </w:r>
    </w:p>
    <w:p w14:paraId="5DFA356D" w14:textId="77777777" w:rsidR="00E947A9" w:rsidRDefault="00E947A9">
      <w:pPr>
        <w:rPr>
          <w:lang w:val="pt-BR"/>
        </w:rPr>
      </w:pPr>
    </w:p>
    <w:p w14:paraId="57858783" w14:textId="77777777" w:rsidR="00E947A9" w:rsidRDefault="00E947A9">
      <w:pPr>
        <w:rPr>
          <w:lang w:val="pt-BR"/>
        </w:rPr>
      </w:pPr>
    </w:p>
    <w:p w14:paraId="5145D23F" w14:textId="77777777" w:rsidR="00E947A9" w:rsidRDefault="00E947A9">
      <w:pPr>
        <w:rPr>
          <w:lang w:val="pt-BR"/>
        </w:rPr>
      </w:pPr>
    </w:p>
    <w:p w14:paraId="4EA00CA2" w14:textId="77777777" w:rsidR="00E947A9" w:rsidRDefault="00E947A9">
      <w:pPr>
        <w:rPr>
          <w:lang w:val="pt-BR"/>
        </w:rPr>
      </w:pPr>
    </w:p>
    <w:p w14:paraId="5464D2E7" w14:textId="77777777" w:rsidR="00E947A9" w:rsidRDefault="00E947A9">
      <w:pPr>
        <w:rPr>
          <w:lang w:val="pt-BR"/>
        </w:rPr>
      </w:pPr>
    </w:p>
    <w:p w14:paraId="5B65A660" w14:textId="28AAA890" w:rsidR="00784569" w:rsidRDefault="000F67F5" w:rsidP="00784569">
      <w:pPr>
        <w:spacing w:after="0" w:line="240" w:lineRule="auto"/>
        <w:rPr>
          <w:b/>
          <w:bCs/>
          <w:color w:val="365F91" w:themeColor="accent1" w:themeShade="BF"/>
          <w:sz w:val="28"/>
          <w:szCs w:val="28"/>
          <w:lang w:val="pt-BR"/>
        </w:rPr>
      </w:pPr>
      <w:r>
        <w:rPr>
          <w:b/>
          <w:bCs/>
          <w:color w:val="365F91" w:themeColor="accent1" w:themeShade="BF"/>
          <w:sz w:val="28"/>
          <w:szCs w:val="28"/>
          <w:lang w:val="pt-BR"/>
        </w:rPr>
        <w:lastRenderedPageBreak/>
        <w:t>2.</w:t>
      </w:r>
      <w:r w:rsidR="00784569" w:rsidRPr="00784569">
        <w:rPr>
          <w:b/>
          <w:bCs/>
          <w:color w:val="365F91" w:themeColor="accent1" w:themeShade="BF"/>
          <w:sz w:val="28"/>
          <w:szCs w:val="28"/>
          <w:lang w:val="pt-BR"/>
        </w:rPr>
        <w:t>Monitorizarea calita</w:t>
      </w:r>
      <w:r w:rsidR="00784569" w:rsidRPr="00784569">
        <w:rPr>
          <w:b/>
          <w:bCs/>
          <w:color w:val="365F91" w:themeColor="accent1" w:themeShade="BF"/>
          <w:sz w:val="28"/>
          <w:szCs w:val="28"/>
          <w:lang w:val="pt-BR"/>
        </w:rPr>
        <w:t>t</w:t>
      </w:r>
      <w:r w:rsidR="00784569" w:rsidRPr="00784569">
        <w:rPr>
          <w:b/>
          <w:bCs/>
          <w:color w:val="365F91" w:themeColor="accent1" w:themeShade="BF"/>
          <w:sz w:val="28"/>
          <w:szCs w:val="28"/>
          <w:lang w:val="pt-BR"/>
        </w:rPr>
        <w:t>ii somnului folosind semnale EEG si arhitecturi</w:t>
      </w:r>
      <w:r w:rsidR="00784569">
        <w:rPr>
          <w:b/>
          <w:bCs/>
          <w:color w:val="365F91" w:themeColor="accent1" w:themeShade="BF"/>
          <w:sz w:val="28"/>
          <w:szCs w:val="28"/>
          <w:lang w:val="pt-BR"/>
        </w:rPr>
        <w:t xml:space="preserve"> </w:t>
      </w:r>
      <w:r w:rsidR="00784569" w:rsidRPr="00784569">
        <w:rPr>
          <w:b/>
          <w:bCs/>
          <w:color w:val="365F91" w:themeColor="accent1" w:themeShade="BF"/>
          <w:sz w:val="28"/>
          <w:szCs w:val="28"/>
          <w:lang w:val="pt-BR"/>
        </w:rPr>
        <w:t>convolu</w:t>
      </w:r>
      <w:r w:rsidR="00784569" w:rsidRPr="00784569">
        <w:rPr>
          <w:b/>
          <w:bCs/>
          <w:color w:val="365F91" w:themeColor="accent1" w:themeShade="BF"/>
          <w:sz w:val="28"/>
          <w:szCs w:val="28"/>
          <w:lang w:val="pt-BR"/>
        </w:rPr>
        <w:t>t</w:t>
      </w:r>
      <w:r w:rsidR="00784569" w:rsidRPr="00784569">
        <w:rPr>
          <w:b/>
          <w:bCs/>
          <w:color w:val="365F91" w:themeColor="accent1" w:themeShade="BF"/>
          <w:sz w:val="28"/>
          <w:szCs w:val="28"/>
          <w:lang w:val="pt-BR"/>
        </w:rPr>
        <w:t>ionale 2D cu atent</w:t>
      </w:r>
      <w:r w:rsidR="00784569" w:rsidRPr="00784569">
        <w:rPr>
          <w:b/>
          <w:bCs/>
          <w:color w:val="365F91" w:themeColor="accent1" w:themeShade="BF"/>
          <w:sz w:val="28"/>
          <w:szCs w:val="28"/>
          <w:lang w:val="pt-BR"/>
        </w:rPr>
        <w:t>ie</w:t>
      </w:r>
    </w:p>
    <w:p w14:paraId="49593BCC" w14:textId="77777777" w:rsidR="00784569" w:rsidRDefault="00784569" w:rsidP="00784569">
      <w:pPr>
        <w:spacing w:after="0" w:line="240" w:lineRule="auto"/>
        <w:rPr>
          <w:b/>
          <w:bCs/>
          <w:color w:val="365F91" w:themeColor="accent1" w:themeShade="BF"/>
          <w:sz w:val="28"/>
          <w:szCs w:val="28"/>
          <w:lang w:val="pt-BR"/>
        </w:rPr>
      </w:pPr>
    </w:p>
    <w:p w14:paraId="5B5715E8" w14:textId="6B07EDAF" w:rsidR="00784569" w:rsidRPr="00784569" w:rsidRDefault="00784569" w:rsidP="00784569">
      <w:pPr>
        <w:spacing w:after="0" w:line="240" w:lineRule="auto"/>
        <w:rPr>
          <w:rFonts w:asciiTheme="majorHAnsi" w:hAnsiTheme="majorHAnsi" w:cstheme="majorHAnsi"/>
          <w:color w:val="365F91" w:themeColor="accent1" w:themeShade="BF"/>
        </w:rPr>
      </w:pPr>
      <w:r w:rsidRPr="00784569">
        <w:rPr>
          <w:rFonts w:asciiTheme="majorHAnsi" w:hAnsiTheme="majorHAnsi" w:cstheme="majorHAnsi"/>
          <w:color w:val="365F91" w:themeColor="accent1" w:themeShade="BF"/>
          <w:lang w:val="pt-BR"/>
        </w:rPr>
        <w:t xml:space="preserve">Conducator lucrare:Conf. dr. ing. </w:t>
      </w:r>
      <w:r w:rsidRPr="00784569">
        <w:rPr>
          <w:rFonts w:asciiTheme="majorHAnsi" w:hAnsiTheme="majorHAnsi" w:cstheme="majorHAnsi"/>
          <w:color w:val="365F91" w:themeColor="accent1" w:themeShade="BF"/>
        </w:rPr>
        <w:t>Anamaria Radoi</w:t>
      </w:r>
    </w:p>
    <w:p w14:paraId="675DBA9F" w14:textId="2A3655DA" w:rsidR="00784569" w:rsidRPr="000F67F5" w:rsidRDefault="00784569" w:rsidP="00784569">
      <w:pPr>
        <w:spacing w:after="0" w:line="240" w:lineRule="auto"/>
        <w:rPr>
          <w:rFonts w:asciiTheme="majorHAnsi" w:hAnsiTheme="majorHAnsi" w:cstheme="majorHAnsi"/>
          <w:color w:val="365F91" w:themeColor="accent1" w:themeShade="BF"/>
        </w:rPr>
      </w:pPr>
      <w:proofErr w:type="spellStart"/>
      <w:proofErr w:type="gramStart"/>
      <w:r w:rsidRPr="00784569">
        <w:rPr>
          <w:rFonts w:asciiTheme="majorHAnsi" w:hAnsiTheme="majorHAnsi" w:cstheme="majorHAnsi"/>
          <w:color w:val="365F91" w:themeColor="accent1" w:themeShade="BF"/>
        </w:rPr>
        <w:t>Student:</w:t>
      </w:r>
      <w:r w:rsidRPr="000F67F5">
        <w:rPr>
          <w:rFonts w:asciiTheme="majorHAnsi" w:hAnsiTheme="majorHAnsi" w:cstheme="majorHAnsi"/>
          <w:color w:val="365F91" w:themeColor="accent1" w:themeShade="BF"/>
        </w:rPr>
        <w:t>Mitrea</w:t>
      </w:r>
      <w:proofErr w:type="spellEnd"/>
      <w:proofErr w:type="gramEnd"/>
      <w:r w:rsidRPr="000F67F5">
        <w:rPr>
          <w:rFonts w:asciiTheme="majorHAnsi" w:hAnsiTheme="majorHAnsi" w:cstheme="majorHAnsi"/>
          <w:color w:val="365F91" w:themeColor="accent1" w:themeShade="BF"/>
        </w:rPr>
        <w:t xml:space="preserve"> Bogdan-Gabriel</w:t>
      </w:r>
    </w:p>
    <w:p w14:paraId="789C8943" w14:textId="5DC15691" w:rsidR="00784569" w:rsidRPr="00784569" w:rsidRDefault="00784569" w:rsidP="00784569">
      <w:pPr>
        <w:spacing w:after="0" w:line="240" w:lineRule="auto"/>
        <w:rPr>
          <w:b/>
          <w:bCs/>
          <w:color w:val="365F91" w:themeColor="accent1" w:themeShade="BF"/>
          <w:sz w:val="28"/>
          <w:szCs w:val="28"/>
        </w:rPr>
      </w:pPr>
    </w:p>
    <w:p w14:paraId="47E004D1" w14:textId="414DA953" w:rsidR="00E947A9" w:rsidRDefault="00E947A9" w:rsidP="00E947A9">
      <w:pPr>
        <w:rPr>
          <w:lang w:val="pt-BR"/>
        </w:rPr>
      </w:pPr>
      <w:r w:rsidRPr="00E947A9">
        <w:rPr>
          <w:lang w:val="pt-BR"/>
        </w:rPr>
        <w:t>Electroencefalograma (EEG) reprezintă un test utilizat pentru monitorizarea activității electrice a creierului. Procedura presupune montarea unei căști EEG cu diferite sisteme de amplasare a electrozilor, precum sistemele 10-20, 10-10 sau 10-5, fiecare având un număr diferit de electrozi. În cadrul acestui studiu, a fost folosit sistemul 10-20, în configurația standard de 21 de electrozi distribuiți uniform pe zonele cerebrale.</w:t>
      </w:r>
      <w:r w:rsidRPr="00E947A9">
        <w:rPr>
          <w:lang w:val="pt-BR"/>
        </w:rPr>
        <w:br/>
      </w:r>
      <w:r w:rsidRPr="00E947A9">
        <w:rPr>
          <w:lang w:val="pt-BR"/>
        </w:rPr>
        <w:br/>
        <w:t>În mod tradițional, analiza somnului este realizată manual de către un tehnician, care examinează înregistrările EEG pe durata somnului și adnotează, în ferestre de câte 30 de secunde, stadiul în care se află pacientul. Această metodă este însă consumatoare de timp, predispusă la erori umane și necesită personal specializat.</w:t>
      </w:r>
      <w:r w:rsidRPr="00E947A9">
        <w:rPr>
          <w:lang w:val="pt-BR"/>
        </w:rPr>
        <w:br/>
      </w:r>
      <w:r w:rsidRPr="00E947A9">
        <w:rPr>
          <w:lang w:val="pt-BR"/>
        </w:rPr>
        <w:br/>
        <w:t>În această lucrare este propusă o arhitectură CNN 2D îmbunătățită cu mecanisme de atenție, utilizând spectrograme generate din semnale EEG. O direcție des întâlnită în literatura de specialitate este reprezentarea semnalului EEG sub formă de spectrogramă, obținută folosind Transformata Fourier de tip STFT. În unele studii, modelele CNN antrenate pe spectrograme au atins acurateți de peste 98% în clasificarea anumitor tipuri de episoade EEG.</w:t>
      </w:r>
      <w:r w:rsidRPr="00E947A9">
        <w:rPr>
          <w:lang w:val="pt-BR"/>
        </w:rPr>
        <w:br/>
      </w:r>
      <w:r w:rsidRPr="00E947A9">
        <w:rPr>
          <w:lang w:val="pt-BR"/>
        </w:rPr>
        <w:br/>
        <w:t>Setul de date utilizat, OSF - ANPHY-Sleep, conține înregistrări EEG de înaltă densitate, cu 83 de canale, provenite de la 29 de pacienți sănătoși cu vârste între 18 și 45 de ani. Acest set de date permite o analiză detaliată a fiziologiei somnului la o rezoluție ridicată.</w:t>
      </w:r>
      <w:r w:rsidRPr="00E947A9">
        <w:rPr>
          <w:lang w:val="pt-BR"/>
        </w:rPr>
        <w:br/>
      </w:r>
      <w:r w:rsidRPr="00E947A9">
        <w:rPr>
          <w:lang w:val="pt-BR"/>
        </w:rPr>
        <w:br/>
        <w:t>Primul pas al procesării datelor a fost segmentarea în fișiere de câte 30 de secunde, necesară pentru asocierea corectă cu fișierele de adnotare. Ulterior, au fost eliminate epocile invalide utilizând artifact detection matrix. În urma filtrării, aproximativ 40 de epoci per stadiu de somn au fost păstrate pentru fiecare pacient, rezultând un total de 5800 de epoci distribuite uniform între clase. Segmentele procesate și etichetele aferente au fost stocate într-un fișier .csv pentru încărcare rapidă.</w:t>
      </w:r>
      <w:r w:rsidRPr="00E947A9">
        <w:rPr>
          <w:lang w:val="pt-BR"/>
        </w:rPr>
        <w:br/>
      </w:r>
      <w:r w:rsidRPr="00E947A9">
        <w:rPr>
          <w:lang w:val="pt-BR"/>
        </w:rPr>
        <w:br/>
        <w:t>Pentru antrenare a fost creată clasa EEGDataset, care preia fișierul .csv, transformările necesare și canalele selectate, permițând antrenarea atât pe sistemul 10-20 (23 de canale), cât și pe cel complet de 83 de canale.</w:t>
      </w:r>
      <w:r w:rsidRPr="00E947A9">
        <w:rPr>
          <w:lang w:val="pt-BR"/>
        </w:rPr>
        <w:br/>
      </w:r>
      <w:r w:rsidRPr="00E947A9">
        <w:rPr>
          <w:lang w:val="pt-BR"/>
        </w:rPr>
        <w:br/>
        <w:t xml:space="preserve">Arhitectura rețelei neuronale propuse constă în trei blocuri convoluționale, fiecare compus din straturi Conv2D, BatchNorm, ReLU și MaxPool. Între aceste blocuri au fost introduse skip-connections de tip ResNet cu convoluție 1x1, facilitând învățarea și reducând pierderea de informație. Stratul convoluțional extrage caracteristici relevante din spectrogramă, </w:t>
      </w:r>
      <w:r w:rsidRPr="00E947A9">
        <w:rPr>
          <w:lang w:val="pt-BR"/>
        </w:rPr>
        <w:lastRenderedPageBreak/>
        <w:t>precum modele temporale sau de frecvență. Batch normalization stabilizează activările în timpul antrenării, iar ReLU introduce neliniaritate și accelerează procesul. În final, MaxPool reduce dimensiunea reprezentărilor intermediare.</w:t>
      </w:r>
      <w:r w:rsidRPr="00E947A9">
        <w:rPr>
          <w:lang w:val="pt-BR"/>
        </w:rPr>
        <w:br/>
      </w:r>
      <w:r w:rsidRPr="00E947A9">
        <w:rPr>
          <w:lang w:val="pt-BR"/>
        </w:rPr>
        <w:br/>
        <w:t xml:space="preserve">În procesul de antrenare, pacienții au fost împărțiți în seturi de antrenare (80%) și testare (20%), urmărindu-se o abordare user-independent. </w:t>
      </w:r>
      <w:proofErr w:type="spellStart"/>
      <w:r w:rsidRPr="00E947A9">
        <w:t>Antrenarea</w:t>
      </w:r>
      <w:proofErr w:type="spellEnd"/>
      <w:r w:rsidRPr="00E947A9">
        <w:t xml:space="preserve"> s-a </w:t>
      </w:r>
      <w:proofErr w:type="spellStart"/>
      <w:r w:rsidRPr="00E947A9">
        <w:t>realizat</w:t>
      </w:r>
      <w:proofErr w:type="spellEnd"/>
      <w:r w:rsidRPr="00E947A9">
        <w:t xml:space="preserve"> cu batch size 32, </w:t>
      </w:r>
      <w:proofErr w:type="spellStart"/>
      <w:r w:rsidRPr="00E947A9">
        <w:t>timp</w:t>
      </w:r>
      <w:proofErr w:type="spellEnd"/>
      <w:r w:rsidRPr="00E947A9">
        <w:t xml:space="preserve"> de 100 de </w:t>
      </w:r>
      <w:proofErr w:type="spellStart"/>
      <w:r w:rsidRPr="00E947A9">
        <w:t>epoci</w:t>
      </w:r>
      <w:proofErr w:type="spellEnd"/>
      <w:r w:rsidRPr="00E947A9">
        <w:t xml:space="preserve">, </w:t>
      </w:r>
      <w:proofErr w:type="spellStart"/>
      <w:r w:rsidRPr="00E947A9">
        <w:t>folosind</w:t>
      </w:r>
      <w:proofErr w:type="spellEnd"/>
      <w:r w:rsidRPr="00E947A9">
        <w:t xml:space="preserve"> </w:t>
      </w:r>
      <w:proofErr w:type="spellStart"/>
      <w:r w:rsidRPr="00E947A9">
        <w:t>optimizatorul</w:t>
      </w:r>
      <w:proofErr w:type="spellEnd"/>
      <w:r w:rsidRPr="00E947A9">
        <w:t xml:space="preserve"> Adam </w:t>
      </w:r>
      <w:proofErr w:type="spellStart"/>
      <w:r w:rsidRPr="00E947A9">
        <w:t>și</w:t>
      </w:r>
      <w:proofErr w:type="spellEnd"/>
      <w:r w:rsidRPr="00E947A9">
        <w:t xml:space="preserve"> </w:t>
      </w:r>
      <w:proofErr w:type="gramStart"/>
      <w:r w:rsidRPr="00E947A9">
        <w:t>un learning</w:t>
      </w:r>
      <w:proofErr w:type="gramEnd"/>
      <w:r w:rsidRPr="00E947A9">
        <w:t xml:space="preserve"> rate de 0.0001. </w:t>
      </w:r>
      <w:r w:rsidRPr="00E947A9">
        <w:rPr>
          <w:lang w:val="pt-BR"/>
        </w:rPr>
        <w:t>Funcția de pierderi aleasă a fost CrossEntropyLoss, cu ponderi suplimentare pentru clasa N1, având în vedere dificultatea ridicată de clasificare a acesteia.</w:t>
      </w:r>
      <w:r w:rsidRPr="00E947A9">
        <w:rPr>
          <w:lang w:val="pt-BR"/>
        </w:rPr>
        <w:br/>
      </w:r>
      <w:r w:rsidRPr="00E947A9">
        <w:rPr>
          <w:lang w:val="pt-BR"/>
        </w:rPr>
        <w:br/>
        <w:t>Lucrarea a urmărit dezvoltarea unei metode automate de clasificare a stadiilor somnului, utilizând semnale EEG și arhitecturi convoluționale cu mecanisme de atenție. Modelul propus integrează spectrograme per canal, separare pe pacienți și atenție spațială, obținând o acuratețe finală de 83.87%.</w:t>
      </w:r>
    </w:p>
    <w:p w14:paraId="1E46D1A1" w14:textId="77777777" w:rsidR="00811D37" w:rsidRDefault="00811D37" w:rsidP="00E947A9">
      <w:pPr>
        <w:rPr>
          <w:lang w:val="pt-BR"/>
        </w:rPr>
      </w:pPr>
    </w:p>
    <w:p w14:paraId="1DA4F019" w14:textId="77777777" w:rsidR="000F67F5" w:rsidRDefault="000F67F5" w:rsidP="00E947A9">
      <w:pPr>
        <w:rPr>
          <w:lang w:val="pt-BR"/>
        </w:rPr>
      </w:pPr>
    </w:p>
    <w:p w14:paraId="0121C6CD" w14:textId="77777777" w:rsidR="000F67F5" w:rsidRDefault="000F67F5" w:rsidP="00E947A9">
      <w:pPr>
        <w:rPr>
          <w:lang w:val="pt-BR"/>
        </w:rPr>
      </w:pPr>
    </w:p>
    <w:p w14:paraId="773B4014" w14:textId="77777777" w:rsidR="000F67F5" w:rsidRDefault="000F67F5" w:rsidP="00E947A9">
      <w:pPr>
        <w:rPr>
          <w:lang w:val="pt-BR"/>
        </w:rPr>
      </w:pPr>
    </w:p>
    <w:p w14:paraId="6ABA69CE" w14:textId="77777777" w:rsidR="000F67F5" w:rsidRDefault="000F67F5" w:rsidP="00E947A9">
      <w:pPr>
        <w:rPr>
          <w:lang w:val="pt-BR"/>
        </w:rPr>
      </w:pPr>
    </w:p>
    <w:p w14:paraId="3FD466FC" w14:textId="77777777" w:rsidR="000F67F5" w:rsidRDefault="000F67F5" w:rsidP="00E947A9">
      <w:pPr>
        <w:rPr>
          <w:lang w:val="pt-BR"/>
        </w:rPr>
      </w:pPr>
    </w:p>
    <w:p w14:paraId="09150D2A" w14:textId="77777777" w:rsidR="000F67F5" w:rsidRDefault="000F67F5" w:rsidP="00E947A9">
      <w:pPr>
        <w:rPr>
          <w:lang w:val="pt-BR"/>
        </w:rPr>
      </w:pPr>
    </w:p>
    <w:p w14:paraId="20E3A47B" w14:textId="77777777" w:rsidR="000F67F5" w:rsidRDefault="000F67F5" w:rsidP="00E947A9">
      <w:pPr>
        <w:rPr>
          <w:lang w:val="pt-BR"/>
        </w:rPr>
      </w:pPr>
    </w:p>
    <w:p w14:paraId="5665D03A" w14:textId="77777777" w:rsidR="000F67F5" w:rsidRDefault="000F67F5" w:rsidP="00E947A9">
      <w:pPr>
        <w:rPr>
          <w:lang w:val="pt-BR"/>
        </w:rPr>
      </w:pPr>
    </w:p>
    <w:p w14:paraId="53DCDB61" w14:textId="77777777" w:rsidR="000F67F5" w:rsidRDefault="000F67F5" w:rsidP="00E947A9">
      <w:pPr>
        <w:rPr>
          <w:lang w:val="pt-BR"/>
        </w:rPr>
      </w:pPr>
    </w:p>
    <w:p w14:paraId="4EDD25AC" w14:textId="77777777" w:rsidR="000F67F5" w:rsidRDefault="000F67F5" w:rsidP="00E947A9">
      <w:pPr>
        <w:rPr>
          <w:lang w:val="pt-BR"/>
        </w:rPr>
      </w:pPr>
    </w:p>
    <w:p w14:paraId="7E479528" w14:textId="77777777" w:rsidR="000F67F5" w:rsidRDefault="000F67F5" w:rsidP="00E947A9">
      <w:pPr>
        <w:rPr>
          <w:lang w:val="pt-BR"/>
        </w:rPr>
      </w:pPr>
    </w:p>
    <w:p w14:paraId="6E6B1048" w14:textId="77777777" w:rsidR="000F67F5" w:rsidRDefault="000F67F5" w:rsidP="00E947A9">
      <w:pPr>
        <w:rPr>
          <w:lang w:val="pt-BR"/>
        </w:rPr>
      </w:pPr>
    </w:p>
    <w:p w14:paraId="285B2495" w14:textId="77777777" w:rsidR="000F67F5" w:rsidRDefault="000F67F5" w:rsidP="00E947A9">
      <w:pPr>
        <w:rPr>
          <w:lang w:val="pt-BR"/>
        </w:rPr>
      </w:pPr>
    </w:p>
    <w:p w14:paraId="7FEDF0C3" w14:textId="77777777" w:rsidR="000F67F5" w:rsidRDefault="000F67F5" w:rsidP="00E947A9">
      <w:pPr>
        <w:rPr>
          <w:lang w:val="pt-BR"/>
        </w:rPr>
      </w:pPr>
    </w:p>
    <w:p w14:paraId="0477269E" w14:textId="77777777" w:rsidR="000F67F5" w:rsidRDefault="000F67F5" w:rsidP="00E947A9">
      <w:pPr>
        <w:rPr>
          <w:lang w:val="pt-BR"/>
        </w:rPr>
      </w:pPr>
    </w:p>
    <w:p w14:paraId="31C9E755" w14:textId="77777777" w:rsidR="000F67F5" w:rsidRDefault="000F67F5" w:rsidP="00E947A9">
      <w:pPr>
        <w:rPr>
          <w:lang w:val="pt-BR"/>
        </w:rPr>
      </w:pPr>
    </w:p>
    <w:p w14:paraId="0421F55C" w14:textId="3B9911C1" w:rsidR="00F80614" w:rsidRPr="00F80614" w:rsidRDefault="000F67F5" w:rsidP="00F80614">
      <w:pPr>
        <w:rPr>
          <w:b/>
          <w:bCs/>
          <w:color w:val="365F91" w:themeColor="accent1" w:themeShade="BF"/>
        </w:rPr>
      </w:pPr>
      <w:r>
        <w:rPr>
          <w:b/>
          <w:bCs/>
          <w:color w:val="365F91" w:themeColor="accent1" w:themeShade="BF"/>
        </w:rPr>
        <w:lastRenderedPageBreak/>
        <w:t>3.</w:t>
      </w:r>
      <w:r w:rsidR="00F80614" w:rsidRPr="00F80614">
        <w:rPr>
          <w:b/>
          <w:bCs/>
          <w:color w:val="365F91" w:themeColor="accent1" w:themeShade="BF"/>
        </w:rPr>
        <w:t>Exploring EEG Signals for Noninvasive Blood Glucose Monitoring in Prediabetes Diagnosis</w:t>
      </w:r>
    </w:p>
    <w:p w14:paraId="25CE78A8" w14:textId="77777777" w:rsidR="00F80614" w:rsidRPr="00F80614" w:rsidRDefault="00F80614" w:rsidP="00F80614">
      <w:pPr>
        <w:rPr>
          <w:color w:val="365F91" w:themeColor="accent1" w:themeShade="BF"/>
        </w:rPr>
      </w:pPr>
      <w:r w:rsidRPr="00F80614">
        <w:rPr>
          <w:color w:val="365F91" w:themeColor="accent1" w:themeShade="BF"/>
        </w:rPr>
        <w:t xml:space="preserve">Autori: </w:t>
      </w:r>
      <w:proofErr w:type="spellStart"/>
      <w:r w:rsidRPr="00F80614">
        <w:rPr>
          <w:color w:val="365F91" w:themeColor="accent1" w:themeShade="BF"/>
        </w:rPr>
        <w:t>Tobore</w:t>
      </w:r>
      <w:proofErr w:type="spellEnd"/>
      <w:r w:rsidRPr="00F80614">
        <w:rPr>
          <w:color w:val="365F91" w:themeColor="accent1" w:themeShade="BF"/>
        </w:rPr>
        <w:t xml:space="preserve"> </w:t>
      </w:r>
      <w:proofErr w:type="spellStart"/>
      <w:r w:rsidRPr="00F80614">
        <w:rPr>
          <w:color w:val="365F91" w:themeColor="accent1" w:themeShade="BF"/>
        </w:rPr>
        <w:t>Igbe</w:t>
      </w:r>
      <w:proofErr w:type="spellEnd"/>
      <w:r w:rsidRPr="00F80614">
        <w:rPr>
          <w:color w:val="365F91" w:themeColor="accent1" w:themeShade="BF"/>
        </w:rPr>
        <w:t xml:space="preserve">, Abhishek Kandwal, </w:t>
      </w:r>
      <w:proofErr w:type="spellStart"/>
      <w:r w:rsidRPr="00F80614">
        <w:rPr>
          <w:color w:val="365F91" w:themeColor="accent1" w:themeShade="BF"/>
        </w:rPr>
        <w:t>Jingzhen</w:t>
      </w:r>
      <w:proofErr w:type="spellEnd"/>
      <w:r w:rsidRPr="00F80614">
        <w:rPr>
          <w:color w:val="365F91" w:themeColor="accent1" w:themeShade="BF"/>
        </w:rPr>
        <w:t xml:space="preserve"> Li, Frank Kulwa, Oluwarotimi W. Samuel, Zedong Nie</w:t>
      </w:r>
    </w:p>
    <w:p w14:paraId="7CF77B47" w14:textId="77777777" w:rsidR="00F80614" w:rsidRPr="00F80614" w:rsidRDefault="00F80614" w:rsidP="00F80614">
      <w:pPr>
        <w:rPr>
          <w:b/>
          <w:bCs/>
          <w:color w:val="365F91" w:themeColor="accent1" w:themeShade="BF"/>
          <w:lang w:val="pt-BR"/>
        </w:rPr>
      </w:pPr>
      <w:r w:rsidRPr="00F80614">
        <w:rPr>
          <w:b/>
          <w:bCs/>
          <w:color w:val="365F91" w:themeColor="accent1" w:themeShade="BF"/>
          <w:lang w:val="pt-BR"/>
        </w:rPr>
        <w:t>1. Introducere</w:t>
      </w:r>
    </w:p>
    <w:p w14:paraId="3D41401D" w14:textId="77777777" w:rsidR="00F80614" w:rsidRPr="00F80614" w:rsidRDefault="00F80614" w:rsidP="00F80614">
      <w:pPr>
        <w:rPr>
          <w:lang w:val="pt-BR"/>
        </w:rPr>
      </w:pPr>
      <w:r w:rsidRPr="00F80614">
        <w:rPr>
          <w:lang w:val="pt-BR"/>
        </w:rPr>
        <w:t>În Statele Unite, 30,3 milioane de persoane au deja diabet, iar alți 97,6 milioane de adulți se află într</w:t>
      </w:r>
      <w:r w:rsidRPr="00F80614">
        <w:rPr>
          <w:lang w:val="pt-BR"/>
        </w:rPr>
        <w:noBreakHyphen/>
        <w:t>un stadiu intermediar precar, cunoscut sub numele de prediabet.</w:t>
      </w:r>
    </w:p>
    <w:p w14:paraId="0B4572FA" w14:textId="77777777" w:rsidR="00F80614" w:rsidRPr="00F80614" w:rsidRDefault="00F80614" w:rsidP="00F80614">
      <w:pPr>
        <w:rPr>
          <w:lang w:val="pt-BR"/>
        </w:rPr>
      </w:pPr>
      <w:r w:rsidRPr="00F80614">
        <w:rPr>
          <w:lang w:val="pt-BR"/>
        </w:rPr>
        <w:t>Prediabetul este caracterizat de niveluri ridicate ale glucozei din sânge care nu ating pragul diabetului, dar prezintă riscuri majore.</w:t>
      </w:r>
    </w:p>
    <w:p w14:paraId="02589D84" w14:textId="77777777" w:rsidR="00F80614" w:rsidRPr="00F80614" w:rsidRDefault="00F80614" w:rsidP="00F80614">
      <w:pPr>
        <w:rPr>
          <w:lang w:val="pt-BR"/>
        </w:rPr>
      </w:pPr>
      <w:r w:rsidRPr="00F80614">
        <w:rPr>
          <w:lang w:val="pt-BR"/>
        </w:rPr>
        <w:t>Căutarea metodelor neinvazive pentru monitorizarea continuă a BG a condus la noi tehnologii precum senzori cu microunde, spectroscopie Raman, refracția luminii laser vizibile, lentile de contact inteligente și bioimpedanță.</w:t>
      </w:r>
    </w:p>
    <w:p w14:paraId="1C9F8960" w14:textId="77777777" w:rsidR="00F80614" w:rsidRPr="00F80614" w:rsidRDefault="00F80614" w:rsidP="00F80614">
      <w:pPr>
        <w:rPr>
          <w:b/>
          <w:bCs/>
          <w:color w:val="365F91" w:themeColor="accent1" w:themeShade="BF"/>
          <w:lang w:val="pt-BR"/>
        </w:rPr>
      </w:pPr>
      <w:r w:rsidRPr="00F80614">
        <w:rPr>
          <w:b/>
          <w:bCs/>
          <w:color w:val="365F91" w:themeColor="accent1" w:themeShade="BF"/>
          <w:lang w:val="pt-BR"/>
        </w:rPr>
        <w:t>2. Fundamente Teoretice</w:t>
      </w:r>
    </w:p>
    <w:p w14:paraId="2F65F91A" w14:textId="77777777" w:rsidR="00F80614" w:rsidRPr="00F80614" w:rsidRDefault="00F80614" w:rsidP="00F80614">
      <w:pPr>
        <w:rPr>
          <w:lang w:val="pt-BR"/>
        </w:rPr>
      </w:pPr>
      <w:r w:rsidRPr="00F80614">
        <w:rPr>
          <w:lang w:val="pt-BR"/>
        </w:rPr>
        <w:t>Glucoza este principala sursă de energie pentru creier, iar variațiile sale influențează activitatea neuronală.</w:t>
      </w:r>
    </w:p>
    <w:p w14:paraId="76122106" w14:textId="77777777" w:rsidR="00F80614" w:rsidRPr="00F80614" w:rsidRDefault="00F80614" w:rsidP="00F80614">
      <w:pPr>
        <w:rPr>
          <w:lang w:val="pt-BR"/>
        </w:rPr>
      </w:pPr>
      <w:r w:rsidRPr="00F80614">
        <w:rPr>
          <w:lang w:val="pt-BR"/>
        </w:rPr>
        <w:t>În studiul descris, 24 de voluntari sănătoși au efectuat o sesiune EEG de 8 ore în stare de repaus.</w:t>
      </w:r>
    </w:p>
    <w:p w14:paraId="3089E76E" w14:textId="77777777" w:rsidR="00F80614" w:rsidRPr="00F80614" w:rsidRDefault="00F80614" w:rsidP="00F80614">
      <w:pPr>
        <w:rPr>
          <w:lang w:val="pt-BR"/>
        </w:rPr>
      </w:pPr>
      <w:r w:rsidRPr="00F80614">
        <w:rPr>
          <w:lang w:val="pt-BR"/>
        </w:rPr>
        <w:t>Au fost observate creșteri în benzile alfa joasă și theta după ingerarea glucozei.</w:t>
      </w:r>
    </w:p>
    <w:p w14:paraId="3580315E" w14:textId="77777777" w:rsidR="00F80614" w:rsidRPr="00F80614" w:rsidRDefault="00F80614" w:rsidP="00F80614">
      <w:pPr>
        <w:rPr>
          <w:lang w:val="pt-BR"/>
        </w:rPr>
      </w:pPr>
      <w:r w:rsidRPr="00F80614">
        <w:rPr>
          <w:lang w:val="pt-BR"/>
        </w:rPr>
        <w:t>Semnalele EEG includ cinci benzi distincte: alfa (8–13 Hz), beta (14–30 Hz), delta (0.5–3 Hz), theta (4–8 Hz), gamma (&gt;30 Hz).</w:t>
      </w:r>
    </w:p>
    <w:p w14:paraId="11F2A4CA" w14:textId="77777777" w:rsidR="00F80614" w:rsidRPr="00F80614" w:rsidRDefault="00F80614" w:rsidP="00F80614">
      <w:pPr>
        <w:rPr>
          <w:b/>
          <w:bCs/>
          <w:color w:val="365F91" w:themeColor="accent1" w:themeShade="BF"/>
          <w:lang w:val="pt-BR"/>
        </w:rPr>
      </w:pPr>
      <w:r w:rsidRPr="00F80614">
        <w:rPr>
          <w:b/>
          <w:bCs/>
          <w:color w:val="365F91" w:themeColor="accent1" w:themeShade="BF"/>
          <w:lang w:val="pt-BR"/>
        </w:rPr>
        <w:t>3. Studii Anterioare</w:t>
      </w:r>
    </w:p>
    <w:p w14:paraId="24A8915B" w14:textId="77777777" w:rsidR="00F80614" w:rsidRPr="00F80614" w:rsidRDefault="00F80614" w:rsidP="00F80614">
      <w:pPr>
        <w:rPr>
          <w:lang w:val="pt-BR"/>
        </w:rPr>
      </w:pPr>
      <w:r w:rsidRPr="00F80614">
        <w:rPr>
          <w:lang w:val="pt-BR"/>
        </w:rPr>
        <w:t>Studiul lui Walker et al. a arătat modificări semnificative ale vârfului de frecvență alfa și ale componentelor aperiodice în urma ingestiei de glucoză.</w:t>
      </w:r>
    </w:p>
    <w:p w14:paraId="71DD1DD5" w14:textId="77777777" w:rsidR="00F80614" w:rsidRPr="00F80614" w:rsidRDefault="00F80614" w:rsidP="00F80614">
      <w:pPr>
        <w:rPr>
          <w:lang w:val="pt-BR"/>
        </w:rPr>
      </w:pPr>
      <w:r w:rsidRPr="00F80614">
        <w:rPr>
          <w:lang w:val="pt-BR"/>
        </w:rPr>
        <w:t>Puterea alfa prezintă o corelație negativă cu modificările nivelului BG.</w:t>
      </w:r>
    </w:p>
    <w:p w14:paraId="4ACE630C" w14:textId="77777777" w:rsidR="00F80614" w:rsidRPr="00F80614" w:rsidRDefault="00F80614" w:rsidP="00F80614">
      <w:pPr>
        <w:rPr>
          <w:lang w:val="pt-BR"/>
        </w:rPr>
      </w:pPr>
      <w:r w:rsidRPr="00F80614">
        <w:rPr>
          <w:lang w:val="pt-BR"/>
        </w:rPr>
        <w:t>Studii pe pacienți cu diabet au evidențiat relația dintre benzile EEG și hipoglicemie, inclusiv detectarea nocturnă prin rețele neuronale.</w:t>
      </w:r>
    </w:p>
    <w:p w14:paraId="6ABAA823" w14:textId="77777777" w:rsidR="00F80614" w:rsidRPr="00F80614" w:rsidRDefault="00F80614" w:rsidP="00F80614">
      <w:pPr>
        <w:rPr>
          <w:b/>
          <w:bCs/>
          <w:color w:val="365F91" w:themeColor="accent1" w:themeShade="BF"/>
          <w:lang w:val="pt-BR"/>
        </w:rPr>
      </w:pPr>
      <w:r w:rsidRPr="00F80614">
        <w:rPr>
          <w:b/>
          <w:bCs/>
          <w:color w:val="365F91" w:themeColor="accent1" w:themeShade="BF"/>
          <w:lang w:val="pt-BR"/>
        </w:rPr>
        <w:t>4. Metodologie</w:t>
      </w:r>
    </w:p>
    <w:p w14:paraId="15D12C52" w14:textId="77777777" w:rsidR="00F80614" w:rsidRPr="00F80614" w:rsidRDefault="00F80614" w:rsidP="00F80614">
      <w:pPr>
        <w:rPr>
          <w:lang w:val="pt-BR"/>
        </w:rPr>
      </w:pPr>
      <w:r w:rsidRPr="00F80614">
        <w:rPr>
          <w:lang w:val="pt-BR"/>
        </w:rPr>
        <w:t>Experimentul a fost realizat în două zile: una cu ingerarea a 75 g glucoză și una de control.</w:t>
      </w:r>
    </w:p>
    <w:p w14:paraId="149E04F5" w14:textId="77777777" w:rsidR="00F80614" w:rsidRPr="00F80614" w:rsidRDefault="00F80614" w:rsidP="00F80614">
      <w:pPr>
        <w:rPr>
          <w:lang w:val="pt-BR"/>
        </w:rPr>
      </w:pPr>
      <w:r w:rsidRPr="00F80614">
        <w:rPr>
          <w:lang w:val="pt-BR"/>
        </w:rPr>
        <w:t>Glicemia a fost măsurată la intervale de 25 de minute, iar EEG a fost înregistrat continuu.</w:t>
      </w:r>
    </w:p>
    <w:p w14:paraId="0D30E334" w14:textId="77777777" w:rsidR="00F80614" w:rsidRPr="00F80614" w:rsidRDefault="00F80614" w:rsidP="00F80614">
      <w:pPr>
        <w:rPr>
          <w:lang w:val="pt-BR"/>
        </w:rPr>
      </w:pPr>
      <w:r w:rsidRPr="00F80614">
        <w:rPr>
          <w:lang w:val="pt-BR"/>
        </w:rPr>
        <w:t>Participanții aveau vârsta medie 24 ± 1.5 ani, greutate 69.8 ± 9.2 kg și înălțime 1.71 ± 0.11 m.</w:t>
      </w:r>
    </w:p>
    <w:p w14:paraId="2788FE36" w14:textId="77777777" w:rsidR="00F80614" w:rsidRPr="00F80614" w:rsidRDefault="00F80614" w:rsidP="00F80614">
      <w:pPr>
        <w:rPr>
          <w:lang w:val="pt-BR"/>
        </w:rPr>
      </w:pPr>
      <w:r w:rsidRPr="00F80614">
        <w:rPr>
          <w:lang w:val="pt-BR"/>
        </w:rPr>
        <w:lastRenderedPageBreak/>
        <w:t>Electrozii au fost plasați conform sistemului internațional 10–20, iar prelucrarea semnalelor s-a realizat în AcqKnowledge.</w:t>
      </w:r>
    </w:p>
    <w:p w14:paraId="4D8D198F" w14:textId="77777777" w:rsidR="00F80614" w:rsidRPr="00F80614" w:rsidRDefault="00F80614" w:rsidP="00F80614">
      <w:pPr>
        <w:rPr>
          <w:lang w:val="pt-BR"/>
        </w:rPr>
      </w:pPr>
      <w:r w:rsidRPr="00F80614">
        <w:rPr>
          <w:lang w:val="pt-BR"/>
        </w:rPr>
        <w:t>Procedura OGTT a fost împărțită în trei faze: început, mijloc și final.</w:t>
      </w:r>
    </w:p>
    <w:p w14:paraId="391A68C7" w14:textId="77777777" w:rsidR="00F80614" w:rsidRPr="00F80614" w:rsidRDefault="00F80614" w:rsidP="00F80614">
      <w:pPr>
        <w:rPr>
          <w:b/>
          <w:bCs/>
          <w:color w:val="365F91" w:themeColor="accent1" w:themeShade="BF"/>
          <w:lang w:val="pt-BR"/>
        </w:rPr>
      </w:pPr>
      <w:r w:rsidRPr="00F80614">
        <w:rPr>
          <w:b/>
          <w:bCs/>
          <w:color w:val="365F91" w:themeColor="accent1" w:themeShade="BF"/>
          <w:lang w:val="pt-BR"/>
        </w:rPr>
        <w:t>5. Rezultate</w:t>
      </w:r>
    </w:p>
    <w:p w14:paraId="45326E5D" w14:textId="77777777" w:rsidR="00F80614" w:rsidRPr="00F80614" w:rsidRDefault="00F80614" w:rsidP="00F80614">
      <w:pPr>
        <w:rPr>
          <w:lang w:val="pt-BR"/>
        </w:rPr>
      </w:pPr>
      <w:r w:rsidRPr="00F80614">
        <w:rPr>
          <w:lang w:val="pt-BR"/>
        </w:rPr>
        <w:t>8 participanți au fost diagnosticați cu prediabet (BG ≥ 7.8 mmol/L), iar 17 au fost sănătoși.</w:t>
      </w:r>
    </w:p>
    <w:p w14:paraId="3AC0B7FB" w14:textId="77777777" w:rsidR="00F80614" w:rsidRPr="00F80614" w:rsidRDefault="00F80614" w:rsidP="00F80614">
      <w:pPr>
        <w:rPr>
          <w:lang w:val="pt-BR"/>
        </w:rPr>
      </w:pPr>
      <w:r w:rsidRPr="00F80614">
        <w:rPr>
          <w:lang w:val="pt-BR"/>
        </w:rPr>
        <w:t>Analiza boxplot a evidențiat diferențe semnificative între emisfere, utilizând parametrii S1, S2, 1P1, 1P2, Ph.</w:t>
      </w:r>
    </w:p>
    <w:p w14:paraId="0E5EFBFE" w14:textId="77777777" w:rsidR="00F80614" w:rsidRPr="00F80614" w:rsidRDefault="00F80614" w:rsidP="00F80614">
      <w:pPr>
        <w:rPr>
          <w:lang w:val="pt-BR"/>
        </w:rPr>
      </w:pPr>
      <w:r w:rsidRPr="00F80614">
        <w:rPr>
          <w:lang w:val="pt-BR"/>
        </w:rPr>
        <w:t>Regiunile parietală și occipitală au arătat modificări relevante în AMNF, GMNF, GPF în faza finală.</w:t>
      </w:r>
    </w:p>
    <w:p w14:paraId="6CF5F0A6" w14:textId="77777777" w:rsidR="00F80614" w:rsidRPr="00F80614" w:rsidRDefault="00F80614" w:rsidP="00F80614">
      <w:pPr>
        <w:rPr>
          <w:b/>
          <w:bCs/>
          <w:color w:val="365F91" w:themeColor="accent1" w:themeShade="BF"/>
          <w:lang w:val="pt-BR"/>
        </w:rPr>
      </w:pPr>
      <w:r w:rsidRPr="00F80614">
        <w:rPr>
          <w:b/>
          <w:bCs/>
          <w:color w:val="365F91" w:themeColor="accent1" w:themeShade="BF"/>
          <w:lang w:val="pt-BR"/>
        </w:rPr>
        <w:t>6. Discuție și Concluzii</w:t>
      </w:r>
    </w:p>
    <w:p w14:paraId="321E050B" w14:textId="77777777" w:rsidR="00F80614" w:rsidRPr="00F80614" w:rsidRDefault="00F80614" w:rsidP="00F80614">
      <w:pPr>
        <w:rPr>
          <w:lang w:val="pt-BR"/>
        </w:rPr>
      </w:pPr>
      <w:r w:rsidRPr="00F80614">
        <w:rPr>
          <w:lang w:val="pt-BR"/>
        </w:rPr>
        <w:t>Explorarea semnalelor EEG în prediabet oferă perspective asupra modului în care glicemia influențează activitatea cerebrală.</w:t>
      </w:r>
    </w:p>
    <w:p w14:paraId="44B450D6" w14:textId="77777777" w:rsidR="00F80614" w:rsidRPr="00F80614" w:rsidRDefault="00F80614" w:rsidP="00F80614">
      <w:pPr>
        <w:rPr>
          <w:lang w:val="pt-BR"/>
        </w:rPr>
      </w:pPr>
      <w:r w:rsidRPr="00F80614">
        <w:rPr>
          <w:lang w:val="pt-BR"/>
        </w:rPr>
        <w:t>Regiunile P, O și F prezintă modele specifice legate de variațiile BG.</w:t>
      </w:r>
    </w:p>
    <w:p w14:paraId="548DF36A" w14:textId="77777777" w:rsidR="00F80614" w:rsidRPr="00F80614" w:rsidRDefault="00F80614" w:rsidP="00F80614">
      <w:pPr>
        <w:rPr>
          <w:lang w:val="pt-BR"/>
        </w:rPr>
      </w:pPr>
      <w:r w:rsidRPr="00F80614">
        <w:rPr>
          <w:lang w:val="pt-BR"/>
        </w:rPr>
        <w:t>Rezultatele susțin dezvoltarea unor metode neinvazive de monitorizare și a dispozitivelor purtabile pentru detectarea timpurie a prediabetului.</w:t>
      </w:r>
    </w:p>
    <w:p w14:paraId="515B4FF6" w14:textId="73A97AFC" w:rsidR="00E947A9" w:rsidRPr="00F80614" w:rsidRDefault="00E947A9" w:rsidP="00F80614">
      <w:pPr>
        <w:rPr>
          <w:lang w:val="pt-BR"/>
        </w:rPr>
      </w:pPr>
    </w:p>
    <w:sectPr w:rsidR="00E947A9" w:rsidRPr="00F806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966622">
    <w:abstractNumId w:val="8"/>
  </w:num>
  <w:num w:numId="2" w16cid:durableId="47925007">
    <w:abstractNumId w:val="6"/>
  </w:num>
  <w:num w:numId="3" w16cid:durableId="1716664038">
    <w:abstractNumId w:val="5"/>
  </w:num>
  <w:num w:numId="4" w16cid:durableId="1208764336">
    <w:abstractNumId w:val="4"/>
  </w:num>
  <w:num w:numId="5" w16cid:durableId="186868510">
    <w:abstractNumId w:val="7"/>
  </w:num>
  <w:num w:numId="6" w16cid:durableId="1855000664">
    <w:abstractNumId w:val="3"/>
  </w:num>
  <w:num w:numId="7" w16cid:durableId="1277324166">
    <w:abstractNumId w:val="2"/>
  </w:num>
  <w:num w:numId="8" w16cid:durableId="658461618">
    <w:abstractNumId w:val="1"/>
  </w:num>
  <w:num w:numId="9" w16cid:durableId="29573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C0C"/>
    <w:rsid w:val="0006063C"/>
    <w:rsid w:val="000F67F5"/>
    <w:rsid w:val="0015074B"/>
    <w:rsid w:val="0029639D"/>
    <w:rsid w:val="00326F90"/>
    <w:rsid w:val="003A1C30"/>
    <w:rsid w:val="005F497F"/>
    <w:rsid w:val="0071278B"/>
    <w:rsid w:val="00784569"/>
    <w:rsid w:val="00811D37"/>
    <w:rsid w:val="00AA1D8D"/>
    <w:rsid w:val="00B47730"/>
    <w:rsid w:val="00BA14A9"/>
    <w:rsid w:val="00CB0664"/>
    <w:rsid w:val="00E947A9"/>
    <w:rsid w:val="00F14544"/>
    <w:rsid w:val="00F80614"/>
    <w:rsid w:val="00FC693F"/>
    <w:rsid w:val="00FE64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52490"/>
  <w14:defaultImageDpi w14:val="300"/>
  <w15:docId w15:val="{BA665560-9AC2-4095-9869-B6888ED3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901</TotalTime>
  <Pages>7</Pages>
  <Words>2019</Words>
  <Characters>11512</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Bianca Teodora Daju</cp:lastModifiedBy>
  <cp:revision>5</cp:revision>
  <dcterms:created xsi:type="dcterms:W3CDTF">2013-12-23T23:15:00Z</dcterms:created>
  <dcterms:modified xsi:type="dcterms:W3CDTF">2026-03-23T12:36:00Z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2026-03-16T16:53:05Z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b3dea803-f84d-432e-8b98-5a71628ecde2</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