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543662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543662" w:rsidRPr="00543662">
            <w:rPr>
              <w:noProof/>
            </w:rPr>
            <w:t>(</w:t>
          </w:r>
          <w:r w:rsidR="00543662">
            <w:rPr>
              <w:noProof/>
              <w:lang w:val="en-US"/>
            </w:rPr>
            <w:t>Edwards</w:t>
          </w:r>
          <w:r w:rsidR="00543662" w:rsidRPr="00543662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543662" w:rsidRPr="00543662">
            <w:rPr>
              <w:noProof/>
            </w:rPr>
            <w:t>(</w:t>
          </w:r>
          <w:r w:rsidR="00543662">
            <w:rPr>
              <w:noProof/>
              <w:lang w:val="en-US"/>
            </w:rPr>
            <w:t>Roser</w:t>
          </w:r>
          <w:r w:rsidR="00543662" w:rsidRPr="00543662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543662" w:rsidRPr="00543662">
            <w:rPr>
              <w:noProof/>
            </w:rPr>
            <w:t>(</w:t>
          </w:r>
          <w:r w:rsidR="00543662">
            <w:rPr>
              <w:noProof/>
              <w:lang w:val="en-US"/>
            </w:rPr>
            <w:t>Baker</w:t>
          </w:r>
          <w:r w:rsidR="00543662" w:rsidRPr="00543662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543662" w:rsidRPr="00543662">
            <w:rPr>
              <w:noProof/>
            </w:rPr>
            <w:t>(</w:t>
          </w:r>
          <w:r w:rsidR="00543662">
            <w:rPr>
              <w:noProof/>
              <w:lang w:val="en-US"/>
            </w:rPr>
            <w:t>Mende</w:t>
          </w:r>
          <w:r w:rsidR="00543662" w:rsidRPr="00543662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543662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341138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341138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341139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3411391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341139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3411393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341139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3411395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3411396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3411397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3411398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341139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3411400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3411401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3411402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3411403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3411404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3411405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3411406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3411407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3411408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3411409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3411410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3411411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3411412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341141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</w:instrText>
      </w:r>
      <w:r w:rsidR="0098275F">
        <w:instrText xml:space="preserve">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2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3411414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3411415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3411416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341141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3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3411418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4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3411419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3411420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3411421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1E64FFCE" wp14:editId="23B64C51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3411422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3411423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3411424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5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3411425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3411426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3411427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3411428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3411429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3411430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3411431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6</w:instrText>
      </w:r>
      <w:r w:rsidR="0098275F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3411432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3411433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7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3411434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3411435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8</w:instrText>
      </w:r>
      <w:r w:rsidR="0098275F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3411436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3411437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98275F">
        <w:fldChar w:fldCharType="begin"/>
      </w:r>
      <w:r w:rsidR="0098275F">
        <w:instrText xml:space="preserve"> REF ZEqnNum949184 \* Charformat \! \* MERGEFORMAT </w:instrText>
      </w:r>
      <w:r w:rsidR="0098275F">
        <w:fldChar w:fldCharType="separate"/>
      </w:r>
      <w:r w:rsidR="00543662">
        <w:instrText>(1.8)</w:instrText>
      </w:r>
      <w:r w:rsidR="0098275F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3411438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239A8809" wp14:editId="7A61751E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3411439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07D6F46A" wp14:editId="5C6B4B5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3411440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3411441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1B372C38" wp14:editId="2EA8165E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3411442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3411443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16EEC91" wp14:editId="1776370B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98275F">
        <w:fldChar w:fldCharType="begin"/>
      </w:r>
      <w:r w:rsidR="0098275F">
        <w:instrText xml:space="preserve"> REF ZEqnNum949184 \* Charformat \! \* MERGEFORMAT </w:instrText>
      </w:r>
      <w:r w:rsidR="0098275F">
        <w:fldChar w:fldCharType="separate"/>
      </w:r>
      <w:r w:rsidR="00543662">
        <w:instrText>(1.8)</w:instrText>
      </w:r>
      <w:r w:rsidR="0098275F">
        <w:fldChar w:fldCharType="end"/>
      </w:r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341144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9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3411445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10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3411446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3411447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11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3411448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3411449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12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3411450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3411451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3411452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13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3411453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14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3411454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3411455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3411456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3411457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184" type="#_x0000_t75" style="width:90.75pt;height:18pt" o:ole="">
            <v:imagedata r:id="rId146" o:title=""/>
          </v:shape>
          <o:OLEObject Type="Embed" ProgID="Equation.DSMT4" ShapeID="_x0000_i1184" DrawAspect="Content" ObjectID="_1633411458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186" type="#_x0000_t75" style="width:90.75pt;height:15.75pt" o:ole="">
            <v:imagedata r:id="rId148" o:title=""/>
          </v:shape>
          <o:OLEObject Type="Embed" ProgID="Equation.DSMT4" ShapeID="_x0000_i1186" DrawAspect="Content" ObjectID="_1633411459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189" type="#_x0000_t75" style="width:11.25pt;height:12.75pt" o:ole="">
            <v:imagedata r:id="rId150" o:title=""/>
          </v:shape>
          <o:OLEObject Type="Embed" ProgID="Equation.DSMT4" ShapeID="_x0000_i1189" DrawAspect="Content" ObjectID="_1633411460" r:id="rId151"/>
        </w:object>
      </w:r>
      <w:r w:rsidR="0098275F">
        <w:t xml:space="preserve"> </w:t>
      </w:r>
      <w:bookmarkStart w:id="2" w:name="_GoBack"/>
      <w:bookmarkEnd w:id="2"/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52" o:title=""/>
          </v:shape>
          <o:OLEObject Type="Embed" ProgID="Equation.DSMT4" ShapeID="_x0000_i1096" DrawAspect="Content" ObjectID="_1633411461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54" o:title=""/>
          </v:shape>
          <o:OLEObject Type="Embed" ProgID="Equation.DSMT4" ShapeID="_x0000_i1097" DrawAspect="Content" ObjectID="_1633411462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0225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15</w:instrText>
      </w:r>
      <w:r w:rsidR="0098275F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6" o:title=""/>
          </v:shape>
          <o:OLEObject Type="Embed" ProgID="Equation.DSMT4" ShapeID="_x0000_i1098" DrawAspect="Content" ObjectID="_1633411463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8" o:title=""/>
          </v:shape>
          <o:OLEObject Type="Embed" ProgID="Equation.DSMT4" ShapeID="_x0000_i1099" DrawAspect="Content" ObjectID="_1633411464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60" o:title=""/>
          </v:shape>
          <o:OLEObject Type="Embed" ProgID="Equation.DSMT4" ShapeID="_x0000_i1100" DrawAspect="Content" ObjectID="_1633411465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62" o:title=""/>
          </v:shape>
          <o:OLEObject Type="Embed" ProgID="Equation.DSMT4" ShapeID="_x0000_i1101" DrawAspect="Content" ObjectID="_1633411466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64" o:title=""/>
          </v:shape>
          <o:OLEObject Type="Embed" ProgID="Equation.DSMT4" ShapeID="_x0000_i1102" DrawAspect="Content" ObjectID="_1633411467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0" o:title=""/>
          </v:shape>
          <o:OLEObject Type="Embed" ProgID="Equation.DSMT4" ShapeID="_x0000_i1103" DrawAspect="Content" ObjectID="_1633411468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60" o:title=""/>
          </v:shape>
          <o:OLEObject Type="Embed" ProgID="Equation.DSMT4" ShapeID="_x0000_i1104" DrawAspect="Content" ObjectID="_1633411469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8" o:title=""/>
          </v:shape>
          <o:OLEObject Type="Embed" ProgID="Equation.DSMT4" ShapeID="_x0000_i1105" DrawAspect="Content" ObjectID="_1633411470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84815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16</w:instrText>
      </w:r>
      <w:r w:rsidR="0098275F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543662" w:rsidRPr="00543662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3411471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3411472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08" type="#_x0000_t75" style="width:24.75pt;height:14.25pt" o:ole="">
            <v:imagedata r:id="rId172" o:title=""/>
          </v:shape>
          <o:OLEObject Type="Embed" ProgID="Equation.DSMT4" ShapeID="_x0000_i1108" DrawAspect="Content" ObjectID="_1633411473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98275F">
        <w:fldChar w:fldCharType="begin"/>
      </w:r>
      <w:r w:rsidR="0098275F">
        <w:instrText xml:space="preserve"> REF ZEqnNum949184 \* Charformat \! \* MERGEFORMAT </w:instrText>
      </w:r>
      <w:r w:rsidR="0098275F">
        <w:fldChar w:fldCharType="separate"/>
      </w:r>
      <w:r w:rsidR="00543662">
        <w:instrText>(1.8)</w:instrText>
      </w:r>
      <w:r w:rsidR="0098275F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2D2A5599" wp14:editId="4C22A131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9" type="#_x0000_t75" style="width:56.25pt;height:24pt" o:ole="">
            <v:imagedata r:id="rId114" o:title=""/>
          </v:shape>
          <o:OLEObject Type="Embed" ProgID="Equation.DSMT4" ShapeID="_x0000_i1109" DrawAspect="Content" ObjectID="_1633411474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0" type="#_x0000_t75" style="width:48pt;height:24pt" o:ole="">
            <v:imagedata r:id="rId116" o:title=""/>
          </v:shape>
          <o:OLEObject Type="Embed" ProgID="Equation.DSMT4" ShapeID="_x0000_i1110" DrawAspect="Content" ObjectID="_1633411475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2" o:title=""/>
          </v:shape>
          <o:OLEObject Type="Embed" ProgID="Equation.DSMT4" ShapeID="_x0000_i1111" DrawAspect="Content" ObjectID="_1633411476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678EA562" wp14:editId="666B9B2F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2" type="#_x0000_t75" style="width:9.75pt;height:9.75pt" o:ole="">
            <v:imagedata r:id="rId179" o:title=""/>
          </v:shape>
          <o:OLEObject Type="Embed" ProgID="Equation.DSMT4" ShapeID="_x0000_i1112" DrawAspect="Content" ObjectID="_1633411477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3" type="#_x0000_t75" style="width:15pt;height:18pt" o:ole="">
            <v:imagedata r:id="rId181" o:title=""/>
          </v:shape>
          <o:OLEObject Type="Embed" ProgID="Equation.DSMT4" ShapeID="_x0000_i1113" DrawAspect="Content" ObjectID="_1633411478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 w:rsidR="0098275F">
        <w:fldChar w:fldCharType="begin"/>
      </w:r>
      <w:r w:rsidR="0098275F">
        <w:instrText xml:space="preserve"> REF ZEqnNum784815 \* Charformat \! \* MERGEFORMAT </w:instrText>
      </w:r>
      <w:r w:rsidR="0098275F">
        <w:fldChar w:fldCharType="separate"/>
      </w:r>
      <w:r w:rsidR="00543662">
        <w:instrText>(1.16)</w:instrText>
      </w:r>
      <w:r w:rsidR="0098275F"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4" type="#_x0000_t75" style="width:170.25pt;height:20.25pt" o:ole="">
            <v:imagedata r:id="rId183" o:title=""/>
          </v:shape>
          <o:OLEObject Type="Embed" ProgID="Equation.DSMT4" ShapeID="_x0000_i1114" DrawAspect="Content" ObjectID="_1633411479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5" type="#_x0000_t75" style="width:9.75pt;height:9.75pt" o:ole="">
            <v:imagedata r:id="rId185" o:title=""/>
          </v:shape>
          <o:OLEObject Type="Embed" ProgID="Equation.DSMT4" ShapeID="_x0000_i1115" DrawAspect="Content" ObjectID="_1633411480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6" type="#_x0000_t75" style="width:318pt;height:42pt" o:ole="">
            <v:imagedata r:id="rId187" o:title=""/>
          </v:shape>
          <o:OLEObject Type="Embed" ProgID="Equation.DSMT4" ShapeID="_x0000_i1116" DrawAspect="Content" ObjectID="_1633411481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17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7" type="#_x0000_t75" style="width:219.75pt;height:42pt" o:ole="">
            <v:imagedata r:id="rId189" o:title=""/>
          </v:shape>
          <o:OLEObject Type="Embed" ProgID="Equation.DSMT4" ShapeID="_x0000_i1117" DrawAspect="Content" ObjectID="_1633411482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91716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18</w:instrText>
      </w:r>
      <w:r w:rsidR="0098275F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9168F9" w:rsidRPr="007326F7">
        <w:rPr>
          <w:position w:val="-36"/>
        </w:rPr>
        <w:object w:dxaOrig="5700" w:dyaOrig="840">
          <v:shape id="_x0000_i1118" type="#_x0000_t75" style="width:285pt;height:42pt" o:ole="">
            <v:imagedata r:id="rId191" o:title=""/>
          </v:shape>
          <o:OLEObject Type="Embed" ProgID="Equation.DSMT4" ShapeID="_x0000_i1118" DrawAspect="Content" ObjectID="_1633411483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8325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19</w:instrText>
      </w:r>
      <w:r w:rsidR="0098275F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19" type="#_x0000_t75" style="width:80.25pt;height:39.75pt" o:ole="">
            <v:imagedata r:id="rId193" o:title=""/>
          </v:shape>
          <o:OLEObject Type="Embed" ProgID="Equation.DSMT4" ShapeID="_x0000_i1119" DrawAspect="Content" ObjectID="_1633411484" r:id="rId194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0" type="#_x0000_t75" style="width:84.75pt;height:36.75pt" o:ole="">
            <v:imagedata r:id="rId195" o:title=""/>
          </v:shape>
          <o:OLEObject Type="Embed" ProgID="Equation.DSMT4" ShapeID="_x0000_i1120" DrawAspect="Content" ObjectID="_1633411485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1" type="#_x0000_t75" style="width:135.75pt;height:21.75pt" o:ole="">
            <v:imagedata r:id="rId197" o:title=""/>
          </v:shape>
          <o:OLEObject Type="Embed" ProgID="Equation.DSMT4" ShapeID="_x0000_i1121" DrawAspect="Content" ObjectID="_1633411486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2" type="#_x0000_t75" style="width:45.75pt;height:21pt" o:ole="">
            <v:imagedata r:id="rId199" o:title=""/>
          </v:shape>
          <o:OLEObject Type="Embed" ProgID="Equation.DSMT4" ShapeID="_x0000_i1122" DrawAspect="Content" ObjectID="_1633411487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3" type="#_x0000_t75" style="width:200.25pt;height:21pt" o:ole="">
            <v:imagedata r:id="rId201" o:title=""/>
          </v:shape>
          <o:OLEObject Type="Embed" ProgID="Equation.DSMT4" ShapeID="_x0000_i1123" DrawAspect="Content" ObjectID="_1633411488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4" type="#_x0000_t75" style="width:201.75pt;height:20.25pt" o:ole="">
            <v:imagedata r:id="rId203" o:title=""/>
          </v:shape>
          <o:OLEObject Type="Embed" ProgID="Equation.DSMT4" ShapeID="_x0000_i1124" DrawAspect="Content" ObjectID="_1633411489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8979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20</w:instrText>
      </w:r>
      <w:r w:rsidR="0098275F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r w:rsidR="0098275F">
        <w:fldChar w:fldCharType="begin"/>
      </w:r>
      <w:r w:rsidR="0098275F">
        <w:instrText xml:space="preserve"> REF ZEqnNum949510 \* Charformat \! \* MERGEFORMAT </w:instrText>
      </w:r>
      <w:r w:rsidR="0098275F">
        <w:fldChar w:fldCharType="separate"/>
      </w:r>
      <w:r w:rsidR="00543662">
        <w:instrText>(1.6)</w:instrText>
      </w:r>
      <w:r w:rsidR="0098275F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5" type="#_x0000_t75" style="width:180.75pt;height:24pt" o:ole="">
            <v:imagedata r:id="rId205" o:title=""/>
          </v:shape>
          <o:OLEObject Type="Embed" ProgID="Equation.DSMT4" ShapeID="_x0000_i1125" DrawAspect="Content" ObjectID="_1633411490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94570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21</w:instrText>
      </w:r>
      <w:r w:rsidR="0098275F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98275F">
        <w:fldChar w:fldCharType="begin"/>
      </w:r>
      <w:r w:rsidR="0098275F">
        <w:instrText xml:space="preserve"> REF ZEqnNum494570 \* Charformat \! \* MERGEFORMAT </w:instrText>
      </w:r>
      <w:r w:rsidR="0098275F">
        <w:fldChar w:fldCharType="separate"/>
      </w:r>
      <w:r w:rsidR="00543662">
        <w:instrText>(1.21)</w:instrText>
      </w:r>
      <w:r w:rsidR="0098275F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98275F">
        <w:fldChar w:fldCharType="begin"/>
      </w:r>
      <w:r w:rsidR="0098275F">
        <w:instrText xml:space="preserve"> REF ZEqnNum691716 \* Charformat \! \* MERGEFORMAT </w:instrText>
      </w:r>
      <w:r w:rsidR="0098275F">
        <w:fldChar w:fldCharType="separate"/>
      </w:r>
      <w:r w:rsidR="00543662">
        <w:instrText>(1.18)</w:instrText>
      </w:r>
      <w:r w:rsidR="0098275F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98275F">
        <w:fldChar w:fldCharType="begin"/>
      </w:r>
      <w:r w:rsidR="0098275F">
        <w:instrText xml:space="preserve"> REF ZEqnNum248979 \* Charformat \! \* MERGEFORMAT </w:instrText>
      </w:r>
      <w:r w:rsidR="0098275F">
        <w:fldChar w:fldCharType="separate"/>
      </w:r>
      <w:r w:rsidR="00543662">
        <w:instrText>(1.20)</w:instrText>
      </w:r>
      <w:r w:rsidR="0098275F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6" type="#_x0000_t75" style="width:96pt;height:26.25pt" o:ole="">
            <v:imagedata r:id="rId207" o:title=""/>
          </v:shape>
          <o:OLEObject Type="Embed" ProgID="Equation.DSMT4" ShapeID="_x0000_i1126" DrawAspect="Content" ObjectID="_1633411491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7" type="#_x0000_t75" style="width:9.75pt;height:9.75pt" o:ole="">
            <v:imagedata r:id="rId209" o:title=""/>
          </v:shape>
          <o:OLEObject Type="Embed" ProgID="Equation.DSMT4" ShapeID="_x0000_i1127" DrawAspect="Content" ObjectID="_1633411492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28" type="#_x0000_t75" style="width:36.75pt;height:20.25pt" o:ole="">
            <v:imagedata r:id="rId211" o:title=""/>
          </v:shape>
          <o:OLEObject Type="Embed" ProgID="Equation.DSMT4" ShapeID="_x0000_i1128" DrawAspect="Content" ObjectID="_1633411493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29" type="#_x0000_t75" style="width:323.25pt;height:50.25pt" o:ole="">
            <v:imagedata r:id="rId213" o:title=""/>
          </v:shape>
          <o:OLEObject Type="Embed" ProgID="Equation.DSMT4" ShapeID="_x0000_i1129" DrawAspect="Content" ObjectID="_1633411494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543662" w:rsidRPr="00543662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543662" w:rsidRPr="00543662">
        <w:rPr>
          <w:noProof/>
        </w:rPr>
        <w:instrText>22</w:instrText>
      </w:r>
      <w:r>
        <w:fldChar w:fldCharType="end"/>
      </w:r>
      <w:r w:rsidRPr="00543662">
        <w:instrText>)</w:instrText>
      </w:r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543662" w:rsidRPr="00543662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3411495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1" type="#_x0000_t75" style="width:351pt;height:51.75pt" o:ole="">
            <v:imagedata r:id="rId216" o:title=""/>
          </v:shape>
          <o:OLEObject Type="Embed" ProgID="Equation.DSMT4" ShapeID="_x0000_i1131" DrawAspect="Content" ObjectID="_1633411496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543662" w:rsidRPr="00543662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543662" w:rsidRPr="00543662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2" type="#_x0000_t75" style="width:9.75pt;height:14.25pt" o:ole="">
            <v:imagedata r:id="rId218" o:title=""/>
          </v:shape>
          <o:OLEObject Type="Embed" ProgID="Equation.DSMT4" ShapeID="_x0000_i1132" DrawAspect="Content" ObjectID="_1633411497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3" type="#_x0000_t75" style="width:9.75pt;height:12.75pt" o:ole="">
            <v:imagedata r:id="rId220" o:title=""/>
          </v:shape>
          <o:OLEObject Type="Embed" ProgID="Equation.DSMT4" ShapeID="_x0000_i1133" DrawAspect="Content" ObjectID="_1633411498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9168F9" w:rsidRPr="00126919">
        <w:rPr>
          <w:position w:val="-32"/>
        </w:rPr>
        <w:object w:dxaOrig="2299" w:dyaOrig="740">
          <v:shape id="_x0000_i1134" type="#_x0000_t75" style="width:114.75pt;height:36.75pt" o:ole="">
            <v:imagedata r:id="rId222" o:title=""/>
          </v:shape>
          <o:OLEObject Type="Embed" ProgID="Equation.DSMT4" ShapeID="_x0000_i1134" DrawAspect="Content" ObjectID="_1633411499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>
        <w:rPr>
          <w:noProof/>
        </w:rPr>
        <w:instrText>24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6A3B22" w:rsidRPr="006A3B22" w:rsidRDefault="00696618" w:rsidP="006A3B22">
      <w:r>
        <w:t xml:space="preserve">А для объёмного случая </w:t>
      </w:r>
    </w:p>
    <w:p w:rsidR="00543662" w:rsidRDefault="00543662" w:rsidP="00543662">
      <w:r>
        <w:t>Эта формула по своей форме аналогична закону Кулона</w:t>
      </w:r>
      <w:sdt>
        <w:sdtPr>
          <w:id w:val="-1729909219"/>
          <w:citation/>
        </w:sdtPr>
        <w:sdtEndPr/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>
            <w:rPr>
              <w:noProof/>
            </w:rPr>
            <w:t xml:space="preserve"> (Тамм, 1957)</w:t>
          </w:r>
          <w:r>
            <w:fldChar w:fldCharType="end"/>
          </w:r>
        </w:sdtContent>
      </w:sdt>
      <w:r>
        <w:t xml:space="preserve">, </w:t>
      </w:r>
      <w:r w:rsidRPr="00CD5419">
        <w:t>$3</w:t>
      </w:r>
    </w:p>
    <w:p w:rsidR="00543662" w:rsidRDefault="00543662" w:rsidP="00543662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35" type="#_x0000_t75" style="width:48pt;height:30.75pt" o:ole="">
            <v:imagedata r:id="rId224" o:title=""/>
          </v:shape>
          <o:OLEObject Type="Embed" ProgID="Equation.DSMT4" ShapeID="_x0000_i1135" DrawAspect="Content" ObjectID="_1633411500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>
        <w:rPr>
          <w:noProof/>
        </w:rPr>
        <w:instrText>25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543662" w:rsidRDefault="00543662" w:rsidP="00543662">
      <w:r>
        <w:t>В котором роль дополнительного «заряда» играет величина</w:t>
      </w:r>
    </w:p>
    <w:p w:rsidR="00543662" w:rsidRPr="00543662" w:rsidRDefault="00543662" w:rsidP="00543662"/>
    <w:p w:rsidR="0042353C" w:rsidRPr="006F269E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42353C" w:rsidRDefault="0042353C" w:rsidP="0042353C">
      <w:r w:rsidRPr="00E47759">
        <w:lastRenderedPageBreak/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36" type="#_x0000_t75" style="width:12.75pt;height:18pt" o:ole="">
            <v:imagedata r:id="rId226" o:title=""/>
          </v:shape>
          <o:OLEObject Type="Embed" ProgID="Equation.DSMT4" ShapeID="_x0000_i1136" DrawAspect="Content" ObjectID="_1633411501" r:id="rId227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37" type="#_x0000_t75" style="width:111.75pt;height:53.25pt" o:ole="">
            <v:imagedata r:id="rId228" o:title=""/>
          </v:shape>
          <o:OLEObject Type="Embed" ProgID="Equation.DSMT4" ShapeID="_x0000_i1137" DrawAspect="Content" ObjectID="_1633411502" r:id="rId229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38" type="#_x0000_t75" style="width:60pt;height:33.75pt" o:ole="">
            <v:imagedata r:id="rId230" o:title=""/>
          </v:shape>
          <o:OLEObject Type="Embed" ProgID="Equation.DSMT4" ShapeID="_x0000_i1138" DrawAspect="Content" ObjectID="_1633411503" r:id="rId2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25</w:instrText>
      </w:r>
      <w:r w:rsidR="0098275F">
        <w:rPr>
          <w:noProof/>
        </w:rPr>
        <w:fldChar w:fldCharType="end"/>
      </w:r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39" type="#_x0000_t75" style="width:12.75pt;height:18pt" o:ole="">
            <v:imagedata r:id="rId232" o:title=""/>
          </v:shape>
          <o:OLEObject Type="Embed" ProgID="Equation.DSMT4" ShapeID="_x0000_i1139" DrawAspect="Content" ObjectID="_1633411504" r:id="rId233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40" type="#_x0000_t75" style="width:12pt;height:11.25pt" o:ole="">
            <v:imagedata r:id="rId234" o:title=""/>
          </v:shape>
          <o:OLEObject Type="Embed" ProgID="Equation.DSMT4" ShapeID="_x0000_i1140" DrawAspect="Content" ObjectID="_1633411505" r:id="rId235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EndPr/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543662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543662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41" type="#_x0000_t75" style="width:171pt;height:39.75pt" o:ole="">
            <v:imagedata r:id="rId236" o:title=""/>
          </v:shape>
          <o:OLEObject Type="Embed" ProgID="Equation.DSMT4" ShapeID="_x0000_i1141" DrawAspect="Content" ObjectID="_1633411506" r:id="rId237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42" type="#_x0000_t75" style="width:62.25pt;height:35.25pt" o:ole="">
            <v:imagedata r:id="rId238" o:title=""/>
          </v:shape>
          <o:OLEObject Type="Embed" ProgID="Equation.DSMT4" ShapeID="_x0000_i1142" DrawAspect="Content" ObjectID="_1633411507" r:id="rId239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43" type="#_x0000_t75" style="width:86.25pt;height:36.75pt" o:ole="">
            <v:imagedata r:id="rId240" o:title=""/>
          </v:shape>
          <o:OLEObject Type="Embed" ProgID="Equation.DSMT4" ShapeID="_x0000_i1143" DrawAspect="Content" ObjectID="_1633411508" r:id="rId2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563042"/>
      <w:r>
        <w:instrText>(</w:instrText>
      </w:r>
      <w:r w:rsidR="0098275F">
        <w:fldChar w:fldCharType="begin"/>
      </w:r>
      <w:r w:rsidR="0098275F">
        <w:instrText xml:space="preserve"> SEQ MTSec \c \* Arabic \* MERGEFORMAT </w:instrText>
      </w:r>
      <w:r w:rsidR="0098275F">
        <w:fldChar w:fldCharType="separate"/>
      </w:r>
      <w:r w:rsidR="00543662">
        <w:rPr>
          <w:noProof/>
        </w:rPr>
        <w:instrText>1</w:instrText>
      </w:r>
      <w:r w:rsidR="0098275F">
        <w:rPr>
          <w:noProof/>
        </w:rPr>
        <w:fldChar w:fldCharType="end"/>
      </w:r>
      <w:r>
        <w:instrText>.</w:instrText>
      </w:r>
      <w:r w:rsidR="0098275F">
        <w:fldChar w:fldCharType="begin"/>
      </w:r>
      <w:r w:rsidR="0098275F">
        <w:instrText xml:space="preserve"> SEQ MTEqn \c \* Arabic \* MERGEFORMAT </w:instrText>
      </w:r>
      <w:r w:rsidR="0098275F">
        <w:fldChar w:fldCharType="separate"/>
      </w:r>
      <w:r w:rsidR="00543662">
        <w:rPr>
          <w:noProof/>
        </w:rPr>
        <w:instrText>26</w:instrText>
      </w:r>
      <w:r w:rsidR="0098275F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543662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</w:t>
      </w:r>
      <w:proofErr w:type="gramStart"/>
      <w:r>
        <w:t>В</w:t>
      </w:r>
      <w:proofErr w:type="gramEnd"/>
      <w:r>
        <w:t xml:space="preserve">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44" type="#_x0000_t75" style="width:189.75pt;height:18.75pt" o:ole="">
            <v:imagedata r:id="rId242" o:title=""/>
          </v:shape>
          <o:OLEObject Type="Embed" ProgID="Equation.DSMT4" ShapeID="_x0000_i1144" DrawAspect="Content" ObjectID="_1633411509" r:id="rId243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45" type="#_x0000_t75" style="width:134.25pt;height:18pt" o:ole="">
            <v:imagedata r:id="rId244" o:title=""/>
          </v:shape>
          <o:OLEObject Type="Embed" ProgID="Equation.DSMT4" ShapeID="_x0000_i1145" DrawAspect="Content" ObjectID="_1633411510" r:id="rId245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46" type="#_x0000_t75" style="width:167.25pt;height:18pt" o:ole="">
            <v:imagedata r:id="rId246" o:title=""/>
          </v:shape>
          <o:OLEObject Type="Embed" ProgID="Equation.DSMT4" ShapeID="_x0000_i1146" DrawAspect="Content" ObjectID="_1633411511" r:id="rId247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47" type="#_x0000_t75" style="width:168pt;height:18.75pt" o:ole="">
            <v:imagedata r:id="rId248" o:title=""/>
          </v:shape>
          <o:OLEObject Type="Embed" ProgID="Equation.DSMT4" ShapeID="_x0000_i1147" DrawAspect="Content" ObjectID="_1633411512" r:id="rId249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48" type="#_x0000_t75" style="width:170.25pt;height:18.75pt" o:ole="">
            <v:imagedata r:id="rId250" o:title=""/>
          </v:shape>
          <o:OLEObject Type="Embed" ProgID="Equation.DSMT4" ShapeID="_x0000_i1148" DrawAspect="Content" ObjectID="_1633411513" r:id="rId251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49" type="#_x0000_t75" style="width:66pt;height:20.25pt" o:ole="">
            <v:imagedata r:id="rId252" o:title=""/>
          </v:shape>
          <o:OLEObject Type="Embed" ProgID="Equation.DSMT4" ShapeID="_x0000_i1149" DrawAspect="Content" ObjectID="_1633411514" r:id="rId253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EndPr/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543662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543662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lastRenderedPageBreak/>
        <w:t>T   = [300,     400,    500,    600,    700,     800,    900,    1000,   1100,  1200,  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50" type="#_x0000_t75" style="width:45pt;height:15.75pt" o:ole="">
            <v:imagedata r:id="rId254" o:title=""/>
          </v:shape>
          <o:OLEObject Type="Embed" ProgID="Equation.DSMT4" ShapeID="_x0000_i1150" DrawAspect="Content" ObjectID="_1633411515" r:id="rId255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EndPr/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543662" w:rsidRPr="00543662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51" type="#_x0000_t75" style="width:60pt;height:18pt" o:ole="">
            <v:imagedata r:id="rId256" o:title=""/>
          </v:shape>
          <o:OLEObject Type="Embed" ProgID="Equation.DSMT4" ShapeID="_x0000_i1151" DrawAspect="Content" ObjectID="_1633411516" r:id="rId257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52" type="#_x0000_t75" style="width:93.75pt;height:18.75pt" o:ole="">
            <v:imagedata r:id="rId258" o:title=""/>
          </v:shape>
          <o:OLEObject Type="Embed" ProgID="Equation.DSMT4" ShapeID="_x0000_i1152" DrawAspect="Content" ObjectID="_1633411517" r:id="rId259"/>
        </w:object>
      </w:r>
      <w:r>
        <w:t xml:space="preserve"> давление = 450 </w:t>
      </w:r>
      <w:proofErr w:type="spellStart"/>
      <w:r>
        <w:t>атм</w:t>
      </w:r>
      <w:proofErr w:type="spellEnd"/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53" type="#_x0000_t75" style="width:170.25pt;height:18.75pt" o:ole="">
            <v:imagedata r:id="rId260" o:title=""/>
          </v:shape>
          <o:OLEObject Type="Embed" ProgID="Equation.DSMT4" ShapeID="_x0000_i1153" DrawAspect="Content" ObjectID="_1633411518" r:id="rId261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54" type="#_x0000_t75" style="width:21.75pt;height:18.75pt" o:ole="">
            <v:imagedata r:id="rId262" o:title=""/>
          </v:shape>
          <o:OLEObject Type="Embed" ProgID="Equation.DSMT4" ShapeID="_x0000_i1154" DrawAspect="Content" ObjectID="_1633411519" r:id="rId263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55" type="#_x0000_t75" style="width:165pt;height:36.75pt" o:ole="">
            <v:imagedata r:id="rId264" o:title=""/>
          </v:shape>
          <o:OLEObject Type="Embed" ProgID="Equation.DSMT4" ShapeID="_x0000_i1155" DrawAspect="Content" ObjectID="_1633411520" r:id="rId265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56" type="#_x0000_t75" style="width:75.75pt;height:33pt" o:ole="">
            <v:imagedata r:id="rId266" o:title=""/>
          </v:shape>
          <o:OLEObject Type="Embed" ProgID="Equation.DSMT4" ShapeID="_x0000_i1156" DrawAspect="Content" ObjectID="_1633411521" r:id="rId267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57" type="#_x0000_t75" style="width:93.75pt;height:42pt" o:ole="">
            <v:imagedata r:id="rId268" o:title=""/>
          </v:shape>
          <o:OLEObject Type="Embed" ProgID="Equation.DSMT4" ShapeID="_x0000_i1157" DrawAspect="Content" ObjectID="_1633411522" r:id="rId269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58" type="#_x0000_t75" style="width:189.75pt;height:18.75pt" o:ole="">
            <v:imagedata r:id="rId270" o:title=""/>
          </v:shape>
          <o:OLEObject Type="Embed" ProgID="Equation.DSMT4" ShapeID="_x0000_i1158" DrawAspect="Content" ObjectID="_1633411523" r:id="rId271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59" type="#_x0000_t75" style="width:153.75pt;height:33.75pt" o:ole="">
            <v:imagedata r:id="rId272" o:title=""/>
          </v:shape>
          <o:OLEObject Type="Embed" ProgID="Equation.DSMT4" ShapeID="_x0000_i1159" DrawAspect="Content" ObjectID="_1633411524" r:id="rId273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60" type="#_x0000_t75" style="width:168.75pt;height:35.25pt" o:ole="">
            <v:imagedata r:id="rId274" o:title=""/>
          </v:shape>
          <o:OLEObject Type="Embed" ProgID="Equation.DSMT4" ShapeID="_x0000_i1160" DrawAspect="Content" ObjectID="_1633411525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61" type="#_x0000_t75" style="width:120.75pt;height:18pt" o:ole="">
            <v:imagedata r:id="rId276" o:title=""/>
          </v:shape>
          <o:OLEObject Type="Embed" ProgID="Equation.DSMT4" ShapeID="_x0000_i1161" DrawAspect="Content" ObjectID="_1633411526" r:id="rId2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62" type="#_x0000_t75" style="width:57pt;height:18pt" o:ole="">
            <v:imagedata r:id="rId278" o:title=""/>
          </v:shape>
          <o:OLEObject Type="Embed" ProgID="Equation.DSMT4" ShapeID="_x0000_i1162" DrawAspect="Content" ObjectID="_1633411527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63" type="#_x0000_t75" style="width:108.75pt;height:18.75pt" o:ole="">
            <v:imagedata r:id="rId280" o:title=""/>
          </v:shape>
          <o:OLEObject Type="Embed" ProgID="Equation.DSMT4" ShapeID="_x0000_i1163" DrawAspect="Content" ObjectID="_1633411528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C70FD5" w:rsidRDefault="0042353C" w:rsidP="0042353C">
      <w:r>
        <w:lastRenderedPageBreak/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EndPr/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543662" w:rsidRPr="00543662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64" type="#_x0000_t75" style="width:62.25pt;height:14.25pt" o:ole="">
            <v:imagedata r:id="rId282" o:title=""/>
          </v:shape>
          <o:OLEObject Type="Embed" ProgID="Equation.DSMT4" ShapeID="_x0000_i1164" DrawAspect="Content" ObjectID="_1633411529" r:id="rId283"/>
        </w:object>
      </w:r>
      <w:r>
        <w:t xml:space="preserve"> </w:t>
      </w:r>
    </w:p>
    <w:p w:rsidR="0042353C" w:rsidRDefault="0042353C" w:rsidP="0042353C"/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EndPr/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543662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65" type="#_x0000_t75" style="width:9.75pt;height:18pt" o:ole="">
            <v:imagedata r:id="rId284" o:title=""/>
          </v:shape>
          <o:OLEObject Type="Embed" ProgID="Equation.DSMT4" ShapeID="_x0000_i1165" DrawAspect="Content" ObjectID="_1633411530" r:id="rId285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66" type="#_x0000_t75" style="width:11.25pt;height:18pt" o:ole="">
            <v:imagedata r:id="rId286" o:title=""/>
          </v:shape>
          <o:OLEObject Type="Embed" ProgID="Equation.DSMT4" ShapeID="_x0000_i1166" DrawAspect="Content" ObjectID="_1633411531" r:id="rId287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67" type="#_x0000_t75" style="width:309pt;height:51pt" o:ole="">
            <v:imagedata r:id="rId288" o:title=""/>
          </v:shape>
          <o:OLEObject Type="Embed" ProgID="Equation.DSMT4" ShapeID="_x0000_i1167" DrawAspect="Content" ObjectID="_1633411532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</w:t>
      </w:r>
      <w:proofErr w:type="spellStart"/>
      <w:r w:rsidRPr="00587FD1">
        <w:t>Менде</w:t>
      </w:r>
      <w:proofErr w:type="spellEnd"/>
    </w:p>
    <w:p w:rsidR="008563AD" w:rsidRDefault="008563AD" w:rsidP="008563AD">
      <w:r w:rsidRPr="00AD123E">
        <w:rPr>
          <w:position w:val="-32"/>
        </w:rPr>
        <w:object w:dxaOrig="4080" w:dyaOrig="760">
          <v:shape id="_x0000_i1168" type="#_x0000_t75" style="width:204pt;height:38.25pt" o:ole="">
            <v:imagedata r:id="rId290" o:title=""/>
          </v:shape>
          <o:OLEObject Type="Embed" ProgID="Equation.DSMT4" ShapeID="_x0000_i1168" DrawAspect="Content" ObjectID="_1633411533" r:id="rId291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169" type="#_x0000_t75" style="width:332.25pt;height:18.75pt" o:ole="">
            <v:imagedata r:id="rId292" o:title=""/>
          </v:shape>
          <o:OLEObject Type="Embed" ProgID="Equation.DSMT4" ShapeID="_x0000_i1169" DrawAspect="Content" ObjectID="_1633411534" r:id="rId293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EndPr/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543662" w:rsidRDefault="00FE76A2" w:rsidP="00543662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43662">
                <w:rPr>
                  <w:noProof/>
                  <w:lang w:val="en-US"/>
                </w:rPr>
                <w:t>Apfelbaum</w:t>
              </w:r>
              <w:r w:rsidR="00543662" w:rsidRPr="00543662">
                <w:rPr>
                  <w:noProof/>
                </w:rPr>
                <w:t xml:space="preserve">, </w:t>
              </w:r>
              <w:r w:rsidR="00543662">
                <w:rPr>
                  <w:noProof/>
                  <w:lang w:val="en-US"/>
                </w:rPr>
                <w:t>E</w:t>
              </w:r>
              <w:r w:rsidR="00543662" w:rsidRPr="00543662">
                <w:rPr>
                  <w:noProof/>
                </w:rPr>
                <w:t xml:space="preserve">. </w:t>
              </w:r>
              <w:r w:rsidR="00543662">
                <w:rPr>
                  <w:noProof/>
                  <w:lang w:val="en-US"/>
                </w:rPr>
                <w:t>a</w:t>
              </w:r>
              <w:r w:rsidR="00543662" w:rsidRPr="00543662">
                <w:rPr>
                  <w:noProof/>
                </w:rPr>
                <w:t xml:space="preserve">. (2009). </w:t>
              </w:r>
              <w:r w:rsidR="00543662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543662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543662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543662" w:rsidRPr="00543662" w:rsidRDefault="00543662" w:rsidP="00543662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543662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543662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543662">
                <w:rPr>
                  <w:noProof/>
                  <w:lang w:val="en-US"/>
                </w:rPr>
                <w:t>(2), 153-157.</w:t>
              </w:r>
            </w:p>
            <w:p w:rsidR="00543662" w:rsidRPr="00543662" w:rsidRDefault="00543662" w:rsidP="00543662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543662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543662">
                <w:rPr>
                  <w:i/>
                  <w:iCs/>
                  <w:noProof/>
                  <w:lang w:val="en-US"/>
                </w:rPr>
                <w:t>Phys. Rev. D, 14</w:t>
              </w:r>
              <w:r w:rsidRPr="00543662">
                <w:rPr>
                  <w:noProof/>
                  <w:lang w:val="en-US"/>
                </w:rPr>
                <w:t>(4), 922--938. doi:10.1103/PhysRevD.14.922</w:t>
              </w:r>
            </w:p>
            <w:p w:rsidR="00543662" w:rsidRPr="00543662" w:rsidRDefault="00543662" w:rsidP="00543662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543662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543662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543662">
                <w:rPr>
                  <w:noProof/>
                  <w:lang w:val="en-US"/>
                </w:rPr>
                <w:t xml:space="preserve"> Kiev.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 w:rsidRPr="00543662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543662" w:rsidRDefault="00543662" w:rsidP="00543662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54366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26919"/>
    <w:rsid w:val="00136B4E"/>
    <w:rsid w:val="001524BE"/>
    <w:rsid w:val="00155A62"/>
    <w:rsid w:val="0016049D"/>
    <w:rsid w:val="001704BD"/>
    <w:rsid w:val="00177572"/>
    <w:rsid w:val="00181B75"/>
    <w:rsid w:val="001919BB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2C2BE8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2402"/>
    <w:rsid w:val="0042353C"/>
    <w:rsid w:val="00427423"/>
    <w:rsid w:val="004749BC"/>
    <w:rsid w:val="00486E9E"/>
    <w:rsid w:val="00511687"/>
    <w:rsid w:val="00543662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96618"/>
    <w:rsid w:val="006A3B22"/>
    <w:rsid w:val="006B46BF"/>
    <w:rsid w:val="006C4C18"/>
    <w:rsid w:val="006D50FD"/>
    <w:rsid w:val="006D7F09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E4329"/>
    <w:rsid w:val="008F492A"/>
    <w:rsid w:val="009168F9"/>
    <w:rsid w:val="00926321"/>
    <w:rsid w:val="00963798"/>
    <w:rsid w:val="0098275F"/>
    <w:rsid w:val="00982CB1"/>
    <w:rsid w:val="009B545C"/>
    <w:rsid w:val="009B57D4"/>
    <w:rsid w:val="00A06E6A"/>
    <w:rsid w:val="00A6181C"/>
    <w:rsid w:val="00A7767E"/>
    <w:rsid w:val="00A92302"/>
    <w:rsid w:val="00A926D0"/>
    <w:rsid w:val="00AB261C"/>
    <w:rsid w:val="00AE6330"/>
    <w:rsid w:val="00B071DE"/>
    <w:rsid w:val="00B145D8"/>
    <w:rsid w:val="00B16A78"/>
    <w:rsid w:val="00B323D0"/>
    <w:rsid w:val="00B52CD0"/>
    <w:rsid w:val="00B5714E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B82"/>
    <w:rsid w:val="00EB7DE9"/>
    <w:rsid w:val="00ED7AF8"/>
    <w:rsid w:val="00EF303F"/>
    <w:rsid w:val="00EF404D"/>
    <w:rsid w:val="00F138FF"/>
    <w:rsid w:val="00F4115F"/>
    <w:rsid w:val="00F4479F"/>
    <w:rsid w:val="00F555D5"/>
    <w:rsid w:val="00F956A4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462A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6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2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7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8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9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10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11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12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</b:Sources>
</file>

<file path=customXml/itemProps1.xml><?xml version="1.0" encoding="utf-8"?>
<ds:datastoreItem xmlns:ds="http://schemas.openxmlformats.org/officeDocument/2006/customXml" ds:itemID="{0E3A5D07-3D4E-4BF6-B5AB-03A70463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12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103</cp:revision>
  <dcterms:created xsi:type="dcterms:W3CDTF">2019-09-04T04:29:00Z</dcterms:created>
  <dcterms:modified xsi:type="dcterms:W3CDTF">2019-10-24T05:34:00Z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