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2041" w:rsidRPr="00972041" w:rsidRDefault="00972041" w:rsidP="00972041">
      <w:pPr>
        <w:ind w:left="1560" w:hanging="1560"/>
        <w:rPr>
          <w:b/>
        </w:rPr>
      </w:pPr>
      <w:r w:rsidRPr="00972041">
        <w:rPr>
          <w:b/>
        </w:rPr>
        <w:t>Infraestructura del sector salud por tipo de establecimiento, según departamento, 2016</w:t>
      </w:r>
    </w:p>
    <w:p w:rsidR="00972041" w:rsidRDefault="00972041" w:rsidP="00972041">
      <w:pPr>
        <w:ind w:left="1560" w:hanging="1560"/>
      </w:pPr>
      <w:r>
        <w:t>Fuente: Compendio Estadístico Perú 2018, p. 352.</w:t>
      </w:r>
    </w:p>
    <w:p w:rsidR="00972041" w:rsidRDefault="00972041" w:rsidP="00972041">
      <w:pPr>
        <w:ind w:left="1560" w:hanging="1560"/>
      </w:pPr>
      <w:r>
        <w:rPr>
          <w:noProof/>
        </w:rPr>
        <w:drawing>
          <wp:inline distT="0" distB="0" distL="0" distR="0" wp14:anchorId="70475B05" wp14:editId="7C7BB9E3">
            <wp:extent cx="4629150" cy="7277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9150" cy="7277100"/>
                    </a:xfrm>
                    <a:prstGeom prst="rect">
                      <a:avLst/>
                    </a:prstGeom>
                  </pic:spPr>
                </pic:pic>
              </a:graphicData>
            </a:graphic>
          </wp:inline>
        </w:drawing>
      </w:r>
    </w:p>
    <w:p w:rsidR="00972041" w:rsidRDefault="00972041"/>
    <w:p w:rsidR="00972041" w:rsidRDefault="00972041"/>
    <w:p w:rsidR="00972041" w:rsidRDefault="00972041"/>
    <w:p w:rsidR="00972041" w:rsidRPr="00972041" w:rsidRDefault="00972041">
      <w:pPr>
        <w:rPr>
          <w:b/>
        </w:rPr>
      </w:pPr>
      <w:r w:rsidRPr="00972041">
        <w:rPr>
          <w:b/>
        </w:rPr>
        <w:lastRenderedPageBreak/>
        <w:t>Número de médicos, según departamento, 2010-2017</w:t>
      </w:r>
    </w:p>
    <w:p w:rsidR="00553885" w:rsidRDefault="00972041">
      <w:r>
        <w:t xml:space="preserve">Fuente: </w:t>
      </w:r>
      <w:r w:rsidR="00553885">
        <w:t>Compendio Estadístico Perú 201</w:t>
      </w:r>
      <w:r w:rsidR="006E49D0">
        <w:t>8</w:t>
      </w:r>
      <w:r w:rsidR="00553885">
        <w:t>, INEI, pág. 3</w:t>
      </w:r>
      <w:r w:rsidR="006E49D0">
        <w:t>57.</w:t>
      </w:r>
    </w:p>
    <w:p w:rsidR="00823B4C" w:rsidRDefault="006E49D0">
      <w:r>
        <w:rPr>
          <w:noProof/>
        </w:rPr>
        <w:drawing>
          <wp:inline distT="0" distB="0" distL="0" distR="0" wp14:anchorId="7D6361FE" wp14:editId="137AFD7F">
            <wp:extent cx="4600575" cy="59626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536"/>
                    <a:stretch/>
                  </pic:blipFill>
                  <pic:spPr bwMode="auto">
                    <a:xfrm>
                      <a:off x="0" y="0"/>
                      <a:ext cx="4600575" cy="5962650"/>
                    </a:xfrm>
                    <a:prstGeom prst="rect">
                      <a:avLst/>
                    </a:prstGeom>
                    <a:ln>
                      <a:noFill/>
                    </a:ln>
                    <a:extLst>
                      <a:ext uri="{53640926-AAD7-44D8-BBD7-CCE9431645EC}">
                        <a14:shadowObscured xmlns:a14="http://schemas.microsoft.com/office/drawing/2010/main"/>
                      </a:ext>
                    </a:extLst>
                  </pic:spPr>
                </pic:pic>
              </a:graphicData>
            </a:graphic>
          </wp:inline>
        </w:drawing>
      </w:r>
    </w:p>
    <w:p w:rsidR="00F5347B" w:rsidRDefault="00AD4309" w:rsidP="00AD4309">
      <w:pPr>
        <w:ind w:left="1560" w:hanging="1560"/>
      </w:pPr>
      <w:r>
        <w:tab/>
      </w:r>
    </w:p>
    <w:p w:rsidR="00F5347B" w:rsidRDefault="00F5347B" w:rsidP="00AD4309">
      <w:pPr>
        <w:ind w:left="1560" w:hanging="1560"/>
      </w:pPr>
    </w:p>
    <w:p w:rsidR="006E49D0" w:rsidRDefault="006E49D0" w:rsidP="00AD4309">
      <w:pPr>
        <w:ind w:left="1560" w:hanging="1560"/>
      </w:pPr>
    </w:p>
    <w:p w:rsidR="006E49D0" w:rsidRDefault="006E49D0" w:rsidP="00AD4309">
      <w:pPr>
        <w:ind w:left="1560" w:hanging="1560"/>
      </w:pPr>
    </w:p>
    <w:p w:rsidR="006E49D0" w:rsidRDefault="006E49D0" w:rsidP="00AD4309">
      <w:pPr>
        <w:ind w:left="1560" w:hanging="1560"/>
      </w:pPr>
    </w:p>
    <w:p w:rsidR="00972041" w:rsidRDefault="00972041" w:rsidP="00AD4309">
      <w:pPr>
        <w:ind w:left="1560" w:hanging="1560"/>
      </w:pPr>
    </w:p>
    <w:p w:rsidR="00972041" w:rsidRDefault="00972041" w:rsidP="00AD4309">
      <w:pPr>
        <w:ind w:left="1560" w:hanging="1560"/>
      </w:pPr>
    </w:p>
    <w:p w:rsidR="00972041" w:rsidRDefault="00972041" w:rsidP="00AD4309">
      <w:pPr>
        <w:ind w:left="1560" w:hanging="1560"/>
      </w:pPr>
    </w:p>
    <w:p w:rsidR="00972041" w:rsidRPr="00972041" w:rsidRDefault="00972041" w:rsidP="00972041">
      <w:pPr>
        <w:ind w:left="1560" w:hanging="1560"/>
        <w:rPr>
          <w:b/>
        </w:rPr>
      </w:pPr>
      <w:r>
        <w:rPr>
          <w:b/>
        </w:rPr>
        <w:lastRenderedPageBreak/>
        <w:t xml:space="preserve">Número de habitantes por cada médico, según departamento, 2010-2017 </w:t>
      </w:r>
      <w:r>
        <w:t>(Número de personas)</w:t>
      </w:r>
    </w:p>
    <w:p w:rsidR="006E49D0" w:rsidRDefault="00972041" w:rsidP="00AD4309">
      <w:pPr>
        <w:ind w:left="1560" w:hanging="1560"/>
      </w:pPr>
      <w:r>
        <w:t xml:space="preserve">Fuente: </w:t>
      </w:r>
      <w:r w:rsidR="006E49D0">
        <w:t xml:space="preserve">Compendio Estadístico Perú 2018, INEI, p. 258. </w:t>
      </w:r>
    </w:p>
    <w:p w:rsidR="006E49D0" w:rsidRDefault="006E49D0" w:rsidP="00AD4309">
      <w:pPr>
        <w:ind w:left="1560" w:hanging="1560"/>
      </w:pPr>
      <w:r>
        <w:rPr>
          <w:noProof/>
        </w:rPr>
        <w:drawing>
          <wp:inline distT="0" distB="0" distL="0" distR="0" wp14:anchorId="18E1117D" wp14:editId="21C75386">
            <wp:extent cx="4619625" cy="70294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625" cy="7029450"/>
                    </a:xfrm>
                    <a:prstGeom prst="rect">
                      <a:avLst/>
                    </a:prstGeom>
                  </pic:spPr>
                </pic:pic>
              </a:graphicData>
            </a:graphic>
          </wp:inline>
        </w:drawing>
      </w:r>
    </w:p>
    <w:p w:rsidR="006E49D0" w:rsidRDefault="006E49D0" w:rsidP="00AD4309">
      <w:pPr>
        <w:ind w:left="1560" w:hanging="1560"/>
      </w:pPr>
    </w:p>
    <w:p w:rsidR="00F5347B" w:rsidRDefault="00F5347B" w:rsidP="00AD4309">
      <w:pPr>
        <w:ind w:left="1560" w:hanging="1560"/>
      </w:pPr>
    </w:p>
    <w:p w:rsidR="00F5347B" w:rsidRDefault="00F5347B" w:rsidP="00AD4309">
      <w:pPr>
        <w:ind w:left="1560" w:hanging="1560"/>
      </w:pPr>
    </w:p>
    <w:p w:rsidR="00E97261" w:rsidRDefault="00E97261" w:rsidP="00E97261">
      <w:r>
        <w:lastRenderedPageBreak/>
        <w:t>-Mapa del lugar de la foto en Google Street View, esquina de Av. Bolognesi y Av. Junín. Se pueden observar boticas, servicios odontológicos, oftalmológicos, hoteles y otros, todos juntos en una sola avenida.</w:t>
      </w:r>
    </w:p>
    <w:p w:rsidR="004A402B" w:rsidRDefault="00562ED7" w:rsidP="00AB1138">
      <w:r>
        <w:rPr>
          <w:noProof/>
        </w:rPr>
        <w:drawing>
          <wp:inline distT="0" distB="0" distL="0" distR="0">
            <wp:extent cx="5400675" cy="2552700"/>
            <wp:effectExtent l="19050" t="19050" r="28575" b="190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 b="1471"/>
                    <a:stretch/>
                  </pic:blipFill>
                  <pic:spPr bwMode="auto">
                    <a:xfrm>
                      <a:off x="0" y="0"/>
                      <a:ext cx="5400675" cy="25527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F5347B" w:rsidRDefault="00AB1138" w:rsidP="00AD4309">
      <w:pPr>
        <w:ind w:left="1560" w:hanging="1560"/>
      </w:pPr>
      <w:r>
        <w:rPr>
          <w:noProof/>
        </w:rPr>
        <w:drawing>
          <wp:inline distT="0" distB="0" distL="0" distR="0" wp14:anchorId="28B13A90" wp14:editId="7C8D996D">
            <wp:extent cx="5400040" cy="2589291"/>
            <wp:effectExtent l="19050" t="19050" r="10160" b="209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412" b="5299"/>
                    <a:stretch/>
                  </pic:blipFill>
                  <pic:spPr bwMode="auto">
                    <a:xfrm>
                      <a:off x="0" y="0"/>
                      <a:ext cx="5400040" cy="25892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622E1" w:rsidRDefault="008622E1" w:rsidP="004349F7"/>
    <w:p w:rsidR="00690FA7" w:rsidRDefault="00690FA7" w:rsidP="00690FA7">
      <w:r>
        <w:t>-Tacna posee una media de 3.12 médicos por cada mil habitantes, cifra cercana a los 3.3 de promedio de la OCDE en el 2015, mientras el vecino país de Chile tiene una tasa promedio de 1.9 médicos por cada mil habitantes (Tapia et al 2017: 263).</w:t>
      </w:r>
    </w:p>
    <w:p w:rsidR="00143A2B" w:rsidRDefault="00143A2B" w:rsidP="00143A2B"/>
    <w:p w:rsidR="00143A2B" w:rsidRPr="00143A2B" w:rsidRDefault="00143A2B" w:rsidP="00143A2B">
      <w:pPr>
        <w:rPr>
          <w:b/>
          <w:u w:val="single"/>
        </w:rPr>
      </w:pPr>
      <w:r w:rsidRPr="00143A2B">
        <w:rPr>
          <w:b/>
          <w:u w:val="single"/>
        </w:rPr>
        <w:t>DATOS DE RENIPRESS</w:t>
      </w:r>
      <w:r>
        <w:rPr>
          <w:b/>
          <w:u w:val="single"/>
        </w:rPr>
        <w:t xml:space="preserve"> 2020</w:t>
      </w:r>
    </w:p>
    <w:p w:rsidR="00143A2B" w:rsidRDefault="00143A2B" w:rsidP="00143A2B">
      <w:pPr>
        <w:pStyle w:val="Prrafodelista"/>
        <w:numPr>
          <w:ilvl w:val="0"/>
          <w:numId w:val="4"/>
        </w:numPr>
      </w:pPr>
      <w:r>
        <w:t xml:space="preserve">Del total de 513 establecimientos, por “Clasificación”, según RENIPRESS, en Tacna hay 276 “consultorios médicos y de otros profesionales de la salud”, siendo el 53.8% del total. Le siguen los Puestos de salud con el 12.7% (65) y centros ópticos con 8% (41). </w:t>
      </w:r>
    </w:p>
    <w:p w:rsidR="00143A2B" w:rsidRDefault="00143A2B" w:rsidP="00143A2B">
      <w:pPr>
        <w:pStyle w:val="Prrafodelista"/>
        <w:numPr>
          <w:ilvl w:val="0"/>
          <w:numId w:val="4"/>
        </w:numPr>
      </w:pPr>
      <w:r>
        <w:t>Los Centros Odontológicos oficialmente has sido registrados como el 2.7% (14). Sin embargo, cuando se busca por nombres de establecimiento (palabras con “</w:t>
      </w:r>
      <w:proofErr w:type="spellStart"/>
      <w:r>
        <w:t>dent</w:t>
      </w:r>
      <w:proofErr w:type="spellEnd"/>
      <w:r>
        <w:t>” o “</w:t>
      </w:r>
      <w:proofErr w:type="spellStart"/>
      <w:r>
        <w:t>dontol</w:t>
      </w:r>
      <w:proofErr w:type="spellEnd"/>
      <w:r>
        <w:t xml:space="preserve">”), se encuentra que 155 consultorios médicos (de los 276) están orientados al </w:t>
      </w:r>
      <w:r>
        <w:lastRenderedPageBreak/>
        <w:t xml:space="preserve">servicio odontológico. Por lo tanto, si sumamos los 14 y </w:t>
      </w:r>
      <w:r w:rsidR="005B5EDB">
        <w:t>155</w:t>
      </w:r>
      <w:r>
        <w:t>, tenemos un total de</w:t>
      </w:r>
      <w:r w:rsidR="00590633">
        <w:t xml:space="preserve"> 169</w:t>
      </w:r>
      <w:r>
        <w:t xml:space="preserve"> en este nicho de la salud, lo cual representa </w:t>
      </w:r>
      <w:r w:rsidR="00590633">
        <w:t>32</w:t>
      </w:r>
      <w:r>
        <w:t>.</w:t>
      </w:r>
      <w:r w:rsidR="00590633">
        <w:t>9</w:t>
      </w:r>
      <w:r>
        <w:t>% del total de establecimientos.</w:t>
      </w:r>
    </w:p>
    <w:p w:rsidR="00143A2B" w:rsidRDefault="00545655" w:rsidP="00143A2B">
      <w:pPr>
        <w:pStyle w:val="Prrafodelista"/>
        <w:numPr>
          <w:ilvl w:val="0"/>
          <w:numId w:val="4"/>
        </w:numPr>
      </w:pPr>
      <w:r>
        <w:t>Con los centros ópticos pasa algo similar, de los 41 reportados, se agregan 4 (3 consultorios médicos y un centro medico es</w:t>
      </w:r>
      <w:bookmarkStart w:id="0" w:name="_GoBack"/>
      <w:bookmarkEnd w:id="0"/>
      <w:r>
        <w:t>pecializado) al buscar por nombre de establecimiento (palabras con “</w:t>
      </w:r>
      <w:proofErr w:type="spellStart"/>
      <w:r>
        <w:t>oftal</w:t>
      </w:r>
      <w:proofErr w:type="spellEnd"/>
      <w:r>
        <w:t>”). Los 45 representan 8.8% del total de establecimientos.</w:t>
      </w:r>
    </w:p>
    <w:p w:rsidR="00143A2B" w:rsidRDefault="00143A2B" w:rsidP="00143A2B">
      <w:pPr>
        <w:pStyle w:val="Prrafodelista"/>
      </w:pPr>
    </w:p>
    <w:p w:rsidR="00143A2B" w:rsidRDefault="00143A2B" w:rsidP="00143A2B"/>
    <w:p w:rsidR="00143A2B" w:rsidRDefault="00143A2B" w:rsidP="00143A2B"/>
    <w:p w:rsidR="00143A2B" w:rsidRDefault="00143A2B" w:rsidP="00143A2B"/>
    <w:p w:rsidR="00143A2B" w:rsidRDefault="00143A2B" w:rsidP="00AD4309">
      <w:pPr>
        <w:ind w:left="1560" w:hanging="1560"/>
      </w:pPr>
    </w:p>
    <w:p w:rsidR="00F065FC" w:rsidRDefault="00F065FC" w:rsidP="00F065FC">
      <w:r>
        <w:t>-Porcentaje de población chilena que hace turismo médico a Tacna según algunas investigaciones:</w:t>
      </w:r>
    </w:p>
    <w:p w:rsidR="00F065FC" w:rsidRDefault="00F065FC" w:rsidP="00F065FC">
      <w:pPr>
        <w:ind w:left="708"/>
      </w:pPr>
      <w:r>
        <w:t>“Otra razón de visita asidua de los chilenos es el consumo de servicios médicos. Según Liberona, Tapia y Contreras (2017), el 40% de los cruces de chilenos respondía a esta razón, en su inmensa mayoría cruces de un solo día, lo cual permite afirmar que «(…) la movilidad por salud es una alternativa para los y las ariqueñas(os), y chilenos del norte de Chile, especialmente por la dificultad para acceder a la atención de especialistas en Arica e Iquique, en contraste con la facilidad para acceder a la atención de especialistas en Tacna» (p. 269). Según Gaete en su encuesta a 150 personas (2015, p. 126), el 27% de quienes cruzaban lo hacían con este propósito.” (</w:t>
      </w:r>
      <w:proofErr w:type="spellStart"/>
      <w:r>
        <w:t>Dilla</w:t>
      </w:r>
      <w:proofErr w:type="spellEnd"/>
      <w:r>
        <w:t xml:space="preserve"> y Álvarez, UNAP,2019 </w:t>
      </w:r>
      <w:proofErr w:type="spellStart"/>
      <w:r>
        <w:t>pag</w:t>
      </w:r>
      <w:proofErr w:type="spellEnd"/>
      <w:r>
        <w:t xml:space="preserve"> 90.)</w:t>
      </w:r>
    </w:p>
    <w:p w:rsidR="00143A2B" w:rsidRDefault="00143A2B" w:rsidP="00AD4309">
      <w:pPr>
        <w:ind w:left="1560" w:hanging="1560"/>
      </w:pPr>
    </w:p>
    <w:p w:rsidR="00143A2B" w:rsidRDefault="00143A2B" w:rsidP="00AD4309">
      <w:pPr>
        <w:ind w:left="1560" w:hanging="1560"/>
      </w:pPr>
    </w:p>
    <w:p w:rsidR="006F1D7E" w:rsidRPr="007B23D3" w:rsidRDefault="006F1D7E" w:rsidP="00AD4309">
      <w:pPr>
        <w:ind w:left="1560" w:hanging="1560"/>
        <w:rPr>
          <w:b/>
        </w:rPr>
      </w:pPr>
      <w:r w:rsidRPr="007B23D3">
        <w:rPr>
          <w:b/>
        </w:rPr>
        <w:t xml:space="preserve">Fuentes bibliográfica: </w:t>
      </w:r>
    </w:p>
    <w:p w:rsidR="006F1D7E" w:rsidRPr="00143A2B" w:rsidRDefault="006F1D7E" w:rsidP="006F1D7E">
      <w:pPr>
        <w:shd w:val="clear" w:color="auto" w:fill="FFFFFF"/>
        <w:spacing w:after="0" w:line="240" w:lineRule="auto"/>
        <w:rPr>
          <w:rFonts w:eastAsia="Times New Roman" w:cstheme="minorHAnsi"/>
          <w:lang w:eastAsia="es-ES"/>
        </w:rPr>
      </w:pPr>
      <w:r w:rsidRPr="006F1D7E">
        <w:rPr>
          <w:rFonts w:eastAsia="Times New Roman" w:cstheme="minorHAnsi"/>
          <w:lang w:eastAsia="es-ES"/>
        </w:rPr>
        <w:t>Liberona Concha, N., Tapia Ladino, M., &amp; Contreras Gatica, Y. (2017). Movilidad por salud entre Arica y Tacna: análisis de una demanda no satisfecha y de una oferta atractiva del otro lado de la frontera. </w:t>
      </w:r>
      <w:r w:rsidRPr="006F1D7E">
        <w:rPr>
          <w:rFonts w:eastAsia="Times New Roman" w:cstheme="minorHAnsi"/>
          <w:i/>
          <w:iCs/>
          <w:lang w:eastAsia="es-ES"/>
        </w:rPr>
        <w:t>Geopolítica(s). Revista De Estudios Sobre Espacio Y Poder</w:t>
      </w:r>
      <w:r w:rsidRPr="006F1D7E">
        <w:rPr>
          <w:rFonts w:eastAsia="Times New Roman" w:cstheme="minorHAnsi"/>
          <w:lang w:eastAsia="es-ES"/>
        </w:rPr>
        <w:t>, </w:t>
      </w:r>
      <w:r w:rsidRPr="006F1D7E">
        <w:rPr>
          <w:rFonts w:eastAsia="Times New Roman" w:cstheme="minorHAnsi"/>
          <w:i/>
          <w:iCs/>
          <w:lang w:eastAsia="es-ES"/>
        </w:rPr>
        <w:t>8</w:t>
      </w:r>
      <w:r w:rsidRPr="006F1D7E">
        <w:rPr>
          <w:rFonts w:eastAsia="Times New Roman" w:cstheme="minorHAnsi"/>
          <w:lang w:eastAsia="es-ES"/>
        </w:rPr>
        <w:t xml:space="preserve">(2), 253-278. </w:t>
      </w:r>
      <w:hyperlink r:id="rId13" w:history="1">
        <w:r w:rsidRPr="00143A2B">
          <w:rPr>
            <w:rStyle w:val="Hipervnculo"/>
            <w:rFonts w:eastAsia="Times New Roman" w:cstheme="minorHAnsi"/>
            <w:lang w:eastAsia="es-ES"/>
          </w:rPr>
          <w:t>https://doi.org/10.5209/GEOP.56122</w:t>
        </w:r>
      </w:hyperlink>
    </w:p>
    <w:p w:rsidR="00F5347B" w:rsidRPr="00143A2B" w:rsidRDefault="006F1D7E" w:rsidP="00AD4309">
      <w:pPr>
        <w:ind w:left="1560" w:hanging="1560"/>
        <w:rPr>
          <w:rFonts w:cstheme="minorHAnsi"/>
        </w:rPr>
      </w:pPr>
      <w:r w:rsidRPr="00143A2B">
        <w:rPr>
          <w:rFonts w:cstheme="minorHAnsi"/>
        </w:rPr>
        <w:t xml:space="preserve">Encontrado en: </w:t>
      </w:r>
      <w:hyperlink r:id="rId14" w:history="1">
        <w:r w:rsidRPr="00143A2B">
          <w:rPr>
            <w:rStyle w:val="Hipervnculo"/>
            <w:rFonts w:cstheme="minorHAnsi"/>
          </w:rPr>
          <w:t>https://revistas.ucm.es/index.php/GEOP/article/download/56122/52312</w:t>
        </w:r>
      </w:hyperlink>
    </w:p>
    <w:p w:rsidR="006F1D7E" w:rsidRPr="00143A2B" w:rsidRDefault="00D06FF8" w:rsidP="00D06FF8">
      <w:pPr>
        <w:rPr>
          <w:rFonts w:cstheme="minorHAnsi"/>
        </w:rPr>
      </w:pPr>
      <w:r w:rsidRPr="00143A2B">
        <w:rPr>
          <w:rFonts w:cstheme="minorHAnsi"/>
        </w:rPr>
        <w:t xml:space="preserve">Tapia Ladino, Marcela, Liberona Concha, Nanette, Contreras Gatica, Yasna El surgimiento de un territorio circulatorio en la frontera chileno-peruana: estudio de las prácticas socio-espaciales fronterizas. Revista de Geografía Norte Grande [en </w:t>
      </w:r>
      <w:proofErr w:type="spellStart"/>
      <w:r w:rsidRPr="00143A2B">
        <w:rPr>
          <w:rFonts w:cstheme="minorHAnsi"/>
        </w:rPr>
        <w:t>linea</w:t>
      </w:r>
      <w:proofErr w:type="spellEnd"/>
      <w:r w:rsidRPr="00143A2B">
        <w:rPr>
          <w:rFonts w:cstheme="minorHAnsi"/>
        </w:rPr>
        <w:t xml:space="preserve">]. 2017, (66), 117-141[fecha de Consulta 1 de </w:t>
      </w:r>
      <w:proofErr w:type="gramStart"/>
      <w:r w:rsidRPr="00143A2B">
        <w:rPr>
          <w:rFonts w:cstheme="minorHAnsi"/>
        </w:rPr>
        <w:t>Mayo</w:t>
      </w:r>
      <w:proofErr w:type="gramEnd"/>
      <w:r w:rsidRPr="00143A2B">
        <w:rPr>
          <w:rFonts w:cstheme="minorHAnsi"/>
        </w:rPr>
        <w:t xml:space="preserve"> de 2020]. ISSN: 0379-8682. Disponible en: https://www.redalyc.org/articulo.oa?id=30051164008</w:t>
      </w:r>
    </w:p>
    <w:p w:rsidR="006F1D7E" w:rsidRPr="00143A2B" w:rsidRDefault="00D06FF8" w:rsidP="00AD4309">
      <w:pPr>
        <w:ind w:left="1560" w:hanging="1560"/>
        <w:rPr>
          <w:rFonts w:cstheme="minorHAnsi"/>
        </w:rPr>
      </w:pPr>
      <w:r w:rsidRPr="00143A2B">
        <w:rPr>
          <w:rFonts w:cstheme="minorHAnsi"/>
        </w:rPr>
        <w:t xml:space="preserve">Encontrado en: </w:t>
      </w:r>
      <w:hyperlink r:id="rId15" w:history="1">
        <w:r w:rsidRPr="00143A2B">
          <w:rPr>
            <w:rStyle w:val="Hipervnculo"/>
            <w:rFonts w:cstheme="minorHAnsi"/>
          </w:rPr>
          <w:t>https://www.redalyc.org/pdf/300/30051164008.pdf</w:t>
        </w:r>
      </w:hyperlink>
    </w:p>
    <w:p w:rsidR="00D06FF8" w:rsidRPr="00143A2B" w:rsidRDefault="00D06FF8" w:rsidP="00AD4309">
      <w:pPr>
        <w:ind w:left="1560" w:hanging="1560"/>
        <w:rPr>
          <w:rFonts w:cstheme="minorHAnsi"/>
        </w:rPr>
      </w:pPr>
    </w:p>
    <w:p w:rsidR="006F1D7E" w:rsidRPr="006F1D7E" w:rsidRDefault="006F1D7E" w:rsidP="00AD4309">
      <w:pPr>
        <w:ind w:left="1560" w:hanging="1560"/>
        <w:rPr>
          <w:sz w:val="20"/>
          <w:szCs w:val="20"/>
        </w:rPr>
      </w:pPr>
    </w:p>
    <w:p w:rsidR="00F5347B" w:rsidRPr="006F1D7E" w:rsidRDefault="00F5347B" w:rsidP="00AD4309">
      <w:pPr>
        <w:ind w:left="1560" w:hanging="1560"/>
        <w:rPr>
          <w:sz w:val="20"/>
          <w:szCs w:val="20"/>
        </w:rPr>
      </w:pPr>
    </w:p>
    <w:p w:rsidR="000F322C" w:rsidRDefault="00AD4309" w:rsidP="00415BD0">
      <w:pPr>
        <w:ind w:left="1560" w:hanging="1560"/>
      </w:pPr>
      <w:r>
        <w:tab/>
      </w:r>
    </w:p>
    <w:sectPr w:rsidR="000F322C">
      <w:foot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5147" w:rsidRDefault="00895147" w:rsidP="007B23D3">
      <w:pPr>
        <w:spacing w:after="0" w:line="240" w:lineRule="auto"/>
      </w:pPr>
      <w:r>
        <w:separator/>
      </w:r>
    </w:p>
  </w:endnote>
  <w:endnote w:type="continuationSeparator" w:id="0">
    <w:p w:rsidR="00895147" w:rsidRDefault="00895147" w:rsidP="007B2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6301384"/>
      <w:docPartObj>
        <w:docPartGallery w:val="Page Numbers (Bottom of Page)"/>
        <w:docPartUnique/>
      </w:docPartObj>
    </w:sdtPr>
    <w:sdtEndPr/>
    <w:sdtContent>
      <w:p w:rsidR="007B23D3" w:rsidRDefault="007B23D3">
        <w:pPr>
          <w:pStyle w:val="Piedepgina"/>
          <w:jc w:val="center"/>
        </w:pPr>
        <w:r>
          <w:fldChar w:fldCharType="begin"/>
        </w:r>
        <w:r>
          <w:instrText>PAGE   \* MERGEFORMAT</w:instrText>
        </w:r>
        <w:r>
          <w:fldChar w:fldCharType="separate"/>
        </w:r>
        <w:r>
          <w:t>2</w:t>
        </w:r>
        <w:r>
          <w:fldChar w:fldCharType="end"/>
        </w:r>
      </w:p>
    </w:sdtContent>
  </w:sdt>
  <w:p w:rsidR="007B23D3" w:rsidRDefault="007B23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5147" w:rsidRDefault="00895147" w:rsidP="007B23D3">
      <w:pPr>
        <w:spacing w:after="0" w:line="240" w:lineRule="auto"/>
      </w:pPr>
      <w:r>
        <w:separator/>
      </w:r>
    </w:p>
  </w:footnote>
  <w:footnote w:type="continuationSeparator" w:id="0">
    <w:p w:rsidR="00895147" w:rsidRDefault="00895147" w:rsidP="007B23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977CD"/>
    <w:multiLevelType w:val="hybridMultilevel"/>
    <w:tmpl w:val="546407A6"/>
    <w:lvl w:ilvl="0" w:tplc="4BA21252">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C180792"/>
    <w:multiLevelType w:val="hybridMultilevel"/>
    <w:tmpl w:val="2EF86CD2"/>
    <w:lvl w:ilvl="0" w:tplc="AA6ECCA4">
      <w:start w:val="1"/>
      <w:numFmt w:val="decimal"/>
      <w:lvlText w:val="%1."/>
      <w:lvlJc w:val="left"/>
      <w:pPr>
        <w:ind w:left="1920" w:hanging="360"/>
      </w:pPr>
      <w:rPr>
        <w:rFonts w:hint="default"/>
      </w:rPr>
    </w:lvl>
    <w:lvl w:ilvl="1" w:tplc="0C0A0019" w:tentative="1">
      <w:start w:val="1"/>
      <w:numFmt w:val="lowerLetter"/>
      <w:lvlText w:val="%2."/>
      <w:lvlJc w:val="left"/>
      <w:pPr>
        <w:ind w:left="2640" w:hanging="360"/>
      </w:pPr>
    </w:lvl>
    <w:lvl w:ilvl="2" w:tplc="0C0A001B" w:tentative="1">
      <w:start w:val="1"/>
      <w:numFmt w:val="lowerRoman"/>
      <w:lvlText w:val="%3."/>
      <w:lvlJc w:val="right"/>
      <w:pPr>
        <w:ind w:left="3360" w:hanging="180"/>
      </w:pPr>
    </w:lvl>
    <w:lvl w:ilvl="3" w:tplc="0C0A000F" w:tentative="1">
      <w:start w:val="1"/>
      <w:numFmt w:val="decimal"/>
      <w:lvlText w:val="%4."/>
      <w:lvlJc w:val="left"/>
      <w:pPr>
        <w:ind w:left="4080" w:hanging="360"/>
      </w:pPr>
    </w:lvl>
    <w:lvl w:ilvl="4" w:tplc="0C0A0019" w:tentative="1">
      <w:start w:val="1"/>
      <w:numFmt w:val="lowerLetter"/>
      <w:lvlText w:val="%5."/>
      <w:lvlJc w:val="left"/>
      <w:pPr>
        <w:ind w:left="4800" w:hanging="360"/>
      </w:pPr>
    </w:lvl>
    <w:lvl w:ilvl="5" w:tplc="0C0A001B" w:tentative="1">
      <w:start w:val="1"/>
      <w:numFmt w:val="lowerRoman"/>
      <w:lvlText w:val="%6."/>
      <w:lvlJc w:val="right"/>
      <w:pPr>
        <w:ind w:left="5520" w:hanging="180"/>
      </w:pPr>
    </w:lvl>
    <w:lvl w:ilvl="6" w:tplc="0C0A000F" w:tentative="1">
      <w:start w:val="1"/>
      <w:numFmt w:val="decimal"/>
      <w:lvlText w:val="%7."/>
      <w:lvlJc w:val="left"/>
      <w:pPr>
        <w:ind w:left="6240" w:hanging="360"/>
      </w:pPr>
    </w:lvl>
    <w:lvl w:ilvl="7" w:tplc="0C0A0019" w:tentative="1">
      <w:start w:val="1"/>
      <w:numFmt w:val="lowerLetter"/>
      <w:lvlText w:val="%8."/>
      <w:lvlJc w:val="left"/>
      <w:pPr>
        <w:ind w:left="6960" w:hanging="360"/>
      </w:pPr>
    </w:lvl>
    <w:lvl w:ilvl="8" w:tplc="0C0A001B" w:tentative="1">
      <w:start w:val="1"/>
      <w:numFmt w:val="lowerRoman"/>
      <w:lvlText w:val="%9."/>
      <w:lvlJc w:val="right"/>
      <w:pPr>
        <w:ind w:left="7680" w:hanging="180"/>
      </w:pPr>
    </w:lvl>
  </w:abstractNum>
  <w:abstractNum w:abstractNumId="2" w15:restartNumberingAfterBreak="0">
    <w:nsid w:val="46B00522"/>
    <w:multiLevelType w:val="hybridMultilevel"/>
    <w:tmpl w:val="868AF4CA"/>
    <w:lvl w:ilvl="0" w:tplc="85405904">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C3B2E64"/>
    <w:multiLevelType w:val="hybridMultilevel"/>
    <w:tmpl w:val="BD8060F4"/>
    <w:lvl w:ilvl="0" w:tplc="FFD88E1E">
      <w:start w:val="1"/>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885"/>
    <w:rsid w:val="000504DB"/>
    <w:rsid w:val="000F322C"/>
    <w:rsid w:val="00143A2B"/>
    <w:rsid w:val="001706AD"/>
    <w:rsid w:val="002F7A00"/>
    <w:rsid w:val="003034C6"/>
    <w:rsid w:val="00410AA5"/>
    <w:rsid w:val="00415BD0"/>
    <w:rsid w:val="004349F7"/>
    <w:rsid w:val="004A402B"/>
    <w:rsid w:val="00545655"/>
    <w:rsid w:val="00553885"/>
    <w:rsid w:val="00562ED7"/>
    <w:rsid w:val="005640A0"/>
    <w:rsid w:val="00590633"/>
    <w:rsid w:val="005B5EDB"/>
    <w:rsid w:val="00690FA7"/>
    <w:rsid w:val="006E49D0"/>
    <w:rsid w:val="006F1D7E"/>
    <w:rsid w:val="007356D1"/>
    <w:rsid w:val="007B23D3"/>
    <w:rsid w:val="00823B4C"/>
    <w:rsid w:val="008622E1"/>
    <w:rsid w:val="00881293"/>
    <w:rsid w:val="00895147"/>
    <w:rsid w:val="008E1877"/>
    <w:rsid w:val="00960F0D"/>
    <w:rsid w:val="00972041"/>
    <w:rsid w:val="00A23DC3"/>
    <w:rsid w:val="00AB1138"/>
    <w:rsid w:val="00AD4309"/>
    <w:rsid w:val="00C01392"/>
    <w:rsid w:val="00C72FC4"/>
    <w:rsid w:val="00D06FF8"/>
    <w:rsid w:val="00E97261"/>
    <w:rsid w:val="00F065FC"/>
    <w:rsid w:val="00F5347B"/>
    <w:rsid w:val="00F7156D"/>
    <w:rsid w:val="00F94251"/>
    <w:rsid w:val="00FD30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0CE64"/>
  <w15:chartTrackingRefBased/>
  <w15:docId w15:val="{15B907B4-8112-4676-9BCB-BA380AC85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7A00"/>
    <w:pPr>
      <w:ind w:left="720"/>
      <w:contextualSpacing/>
    </w:pPr>
  </w:style>
  <w:style w:type="character" w:styleId="Hipervnculo">
    <w:name w:val="Hyperlink"/>
    <w:basedOn w:val="Fuentedeprrafopredeter"/>
    <w:uiPriority w:val="99"/>
    <w:unhideWhenUsed/>
    <w:rsid w:val="006F1D7E"/>
    <w:rPr>
      <w:color w:val="0563C1" w:themeColor="hyperlink"/>
      <w:u w:val="single"/>
    </w:rPr>
  </w:style>
  <w:style w:type="character" w:styleId="Mencinsinresolver">
    <w:name w:val="Unresolved Mention"/>
    <w:basedOn w:val="Fuentedeprrafopredeter"/>
    <w:uiPriority w:val="99"/>
    <w:semiHidden/>
    <w:unhideWhenUsed/>
    <w:rsid w:val="006F1D7E"/>
    <w:rPr>
      <w:color w:val="605E5C"/>
      <w:shd w:val="clear" w:color="auto" w:fill="E1DFDD"/>
    </w:rPr>
  </w:style>
  <w:style w:type="paragraph" w:styleId="Encabezado">
    <w:name w:val="header"/>
    <w:basedOn w:val="Normal"/>
    <w:link w:val="EncabezadoCar"/>
    <w:uiPriority w:val="99"/>
    <w:unhideWhenUsed/>
    <w:rsid w:val="007B23D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23D3"/>
  </w:style>
  <w:style w:type="paragraph" w:styleId="Piedepgina">
    <w:name w:val="footer"/>
    <w:basedOn w:val="Normal"/>
    <w:link w:val="PiedepginaCar"/>
    <w:uiPriority w:val="99"/>
    <w:unhideWhenUsed/>
    <w:rsid w:val="007B23D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2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243395">
      <w:bodyDiv w:val="1"/>
      <w:marLeft w:val="0"/>
      <w:marRight w:val="0"/>
      <w:marTop w:val="0"/>
      <w:marBottom w:val="0"/>
      <w:divBdr>
        <w:top w:val="none" w:sz="0" w:space="0" w:color="auto"/>
        <w:left w:val="none" w:sz="0" w:space="0" w:color="auto"/>
        <w:bottom w:val="none" w:sz="0" w:space="0" w:color="auto"/>
        <w:right w:val="none" w:sz="0" w:space="0" w:color="auto"/>
      </w:divBdr>
      <w:divsChild>
        <w:div w:id="1316565544">
          <w:marLeft w:val="0"/>
          <w:marRight w:val="0"/>
          <w:marTop w:val="0"/>
          <w:marBottom w:val="0"/>
          <w:divBdr>
            <w:top w:val="none" w:sz="0" w:space="0" w:color="auto"/>
            <w:left w:val="none" w:sz="0" w:space="0" w:color="auto"/>
            <w:bottom w:val="none" w:sz="0" w:space="0" w:color="auto"/>
            <w:right w:val="none" w:sz="0" w:space="0" w:color="auto"/>
          </w:divBdr>
          <w:divsChild>
            <w:div w:id="775711350">
              <w:marLeft w:val="0"/>
              <w:marRight w:val="0"/>
              <w:marTop w:val="0"/>
              <w:marBottom w:val="0"/>
              <w:divBdr>
                <w:top w:val="none" w:sz="0" w:space="0" w:color="auto"/>
                <w:left w:val="none" w:sz="0" w:space="0" w:color="auto"/>
                <w:bottom w:val="none" w:sz="0" w:space="0" w:color="auto"/>
                <w:right w:val="none" w:sz="0" w:space="0" w:color="auto"/>
              </w:divBdr>
              <w:divsChild>
                <w:div w:id="15953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5209/GEOP.56122"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redalyc.org/pdf/300/30051164008.pdf"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evistas.ucm.es/index.php/GEOP/article/download/56122/5231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29524-A42E-45FA-ABAF-F9587C14B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8665</TotalTime>
  <Pages>5</Pages>
  <Words>570</Words>
  <Characters>3138</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Zegarra</dc:creator>
  <cp:keywords/>
  <dc:description/>
  <cp:lastModifiedBy>Javier Zegarra</cp:lastModifiedBy>
  <cp:revision>6</cp:revision>
  <dcterms:created xsi:type="dcterms:W3CDTF">2020-04-27T22:50:00Z</dcterms:created>
  <dcterms:modified xsi:type="dcterms:W3CDTF">2020-05-05T21:26:00Z</dcterms:modified>
</cp:coreProperties>
</file>