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ПРЕЗЕНТАЦИОННОЕ ПИСЬМО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Наименование предприятия —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Общество с ограниченной ответственностью «Деловые Решения».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Сокращённое наименование —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ООО «Деловые Решения».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ИНН / КПП —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7731371885 / 773101001.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ОГРН —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1177746584817.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ОКВЭД / ОКПО —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42.11 / 15996287.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Юридический адрес: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121596, г. Москва, вн.тер.г. Муниципальный округ Можайский, ул. Горбунова, д. 2, стр. 3, пом. 189.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Фактический адрес: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совпадает с юридическим.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Адрес электронной почты: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info-deloresh@mail.ru.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Сайт: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deloresh.ru.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Контактный телефон: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+7 (495) 210-85-85.</w:t>
      </w:r>
    </w:p>
    <w:p>
      <w:pPr>
        <w:spacing w:after="120" w:before="0" w:line="240" w:lineRule="auto"/>
        <w:jc w:val="both"/>
      </w:pP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Общество с ограниченной ответственностью «Деловые Решения» — предприятие, специализирующееся на комплексном благоустройстве территорий и дорожно-строительных работах в г. Москве, Московской области и других регионах Российской Федерации с применением материалов и технологий нового поколения. Мы выполняем полный комплекс работ — от подготовительного этапа и до сдачи объекта в эксплуатацию. За время своей работы зарекомендовали себя как надёжный деловой партнёр для государственных заказчиков и крупных подрядных организаций.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Высококвалифицированные специалисты нашей компании, собственный парк дорожно-строительной техники (асфальтоукладочные комплексы, дорожные катки, холодные фрезы, экскаваторы и экскаваторы-погрузчики, фронтальные и мини-погрузчики, самосвальная и седельная техника, специализированные машины и средства малой механизации), высокое качество применяемых материалов и технологий — всё это даёт нам возможность гарантировать качество, безопасность и сроки выполнения работ на объектах любой сложности.</w:t>
      </w:r>
    </w:p>
    <w:p>
      <w:pPr>
        <w:spacing w:after="8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Мы выполняем следующие виды работ: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комплексное благоустройство территорий административных округов г. Москвы, Московской области и иных регионов РФ;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благоустройство дворовых и общественных территорий, парков, скверов, бульваров;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работы по улучшению пешеходной и транспортной доступности территорий, прилегающих к станциям Московского метрополитена и иным объектам транспортной инфраструктуры;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ремонт, реконструкция и устройство автомобильных дорог общего пользования, проездов и тротуаров;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работы по приведению в нормативное состояние асфальтобетонного покрытия, ямочный ремонт;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устройство и ремонт бортового камня, укладка тротуарной плитки и брусчатки;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земляные работы, устройство оснований дорог и тротуаров, водоотводов и дренажей;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благоустройство территорий объектов социальной инфраструктуры (детские сады, миграционные центры и иные объекты);</w:t>
      </w:r>
    </w:p>
    <w:p>
      <w:pPr>
        <w:pStyle w:val="ListBullet"/>
        <w:spacing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работы в качестве генерального подрядчика и субподрядчика по контрактам на территории г. Москвы, ТиНАО, Московской области, Донецкой Народной Республики и г. Мариуполя.</w:t>
      </w:r>
    </w:p>
    <w:p>
      <w:pPr>
        <w:spacing w:after="80" w:before="20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В т. ч. силами нашей организации выполнены следующие работы за период 2022–2026 гг.: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«ДСК ПАРТНЕР»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Выполнение работ по благоустройству территорий Юго-Восточного административного округа города Москвы и расположенных на них объектах по Договору субподряда №135/СУБ/ДР-24 от 09.04.2024 г. на объекте по адресу: Маршала Голованова улица (на всём протяжении).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159 413 188,00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«ПК ПАРТНЕР»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Выполнение работ по благоустройству территорий административных округов города Москвы и расположенных на них объектах (СВАО) по Договору № АНО2/СУБ-01/24 от 23.09.2024 г. на объекте по адресу: Проектируемый проезд №226 (на всём протяжении).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63 181 847,02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«ПСК СТРОЙМОНОЛИТ»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Выполнение работ по благоустройству территорий по адресам: г. Мариуполь, пр. Металлургов, д. 215, д. 213, д. 237; пр. Ильича, д. 140. Согласно договору подряда №2023-03/22(П-Мар) от 22.03.2023 г. и КС-3 №1 от 20.07.2023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33 844 365,50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Выполнение подрядных работ по благоустройству территории детского сада, расположенного по адресу: г. Москва, поселение Филимоновское, ул. Харлампиева. Согласно договору №2023/0601 (ПСК/Фил/благ/П) от 01.06.2023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28 574 600,00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«РОУД ГРУПП»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Выполнение работ по благоустройству территорий Юго-Западного административного округа города Москвы и расположенных на них объектах по Договору №СП-1174/136-2024-АД от 15.04.2024 г. на объекте: Нахимовский проспект (на всём протяжении).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80 544 929,45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Выполнение работ на объектах дорожного хозяйства территорий Новомосковского (НАО) и Троицкого (ТАО) административных округов города Москвы по Договору №1277/СП-500ТР-25 от 03.06.2025 г. Проезд вдоль ЖК «Бунинский» (на всём протяжении).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341 404 460,96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Выполнение работ на объектах дорожного хозяйства территорий Западного, Новомосковского и Южного административных округов города Москвы по Договору №1295/СП-528/295/ВР-25 от 03.06.2025 г. Медынская улица (на всём протяжении).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117 165 398,00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Выполнение комплекса работ по благоустройству территории на объекте: «Реконструкция подъезда к парку Малевича в Одинцовском городском округе Московской области». Согласно Договору субподряда №1122-1/2022-66/СП от 17.07.2023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45 259 812,00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АО «РЕМОНТЁР»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Выполнение работ по улучшению пешеходной и транспортной доступности города Москвы (Лот 26) согласно Договору субподряда №СП-294Л5-О2-4-ГКУДКРП4 от 12.02.2024 г. на объектах по адресу: г. Москва, ул. А. Монаховой.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363 683 641,00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Выполнение работ по улучшению пешеходной и транспортной доступности города Москвы (Лот 64) согласно Договору субподряда №СП-384/15-02-26-ГКУДКР/24 от 23.08.2024 г. на объектах по адресу: г. Москва, ул. А. Монаховой.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298 782 572,83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Выполнение работ на объектах дорожного хозяйства территорий Юго-Западного административного округа (ЮЗАО) города Москвы. Дороги 26 квартала ЮЗАО (на всём протяжении). Согласно Договору субподряда №СП-231/221/2023-АД от 23.05.2023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131 108 519,65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Выполнение работ на объектах дорожного хозяйства территорий Западного административного округа (ЗАО) города Москвы. Проезд за БЦ «Вернадский» (на всём протяжении). Согласно Договору субподряда №СП-236/220/2023-АД от 23.05.2023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108 433 210,11 руб.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Выполнение работ по благоустройству территории ГБУ «Миграционный центр», расположенной по адресу: г. Москва, ТиНАО, пос. Вороновское, Варшавское шоссе, 64-й км, д. 1, стр. 59. Согласно Договору субподряда №СП-244/15-02-29-ГКУДКР/23 от 16.06.2023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33 291 286,39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«СТРОЙ БИЗНЕС ИНВЕСТ»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Выполнение работ по благоустройству территорий административных округов города Москвы и расположенных на них объектах согласно Договору субподряда №ПК-СБИ-25/ДР от 03.06.2025 г. на объектах по адресу: г. Москва, ул. Элеваторная, ул. Кожуховская.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255 000 000,00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«ТРИУМФ»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Выполнение работ по улучшению пешеходной и транспортной доступности на территориях, прилегающих к станции Московского метрополитена БКЛ «Новаторская». Согласно Договору субподряда №216/32211556928/СП от 23.08.2022 г.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248 644 042,65 руб.</w:t>
      </w:r>
    </w:p>
    <w:p>
      <w:pPr>
        <w:spacing w:after="4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«МИГДОРГРУПП»</w:t>
      </w:r>
    </w:p>
    <w:p>
      <w:pPr>
        <w:spacing w:after="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Выполнение работ по приведению в нормативное состояние асфальтобетонного покрытия и ремонт бортового камня на территории ДНР, г. Донецк, согласно Договору субподряда №10993/МИГ-ДЕЛРЕШ-2026 от 04.03.2026 г. на объекте по адресу: г. Донецк, ул. Краснооктябрьская, ул. Логутенко.</w:t>
      </w:r>
    </w:p>
    <w:p>
      <w:pPr>
        <w:spacing w:after="40" w:line="276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Сумма договора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233 000 000,00 руб.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ООО «Деловые Решения» располагает следующими ресурсами для выполнения работ: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Наименование, марка, модель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Год выпуска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Местонахождение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Право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Состояние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Малотоннажные автомобили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 А22R32 (грузовой бортовой)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ГАЗ-А22R32 (платформа с каркасом и тентом)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2014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ГАЗ-А22R32 (грузовой с бортом)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2014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Газель GAZelle NEXT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 2705 (грузовой фургон)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ГАЗ-А22R32 (грузовой бортовой)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 (техпомощь)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 22278С (грузопассажирский)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 3227AR двойная кабина (бортовая платформа)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 3227AR двойная кабина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Автобусы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Газель GAZelle NN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Ford Transit (автобус)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Автомобили специальные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Грузовой бортовой, оснащённый краном-манипулятором TH-T13, FOTON 3006A7Н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2024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Комбинированная дорожная машина КО-806-01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Автогудронатор РЕГИОН 45 АС-С41R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Самосвалы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Автосамосвал КАМАЗ К3340 6520-53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Седельные тягачи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Sitrak C7H ZZ4186V361HE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SCANIA Р400 СА6Х4НSZ (грузовой тягач седельный)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Полуприцепы (прицепы)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Specpricep 9942L3 (специализированный полуприцеп-тяжеловоз)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Прицеп Sinanli Tanker ST4FLF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Прицеп 71491-0000010-01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Фронтальные погрузчики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Погрузчик фронтальный ENSIGN YX635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Погрузчик фронтальный ENSIGN YX635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Фронтальный погрузчик XCMG ZL30GV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Мини-погрузчики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Погрузчик фронтальный CASE SR220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Колёсный мини-погрузчик CASE SR200B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Экскаваторы-погрузчики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Экскаватор-погрузчик Case 580T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Экскаватор-погрузчик Caterpillar 428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Экскаватор-погрузчик Caterpillar 432F2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МУП-351.ТСТ (машина для коммунального хозяйства)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Экскаваторы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Гусеничный экскаватор SANY SY55C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Гусеничный экскаватор SANY SY75C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Колёсный экскаватор SANY SY155W (158)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Колёсный экскаватор SANY SY155W (368)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Экскаватор SANY SY155W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Самоходная машина SANY SY155W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Экскаватор Caterpillar Inc. 318CL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2005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Катки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вибрационный LIUGONG CLG6614E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AMMANN ARX45-2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AMMANN ARX45-2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HD110 HAMM AG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2013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самоходный ZDM DM-10-VD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2024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самоходный ZDM ZDM-10-VC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2024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Каток дорожный самоходный вибрационный AMMANN ARX 26 K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СМ Каток HAMM HD 090V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2005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СМ Каток дорожный BW 161 AD-4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Асфальтоукладчики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Асфальтоукладчик VOGELE SUPER 1900-2 (6 м)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2011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Асфальтоукладчик VOGELE SUPER 1900-2/1 (5 м)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Асфальтоукладчик VOGELE SUPER 1300-2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2008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9636"/>
            <w:gridSpan w:val="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0"/>
              </w:rPr>
              <w:t>Фрезы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Фреза дорожная WIRTGEN W210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2012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Холодная дорожная фреза WIRTGEN W200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2010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г. Москва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собств.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отличное</w:t>
            </w:r>
          </w:p>
        </w:tc>
      </w:tr>
    </w:tbl>
    <w:p>
      <w:pPr>
        <w:spacing w:after="0" w:before="360" w:line="240" w:lineRule="auto"/>
        <w:jc w:val="both"/>
      </w:pPr>
    </w:p>
    <w:p>
      <w:pPr>
        <w:spacing w:before="480" w:after="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Генеральный директор</w:t>
        <w:br/>
      </w:r>
      <w:r>
        <w:rPr>
          <w:rFonts w:ascii="Times New Roman" w:hAnsi="Times New Roman" w:cs="Times New Roman" w:eastAsia="Times New Roman"/>
          <w:b/>
          <w:i w:val="0"/>
          <w:sz w:val="24"/>
        </w:rPr>
        <w:t>ООО «Деловые Решения»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ab/>
        <w:t xml:space="preserve">_____________________ </w:t>
        <w:tab/>
        <w:t>/Арамян Н. Г./</w:t>
      </w:r>
    </w:p>
    <w:p>
      <w:pPr>
        <w:spacing w:before="4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М. П.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Times New Roman" w:hAnsi="Times New Roman" w:cs="Times New Roman" w:eastAsia="Times New Roman"/>
        <w:b w:val="0"/>
        <w:i w:val="0"/>
        <w:sz w:val="18"/>
      </w:rPr>
      <w:t xml:space="preserve">стр.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b w:val="0"/>
        <w:i w:val="0"/>
        <w:sz w:val="18"/>
      </w:rPr>
      <w:t xml:space="preserve"> из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/>
    <w:r>
      <w:rPr>
        <w:rFonts w:ascii="Times New Roman" w:hAnsi="Times New Roman" w:cs="Times New Roman" w:eastAsia="Times New Roman"/>
        <w:b/>
        <w:i w:val="0"/>
        <w:sz w:val="22"/>
      </w:rPr>
      <w:t>ООО «Деловые Решения»</w:t>
    </w:r>
  </w:p>
  <w:p>
    <w:pPr>
      <w:spacing w:after="0"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18"/>
      </w:rPr>
      <w:t>ИНН 7731371885 / КПП 773101001  •  ОГРН 1177746584817</w:t>
    </w:r>
  </w:p>
  <w:p>
    <w:pPr>
      <w:spacing w:after="0"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18"/>
      </w:rPr>
      <w:t>Юр. адрес: 121596, г. Москва, вн.тер.г. Муниципальный округ Можайский, ул. Горбунова, д. 2, стр. 3, пом. 189</w:t>
    </w:r>
  </w:p>
  <w:p>
    <w:pPr>
      <w:spacing w:after="0"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18"/>
      </w:rPr>
      <w:t>АО «АЛЬФА-БАНК»  •  Р/с 40702810001300022656  •  К/с 30101810200000000593  •  БИК 044525593</w:t>
    </w:r>
  </w:p>
  <w:p>
    <w:pPr>
      <w:spacing w:after="0"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18"/>
      </w:rPr>
      <w:t>Тел.: +7 (495) 210-85-85  •  e-mail: info-deloresh@mail.ru  •  сайт: deloresh.ru</w:t>
    </w:r>
  </w:p>
  <w:p>
    <w:pPr>
      <w:spacing w:after="40"/>
      <w:jc w:val="center"/>
      <w:pBdr>
        <w:bottom w:val="single" w:sz="8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