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字体替代验证 / Font fallback</w:t>
      </w:r>
    </w:p>
    <w:p>
      <w:r>
        <w:rPr>
          <w:rFonts w:ascii="微软雅黑" w:hAnsi="微软雅黑" w:eastAsia="微软雅黑"/>
          <w:sz w:val="30"/>
        </w:rPr>
        <w:t>中文预览：项目交付与成员协作。 English 2026 — 标点（测试）！</w:t>
      </w:r>
    </w:p>
    <w:p>
      <w:r>
        <w:rPr>
          <w:rFonts w:ascii="宋体" w:hAnsi="宋体" w:eastAsia="宋体"/>
          <w:sz w:val="30"/>
        </w:rPr>
        <w:t>收入 Revenue：¥12,345.67；增长 Growth：18%</w:t>
      </w:r>
    </w:p>
    <w:p>
      <w:r>
        <w:rPr>
          <w:rFonts w:ascii="Phalanx Deliberately Missing Font" w:hAnsi="Phalanx Deliberately Missing Font" w:eastAsia="Phalanx Deliberately Missing Font"/>
          <w:sz w:val="30"/>
        </w:rPr>
        <w:t>缺失字体仍应可读 / Missing face remains readable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 Project</w:t>
            </w:r>
          </w:p>
        </w:tc>
        <w:tc>
          <w:tcPr>
            <w:tcW w:type="dxa" w:w="2880"/>
          </w:tcPr>
          <w:p>
            <w:r>
              <w:t>数量 Count</w:t>
            </w:r>
          </w:p>
        </w:tc>
        <w:tc>
          <w:tcPr>
            <w:tcW w:type="dxa" w:w="2880"/>
          </w:tcPr>
          <w:p>
            <w:r>
              <w:t>状态 Status</w:t>
            </w:r>
          </w:p>
        </w:tc>
      </w:tr>
      <w:tr>
        <w:tc>
          <w:tcPr>
            <w:tcW w:type="dxa" w:w="2880"/>
          </w:tcPr>
          <w:p>
            <w:r>
              <w:t>文档 Documents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已完成 Done</w:t>
            </w:r>
          </w:p>
        </w:tc>
      </w:tr>
      <w:tr>
        <w:tc>
          <w:tcPr>
            <w:tcW w:type="dxa" w:w="2880"/>
          </w:tcPr>
          <w:p>
            <w:r>
              <w:t>服务 Services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测试中 Testing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