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8E19" w14:textId="0B315C24" w:rsidR="00805873" w:rsidRDefault="002B273E">
      <w:pPr>
        <w:rPr>
          <w:b/>
          <w:u w:val="single"/>
          <w:lang w:val="en-US"/>
        </w:rPr>
      </w:pPr>
      <w:r>
        <w:rPr>
          <w:b/>
          <w:u w:val="single"/>
          <w:lang w:val="en-US"/>
        </w:rPr>
        <w:t>Preliminary Modelling of IFNa2</w:t>
      </w:r>
    </w:p>
    <w:p w14:paraId="7FA8920A" w14:textId="16B1FB84" w:rsidR="008E26AB" w:rsidRPr="008E26AB" w:rsidRDefault="008E26AB">
      <w:pPr>
        <w:rPr>
          <w:lang w:val="en-US"/>
        </w:rPr>
      </w:pPr>
      <w:r w:rsidRPr="008E26AB">
        <w:rPr>
          <w:lang w:val="en-US"/>
        </w:rPr>
        <w:t>We tried to explain the data</w:t>
      </w:r>
      <w:r>
        <w:rPr>
          <w:lang w:val="en-US"/>
        </w:rPr>
        <w:t xml:space="preserve"> presented in Figure 1</w:t>
      </w:r>
      <w:r w:rsidR="000E4AC1">
        <w:rPr>
          <w:lang w:val="en-US"/>
        </w:rPr>
        <w:t xml:space="preserve">, focusing on the qualitative relationships between IFNa2 and </w:t>
      </w:r>
      <w:proofErr w:type="spellStart"/>
      <w:r w:rsidR="000E4AC1">
        <w:rPr>
          <w:lang w:val="en-US"/>
        </w:rPr>
        <w:t>IFNb</w:t>
      </w:r>
      <w:proofErr w:type="spellEnd"/>
      <w:r w:rsidRPr="008E26AB">
        <w:rPr>
          <w:lang w:val="en-US"/>
        </w:rPr>
        <w:t xml:space="preserve">. </w:t>
      </w:r>
      <w:r w:rsidR="00985978">
        <w:rPr>
          <w:lang w:val="en-US"/>
        </w:rPr>
        <w:t xml:space="preserve">The parameters we considered were the rates of receptor internalization (both free surface receptors and in complexes), receptor subunit recycling back to the surface, and STAT phosphorylation by internalized receptor complexes </w:t>
      </w:r>
      <w:r w:rsidR="00985978">
        <w:rPr>
          <w:lang w:val="en-US"/>
        </w:rPr>
        <w:t>in some models</w:t>
      </w:r>
      <w:r w:rsidR="00985978">
        <w:rPr>
          <w:lang w:val="en-US"/>
        </w:rPr>
        <w:t>.</w:t>
      </w:r>
      <w:r w:rsidRPr="008E26AB">
        <w:rPr>
          <w:lang w:val="en-US"/>
        </w:rPr>
        <w:t xml:space="preserve"> Here are results for three different scenarios (models).</w:t>
      </w:r>
    </w:p>
    <w:p w14:paraId="52F85713" w14:textId="77777777" w:rsidR="002C31EF" w:rsidRDefault="009D1FAB">
      <w:pPr>
        <w:rPr>
          <w:lang w:val="en-US"/>
        </w:rPr>
      </w:pPr>
      <w:r w:rsidRPr="002C31EF">
        <w:rPr>
          <w:u w:val="single"/>
          <w:lang w:val="en-US"/>
        </w:rPr>
        <w:t>Model 1</w:t>
      </w:r>
      <w:r>
        <w:rPr>
          <w:lang w:val="en-US"/>
        </w:rPr>
        <w:t xml:space="preserve">: </w:t>
      </w:r>
    </w:p>
    <w:p w14:paraId="5AA86B35" w14:textId="632EE5D1" w:rsidR="009D1FAB" w:rsidRDefault="009D1FAB" w:rsidP="002D5AFA">
      <w:pPr>
        <w:ind w:left="360"/>
        <w:rPr>
          <w:lang w:val="en-US"/>
        </w:rPr>
      </w:pPr>
      <w:r>
        <w:rPr>
          <w:lang w:val="en-US"/>
        </w:rPr>
        <w:t xml:space="preserve">Differential internalization and recycling of </w:t>
      </w:r>
      <w:proofErr w:type="spellStart"/>
      <w:r>
        <w:rPr>
          <w:lang w:val="en-US"/>
        </w:rPr>
        <w:t>IFNa</w:t>
      </w:r>
      <w:proofErr w:type="spellEnd"/>
      <w:r>
        <w:rPr>
          <w:lang w:val="en-US"/>
        </w:rPr>
        <w:t xml:space="preserve"> vs </w:t>
      </w:r>
      <w:proofErr w:type="spellStart"/>
      <w:r>
        <w:rPr>
          <w:lang w:val="en-US"/>
        </w:rPr>
        <w:t>IFNb</w:t>
      </w:r>
      <w:proofErr w:type="spellEnd"/>
      <w:r w:rsidR="0018190E">
        <w:rPr>
          <w:lang w:val="en-US"/>
        </w:rPr>
        <w:t xml:space="preserve"> bound to receptor subunits</w:t>
      </w:r>
      <w:r>
        <w:rPr>
          <w:lang w:val="en-US"/>
        </w:rPr>
        <w:t xml:space="preserve">. </w:t>
      </w:r>
      <w:r w:rsidR="002D5AFA">
        <w:rPr>
          <w:lang w:val="en-US"/>
        </w:rPr>
        <w:t>Active receptor complex can be internalized b</w:t>
      </w:r>
      <w:r w:rsidR="0018190E">
        <w:rPr>
          <w:lang w:val="en-US"/>
        </w:rPr>
        <w:t>ut</w:t>
      </w:r>
      <w:r w:rsidR="002D5AFA">
        <w:rPr>
          <w:lang w:val="en-US"/>
        </w:rPr>
        <w:t xml:space="preserve"> does not signal from the endosome.</w:t>
      </w:r>
    </w:p>
    <w:p w14:paraId="066ADE6D" w14:textId="59784CE8" w:rsidR="002B273E" w:rsidRDefault="009D1FAB" w:rsidP="009D1FAB">
      <w:pPr>
        <w:pStyle w:val="ListParagraph"/>
        <w:numPr>
          <w:ilvl w:val="0"/>
          <w:numId w:val="1"/>
        </w:numPr>
        <w:rPr>
          <w:lang w:val="en-US"/>
        </w:rPr>
      </w:pPr>
      <w:r>
        <w:rPr>
          <w:lang w:val="en-US"/>
        </w:rPr>
        <w:t xml:space="preserve">This model </w:t>
      </w:r>
      <w:r w:rsidRPr="009D1FAB">
        <w:rPr>
          <w:lang w:val="en-US"/>
        </w:rPr>
        <w:t xml:space="preserve">can produce a stronger response from </w:t>
      </w:r>
      <w:proofErr w:type="spellStart"/>
      <w:r w:rsidRPr="009D1FAB">
        <w:rPr>
          <w:lang w:val="en-US"/>
        </w:rPr>
        <w:t>IFNa</w:t>
      </w:r>
      <w:proofErr w:type="spellEnd"/>
      <w:r w:rsidRPr="009D1FAB">
        <w:rPr>
          <w:lang w:val="en-US"/>
        </w:rPr>
        <w:t xml:space="preserve"> than </w:t>
      </w:r>
      <w:proofErr w:type="spellStart"/>
      <w:r w:rsidRPr="009D1FAB">
        <w:rPr>
          <w:lang w:val="en-US"/>
        </w:rPr>
        <w:t>IFNb</w:t>
      </w:r>
      <w:proofErr w:type="spellEnd"/>
      <w:r>
        <w:rPr>
          <w:lang w:val="en-US"/>
        </w:rPr>
        <w:t xml:space="preserve">, but </w:t>
      </w:r>
      <w:proofErr w:type="spellStart"/>
      <w:r>
        <w:rPr>
          <w:lang w:val="en-US"/>
        </w:rPr>
        <w:t>IFNb</w:t>
      </w:r>
      <w:proofErr w:type="spellEnd"/>
      <w:r>
        <w:rPr>
          <w:lang w:val="en-US"/>
        </w:rPr>
        <w:t xml:space="preserve"> does not saturate to the same level as </w:t>
      </w:r>
      <w:proofErr w:type="spellStart"/>
      <w:r>
        <w:rPr>
          <w:lang w:val="en-US"/>
        </w:rPr>
        <w:t>IFNa</w:t>
      </w:r>
      <w:proofErr w:type="spellEnd"/>
      <w:r>
        <w:rPr>
          <w:lang w:val="en-US"/>
        </w:rPr>
        <w:t>.</w:t>
      </w:r>
    </w:p>
    <w:p w14:paraId="772B570A" w14:textId="4FF68EB8" w:rsidR="003A7F09" w:rsidRDefault="003A7F09" w:rsidP="009D1FAB">
      <w:pPr>
        <w:pStyle w:val="ListParagraph"/>
        <w:numPr>
          <w:ilvl w:val="0"/>
          <w:numId w:val="1"/>
        </w:numPr>
        <w:rPr>
          <w:lang w:val="en-US"/>
        </w:rPr>
      </w:pPr>
      <w:r>
        <w:rPr>
          <w:lang w:val="en-US"/>
        </w:rPr>
        <w:t xml:space="preserve">See Figure </w:t>
      </w:r>
      <w:r w:rsidR="008E26AB">
        <w:rPr>
          <w:lang w:val="en-US"/>
        </w:rPr>
        <w:t>2</w:t>
      </w:r>
    </w:p>
    <w:p w14:paraId="02468388" w14:textId="1F3C26F6" w:rsidR="002D5AFA" w:rsidRDefault="002D5AFA" w:rsidP="002D5AFA">
      <w:pPr>
        <w:rPr>
          <w:lang w:val="en-US"/>
        </w:rPr>
      </w:pPr>
      <w:r>
        <w:rPr>
          <w:u w:val="single"/>
          <w:lang w:val="en-US"/>
        </w:rPr>
        <w:t>Model 2:</w:t>
      </w:r>
    </w:p>
    <w:p w14:paraId="44F870FB" w14:textId="39EDCA68" w:rsidR="002D5AFA" w:rsidRDefault="002D5AFA" w:rsidP="002D5AFA">
      <w:pPr>
        <w:ind w:left="360"/>
        <w:rPr>
          <w:lang w:val="en-US"/>
        </w:rPr>
      </w:pPr>
      <w:r>
        <w:rPr>
          <w:lang w:val="en-US"/>
        </w:rPr>
        <w:t>Differential internalization</w:t>
      </w:r>
      <w:r w:rsidR="004B17DD">
        <w:rPr>
          <w:lang w:val="en-US"/>
        </w:rPr>
        <w:t xml:space="preserve">, </w:t>
      </w:r>
      <w:r>
        <w:rPr>
          <w:lang w:val="en-US"/>
        </w:rPr>
        <w:t>recycling</w:t>
      </w:r>
      <w:r w:rsidR="004B17DD">
        <w:rPr>
          <w:lang w:val="en-US"/>
        </w:rPr>
        <w:t xml:space="preserve">, </w:t>
      </w:r>
      <w:r w:rsidR="004B17DD" w:rsidRPr="004B17DD">
        <w:rPr>
          <w:i/>
          <w:lang w:val="en-US"/>
        </w:rPr>
        <w:t>and signaling</w:t>
      </w:r>
      <w:r>
        <w:rPr>
          <w:lang w:val="en-US"/>
        </w:rPr>
        <w:t xml:space="preserve"> of </w:t>
      </w:r>
      <w:proofErr w:type="spellStart"/>
      <w:r>
        <w:rPr>
          <w:lang w:val="en-US"/>
        </w:rPr>
        <w:t>IFNa</w:t>
      </w:r>
      <w:proofErr w:type="spellEnd"/>
      <w:r>
        <w:rPr>
          <w:lang w:val="en-US"/>
        </w:rPr>
        <w:t xml:space="preserve"> vs </w:t>
      </w:r>
      <w:proofErr w:type="spellStart"/>
      <w:r>
        <w:rPr>
          <w:lang w:val="en-US"/>
        </w:rPr>
        <w:t>IFNb</w:t>
      </w:r>
      <w:proofErr w:type="spellEnd"/>
      <w:r>
        <w:rPr>
          <w:lang w:val="en-US"/>
        </w:rPr>
        <w:t xml:space="preserve">. Active receptor complex can be internalized </w:t>
      </w:r>
      <w:r w:rsidR="004B17DD">
        <w:rPr>
          <w:lang w:val="en-US"/>
        </w:rPr>
        <w:t>and can phosphorylate STAT from the endosome. All rates of internalization, recycling, and endosomal phosphorylation are different.</w:t>
      </w:r>
    </w:p>
    <w:p w14:paraId="0A132168" w14:textId="6431C3EE" w:rsidR="002D5AFA" w:rsidRDefault="002D5AFA" w:rsidP="002D5AFA">
      <w:pPr>
        <w:pStyle w:val="ListParagraph"/>
        <w:numPr>
          <w:ilvl w:val="0"/>
          <w:numId w:val="1"/>
        </w:numPr>
        <w:rPr>
          <w:lang w:val="en-US"/>
        </w:rPr>
      </w:pPr>
      <w:r>
        <w:rPr>
          <w:lang w:val="en-US"/>
        </w:rPr>
        <w:t xml:space="preserve">This model </w:t>
      </w:r>
      <w:r w:rsidRPr="009D1FAB">
        <w:rPr>
          <w:lang w:val="en-US"/>
        </w:rPr>
        <w:t xml:space="preserve">can produce </w:t>
      </w:r>
      <w:r w:rsidR="004B17DD">
        <w:rPr>
          <w:lang w:val="en-US"/>
        </w:rPr>
        <w:t>the same qualitative relationships seen in the data. However, the number of degrees of freedom makes it over-parameterized.</w:t>
      </w:r>
    </w:p>
    <w:p w14:paraId="64366D0E" w14:textId="38D9D5CD" w:rsidR="003A7F09" w:rsidRDefault="003A7F09" w:rsidP="002D5AFA">
      <w:pPr>
        <w:pStyle w:val="ListParagraph"/>
        <w:numPr>
          <w:ilvl w:val="0"/>
          <w:numId w:val="1"/>
        </w:numPr>
        <w:rPr>
          <w:lang w:val="en-US"/>
        </w:rPr>
      </w:pPr>
      <w:r>
        <w:rPr>
          <w:lang w:val="en-US"/>
        </w:rPr>
        <w:t xml:space="preserve">See Figure </w:t>
      </w:r>
      <w:r w:rsidR="008E26AB">
        <w:rPr>
          <w:lang w:val="en-US"/>
        </w:rPr>
        <w:t>3</w:t>
      </w:r>
    </w:p>
    <w:p w14:paraId="036B03B4" w14:textId="2332B073" w:rsidR="004B17DD" w:rsidRDefault="004B17DD" w:rsidP="004B17DD">
      <w:pPr>
        <w:rPr>
          <w:lang w:val="en-US"/>
        </w:rPr>
      </w:pPr>
      <w:r>
        <w:rPr>
          <w:u w:val="single"/>
          <w:lang w:val="en-US"/>
        </w:rPr>
        <w:t>Minimal Model 2:</w:t>
      </w:r>
    </w:p>
    <w:p w14:paraId="3B79BE66" w14:textId="3F497BAB" w:rsidR="004B17DD" w:rsidRPr="003A7F09" w:rsidRDefault="004B17DD" w:rsidP="003A7F09">
      <w:pPr>
        <w:pStyle w:val="ListParagraph"/>
        <w:numPr>
          <w:ilvl w:val="0"/>
          <w:numId w:val="2"/>
        </w:numPr>
        <w:rPr>
          <w:lang w:val="en-US"/>
        </w:rPr>
      </w:pPr>
      <w:r w:rsidRPr="003A7F09">
        <w:rPr>
          <w:lang w:val="en-US"/>
        </w:rPr>
        <w:t xml:space="preserve">Same dynamics available as in Model 2, but now </w:t>
      </w:r>
      <w:r w:rsidR="0018190E">
        <w:rPr>
          <w:lang w:val="en-US"/>
        </w:rPr>
        <w:t>we</w:t>
      </w:r>
      <w:r w:rsidRPr="003A7F09">
        <w:rPr>
          <w:lang w:val="en-US"/>
        </w:rPr>
        <w:t xml:space="preserve"> try to constrain as many parameters as possible to be the same between </w:t>
      </w:r>
      <w:proofErr w:type="spellStart"/>
      <w:r w:rsidRPr="003A7F09">
        <w:rPr>
          <w:lang w:val="en-US"/>
        </w:rPr>
        <w:t>IFNa</w:t>
      </w:r>
      <w:proofErr w:type="spellEnd"/>
      <w:r w:rsidRPr="003A7F09">
        <w:rPr>
          <w:lang w:val="en-US"/>
        </w:rPr>
        <w:t xml:space="preserve"> and </w:t>
      </w:r>
      <w:proofErr w:type="spellStart"/>
      <w:r w:rsidRPr="003A7F09">
        <w:rPr>
          <w:lang w:val="en-US"/>
        </w:rPr>
        <w:t>IFNb</w:t>
      </w:r>
      <w:proofErr w:type="spellEnd"/>
      <w:r w:rsidRPr="003A7F09">
        <w:rPr>
          <w:lang w:val="en-US"/>
        </w:rPr>
        <w:t>.</w:t>
      </w:r>
      <w:r w:rsidR="001D1C26" w:rsidRPr="003A7F09">
        <w:rPr>
          <w:lang w:val="en-US"/>
        </w:rPr>
        <w:t xml:space="preserve"> </w:t>
      </w:r>
      <w:r w:rsidR="00C05258">
        <w:rPr>
          <w:lang w:val="en-US"/>
        </w:rPr>
        <w:t>We</w:t>
      </w:r>
      <w:r w:rsidR="001D1C26" w:rsidRPr="003A7F09">
        <w:rPr>
          <w:lang w:val="en-US"/>
        </w:rPr>
        <w:t xml:space="preserve"> found that internalization rates and endosomal phosphorylation rates must differ in order to maintain the same qualitative relationships between dose-response curves. Recycling rates can be identical.</w:t>
      </w:r>
    </w:p>
    <w:p w14:paraId="1C51C5EE" w14:textId="5060E710" w:rsidR="003A7F09" w:rsidRPr="003A7F09" w:rsidRDefault="003A7F09" w:rsidP="003A7F09">
      <w:pPr>
        <w:pStyle w:val="ListParagraph"/>
        <w:numPr>
          <w:ilvl w:val="0"/>
          <w:numId w:val="2"/>
        </w:numPr>
        <w:rPr>
          <w:lang w:val="en-US"/>
        </w:rPr>
      </w:pPr>
      <w:r w:rsidRPr="003A7F09">
        <w:rPr>
          <w:lang w:val="en-US"/>
        </w:rPr>
        <w:t xml:space="preserve">See Figure </w:t>
      </w:r>
      <w:r w:rsidR="008E26AB">
        <w:rPr>
          <w:lang w:val="en-US"/>
        </w:rPr>
        <w:t>4</w:t>
      </w:r>
      <w:bookmarkStart w:id="0" w:name="_GoBack"/>
      <w:bookmarkEnd w:id="0"/>
    </w:p>
    <w:p w14:paraId="61AF7000" w14:textId="14EA00FB" w:rsidR="002D5AFA" w:rsidRDefault="002D5AFA" w:rsidP="002D5AFA">
      <w:pPr>
        <w:rPr>
          <w:lang w:val="en-US"/>
        </w:rPr>
      </w:pPr>
    </w:p>
    <w:p w14:paraId="70345AC6" w14:textId="238B439C" w:rsidR="008E26AB" w:rsidRDefault="008E26AB" w:rsidP="002D5AFA">
      <w:pPr>
        <w:rPr>
          <w:lang w:val="en-US"/>
        </w:rPr>
      </w:pPr>
    </w:p>
    <w:p w14:paraId="30AD7DE2" w14:textId="0AC30226" w:rsidR="008E26AB" w:rsidRDefault="008E26AB" w:rsidP="002D5AFA">
      <w:pPr>
        <w:rPr>
          <w:lang w:val="en-US"/>
        </w:rPr>
      </w:pPr>
    </w:p>
    <w:p w14:paraId="7636245F" w14:textId="161E5609" w:rsidR="008E26AB" w:rsidRDefault="008E26AB" w:rsidP="002D5AFA">
      <w:pPr>
        <w:rPr>
          <w:lang w:val="en-US"/>
        </w:rPr>
      </w:pPr>
    </w:p>
    <w:p w14:paraId="24D7651F" w14:textId="764F2588" w:rsidR="008E26AB" w:rsidRDefault="008E26AB" w:rsidP="002D5AFA">
      <w:pPr>
        <w:rPr>
          <w:lang w:val="en-US"/>
        </w:rPr>
      </w:pPr>
    </w:p>
    <w:p w14:paraId="555FD95A" w14:textId="592230C7" w:rsidR="008E26AB" w:rsidRDefault="008E26AB" w:rsidP="002D5AFA">
      <w:pPr>
        <w:rPr>
          <w:lang w:val="en-US"/>
        </w:rPr>
      </w:pPr>
    </w:p>
    <w:p w14:paraId="0FB62F64" w14:textId="5B44D4C9" w:rsidR="008E26AB" w:rsidRDefault="008E26AB" w:rsidP="002D5AFA">
      <w:pPr>
        <w:rPr>
          <w:lang w:val="en-US"/>
        </w:rPr>
      </w:pPr>
    </w:p>
    <w:p w14:paraId="7AA40B77" w14:textId="0258DC61" w:rsidR="008E26AB" w:rsidRDefault="008E26AB" w:rsidP="002D5AFA">
      <w:pPr>
        <w:rPr>
          <w:lang w:val="en-US"/>
        </w:rPr>
      </w:pPr>
    </w:p>
    <w:p w14:paraId="260B2A5D" w14:textId="15650350" w:rsidR="008E26AB" w:rsidRDefault="008E26AB" w:rsidP="002D5AFA">
      <w:pPr>
        <w:rPr>
          <w:lang w:val="en-US"/>
        </w:rPr>
      </w:pPr>
    </w:p>
    <w:p w14:paraId="5F3CD027" w14:textId="3B0A5BEF" w:rsidR="008E26AB" w:rsidRDefault="008E26AB" w:rsidP="002D5AFA">
      <w:pPr>
        <w:rPr>
          <w:lang w:val="en-US"/>
        </w:rPr>
      </w:pPr>
    </w:p>
    <w:p w14:paraId="1775ABA8" w14:textId="76BF3A07" w:rsidR="008E26AB" w:rsidRDefault="008E26AB" w:rsidP="002D5AFA">
      <w:pPr>
        <w:rPr>
          <w:lang w:val="en-US"/>
        </w:rPr>
      </w:pPr>
      <w:r>
        <w:rPr>
          <w:noProof/>
        </w:rPr>
        <w:drawing>
          <wp:inline distT="0" distB="0" distL="0" distR="0" wp14:anchorId="609B0A84" wp14:editId="36EF4AFC">
            <wp:extent cx="4972050" cy="653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6534150"/>
                    </a:xfrm>
                    <a:prstGeom prst="rect">
                      <a:avLst/>
                    </a:prstGeom>
                  </pic:spPr>
                </pic:pic>
              </a:graphicData>
            </a:graphic>
          </wp:inline>
        </w:drawing>
      </w:r>
    </w:p>
    <w:p w14:paraId="212217DB" w14:textId="1B3E2059" w:rsidR="008E26AB" w:rsidRPr="008E26AB" w:rsidRDefault="008E26AB" w:rsidP="002D5AFA">
      <w:pPr>
        <w:rPr>
          <w:lang w:val="en-US"/>
        </w:rPr>
      </w:pPr>
      <w:r>
        <w:rPr>
          <w:b/>
          <w:lang w:val="en-US"/>
        </w:rPr>
        <w:t>Figure 1</w:t>
      </w:r>
      <w:r>
        <w:rPr>
          <w:lang w:val="en-US"/>
        </w:rPr>
        <w:t>. The data which was qualitatively modelled.</w:t>
      </w:r>
    </w:p>
    <w:p w14:paraId="6EFCE8A9" w14:textId="41FDD544" w:rsidR="0021327C" w:rsidRDefault="00784E5A" w:rsidP="002D5AFA">
      <w:pPr>
        <w:rPr>
          <w:lang w:val="en-US"/>
        </w:rPr>
      </w:pPr>
      <w:r>
        <w:rPr>
          <w:noProof/>
        </w:rPr>
        <w:lastRenderedPageBreak/>
        <w:drawing>
          <wp:inline distT="0" distB="0" distL="0" distR="0" wp14:anchorId="0D256E7A" wp14:editId="69677B71">
            <wp:extent cx="3726728" cy="7505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5728" cy="7523827"/>
                    </a:xfrm>
                    <a:prstGeom prst="rect">
                      <a:avLst/>
                    </a:prstGeom>
                  </pic:spPr>
                </pic:pic>
              </a:graphicData>
            </a:graphic>
          </wp:inline>
        </w:drawing>
      </w:r>
    </w:p>
    <w:p w14:paraId="629EF441" w14:textId="34DD80FE" w:rsidR="00784E5A" w:rsidRDefault="00784E5A" w:rsidP="002D5AFA">
      <w:pPr>
        <w:rPr>
          <w:lang w:val="en-US"/>
        </w:rPr>
      </w:pPr>
      <w:r w:rsidRPr="00784E5A">
        <w:rPr>
          <w:b/>
          <w:lang w:val="en-US"/>
        </w:rPr>
        <w:t xml:space="preserve">Figure </w:t>
      </w:r>
      <w:r w:rsidR="008E26AB">
        <w:rPr>
          <w:b/>
          <w:lang w:val="en-US"/>
        </w:rPr>
        <w:t>2</w:t>
      </w:r>
      <w:r w:rsidR="00C519E9">
        <w:rPr>
          <w:lang w:val="en-US"/>
        </w:rPr>
        <w:t>: Model 1 dose response curves.</w:t>
      </w:r>
    </w:p>
    <w:p w14:paraId="29B4A075" w14:textId="117C7861" w:rsidR="00661FA6" w:rsidRDefault="00661FA6" w:rsidP="002D5AFA">
      <w:pPr>
        <w:rPr>
          <w:lang w:val="en-US"/>
        </w:rPr>
      </w:pPr>
    </w:p>
    <w:p w14:paraId="6F22ECD7" w14:textId="21E36647" w:rsidR="00661FA6" w:rsidRDefault="00661FA6" w:rsidP="002D5AFA">
      <w:pPr>
        <w:rPr>
          <w:lang w:val="en-US"/>
        </w:rPr>
      </w:pPr>
      <w:r>
        <w:rPr>
          <w:noProof/>
        </w:rPr>
        <w:lastRenderedPageBreak/>
        <w:drawing>
          <wp:inline distT="0" distB="0" distL="0" distR="0" wp14:anchorId="154A54E1" wp14:editId="5FA6ED1D">
            <wp:extent cx="5305425" cy="782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7820025"/>
                    </a:xfrm>
                    <a:prstGeom prst="rect">
                      <a:avLst/>
                    </a:prstGeom>
                  </pic:spPr>
                </pic:pic>
              </a:graphicData>
            </a:graphic>
          </wp:inline>
        </w:drawing>
      </w:r>
    </w:p>
    <w:p w14:paraId="2BD7651F" w14:textId="1453F09B" w:rsidR="00661FA6" w:rsidRDefault="00661FA6" w:rsidP="002D5AFA">
      <w:pPr>
        <w:rPr>
          <w:lang w:val="en-US"/>
        </w:rPr>
      </w:pPr>
      <w:r w:rsidRPr="00661FA6">
        <w:rPr>
          <w:b/>
          <w:lang w:val="en-US"/>
        </w:rPr>
        <w:t xml:space="preserve">Figure </w:t>
      </w:r>
      <w:r w:rsidR="008E26AB">
        <w:rPr>
          <w:b/>
          <w:lang w:val="en-US"/>
        </w:rPr>
        <w:t>3</w:t>
      </w:r>
      <w:r>
        <w:rPr>
          <w:lang w:val="en-US"/>
        </w:rPr>
        <w:t>: Model 2 dose-response curves</w:t>
      </w:r>
    </w:p>
    <w:p w14:paraId="55A3F8E4" w14:textId="55D9FA56" w:rsidR="00661FA6" w:rsidRDefault="00661FA6" w:rsidP="002D5AFA">
      <w:pPr>
        <w:rPr>
          <w:lang w:val="en-US"/>
        </w:rPr>
      </w:pPr>
      <w:r>
        <w:rPr>
          <w:noProof/>
        </w:rPr>
        <w:lastRenderedPageBreak/>
        <w:drawing>
          <wp:inline distT="0" distB="0" distL="0" distR="0" wp14:anchorId="46DBCBB5" wp14:editId="08418D64">
            <wp:extent cx="5943600" cy="703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37705"/>
                    </a:xfrm>
                    <a:prstGeom prst="rect">
                      <a:avLst/>
                    </a:prstGeom>
                  </pic:spPr>
                </pic:pic>
              </a:graphicData>
            </a:graphic>
          </wp:inline>
        </w:drawing>
      </w:r>
    </w:p>
    <w:p w14:paraId="26659A3F" w14:textId="4E2C4F46" w:rsidR="00661FA6" w:rsidRPr="00661FA6" w:rsidRDefault="00661FA6" w:rsidP="002D5AFA">
      <w:pPr>
        <w:rPr>
          <w:lang w:val="en-US"/>
        </w:rPr>
      </w:pPr>
      <w:r>
        <w:rPr>
          <w:b/>
          <w:lang w:val="en-US"/>
        </w:rPr>
        <w:t xml:space="preserve">Figure </w:t>
      </w:r>
      <w:r w:rsidR="008E26AB">
        <w:rPr>
          <w:b/>
          <w:lang w:val="en-US"/>
        </w:rPr>
        <w:t>4</w:t>
      </w:r>
      <w:r>
        <w:rPr>
          <w:lang w:val="en-US"/>
        </w:rPr>
        <w:t>: A minimal Model 2.</w:t>
      </w:r>
    </w:p>
    <w:p w14:paraId="5C477966" w14:textId="3D09351E" w:rsidR="00C519E9" w:rsidRDefault="00C519E9" w:rsidP="002D5AFA">
      <w:pPr>
        <w:rPr>
          <w:lang w:val="en-US"/>
        </w:rPr>
      </w:pPr>
    </w:p>
    <w:p w14:paraId="25478B6E" w14:textId="77777777" w:rsidR="00C519E9" w:rsidRPr="00C519E9" w:rsidRDefault="00C519E9" w:rsidP="002D5AFA">
      <w:pPr>
        <w:rPr>
          <w:lang w:val="en-US"/>
        </w:rPr>
      </w:pPr>
    </w:p>
    <w:sectPr w:rsidR="00C519E9" w:rsidRPr="00C519E9" w:rsidSect="00384946">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04887" w14:textId="77777777" w:rsidR="004C77DF" w:rsidRDefault="004C77DF" w:rsidP="00757F0A">
      <w:pPr>
        <w:spacing w:after="0" w:line="240" w:lineRule="auto"/>
      </w:pPr>
      <w:r>
        <w:separator/>
      </w:r>
    </w:p>
  </w:endnote>
  <w:endnote w:type="continuationSeparator" w:id="0">
    <w:p w14:paraId="4F9072AB" w14:textId="77777777" w:rsidR="004C77DF" w:rsidRDefault="004C77DF" w:rsidP="0075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F84B7" w14:textId="77777777" w:rsidR="004C77DF" w:rsidRDefault="004C77DF" w:rsidP="00757F0A">
      <w:pPr>
        <w:spacing w:after="0" w:line="240" w:lineRule="auto"/>
      </w:pPr>
      <w:r>
        <w:separator/>
      </w:r>
    </w:p>
  </w:footnote>
  <w:footnote w:type="continuationSeparator" w:id="0">
    <w:p w14:paraId="1C6392DB" w14:textId="77777777" w:rsidR="004C77DF" w:rsidRDefault="004C77DF" w:rsidP="00757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9DE21" w14:textId="77777777" w:rsidR="00384946" w:rsidRDefault="00384946" w:rsidP="00384946">
    <w:pPr>
      <w:pStyle w:val="Header"/>
      <w:jc w:val="right"/>
      <w:rPr>
        <w:lang w:val="en-US"/>
      </w:rPr>
    </w:pPr>
    <w:r>
      <w:rPr>
        <w:lang w:val="en-US"/>
      </w:rPr>
      <w:t>Duncan Kirby</w:t>
    </w:r>
  </w:p>
  <w:p w14:paraId="06CB707B" w14:textId="77777777" w:rsidR="00384946" w:rsidRDefault="00384946" w:rsidP="00384946">
    <w:pPr>
      <w:pStyle w:val="Header"/>
      <w:jc w:val="right"/>
      <w:rPr>
        <w:lang w:val="en-US"/>
      </w:rPr>
    </w:pPr>
    <w:r>
      <w:rPr>
        <w:lang w:val="en-US"/>
      </w:rPr>
      <w:t>University of Toronto</w:t>
    </w:r>
  </w:p>
  <w:p w14:paraId="45A6E604" w14:textId="2C679336" w:rsidR="00384946" w:rsidRDefault="00384946" w:rsidP="00384946">
    <w:pPr>
      <w:pStyle w:val="Header"/>
      <w:jc w:val="right"/>
      <w:rPr>
        <w:lang w:val="en-US"/>
      </w:rPr>
    </w:pPr>
    <w:r>
      <w:rPr>
        <w:lang w:val="en-US"/>
      </w:rPr>
      <w:t>1</w:t>
    </w:r>
    <w:r w:rsidR="000E4AC1">
      <w:rPr>
        <w:lang w:val="en-US"/>
      </w:rPr>
      <w:t>3</w:t>
    </w:r>
    <w:r>
      <w:rPr>
        <w:lang w:val="en-US"/>
      </w:rPr>
      <w:t>/02/2019</w:t>
    </w:r>
  </w:p>
  <w:p w14:paraId="354C2F62" w14:textId="77777777" w:rsidR="00384946" w:rsidRDefault="00384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558"/>
    <w:multiLevelType w:val="hybridMultilevel"/>
    <w:tmpl w:val="6CCC4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941FEE"/>
    <w:multiLevelType w:val="hybridMultilevel"/>
    <w:tmpl w:val="D228C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3E"/>
    <w:rsid w:val="000E4AC1"/>
    <w:rsid w:val="000F0DB8"/>
    <w:rsid w:val="001066E2"/>
    <w:rsid w:val="0018190E"/>
    <w:rsid w:val="001D1C26"/>
    <w:rsid w:val="0021327C"/>
    <w:rsid w:val="002B273E"/>
    <w:rsid w:val="002C31EF"/>
    <w:rsid w:val="002D5AFA"/>
    <w:rsid w:val="00384946"/>
    <w:rsid w:val="003A7F09"/>
    <w:rsid w:val="004B17DD"/>
    <w:rsid w:val="004C77DF"/>
    <w:rsid w:val="00661FA6"/>
    <w:rsid w:val="00757F0A"/>
    <w:rsid w:val="00784E5A"/>
    <w:rsid w:val="00805873"/>
    <w:rsid w:val="008E26AB"/>
    <w:rsid w:val="00985978"/>
    <w:rsid w:val="009D1FAB"/>
    <w:rsid w:val="00C05258"/>
    <w:rsid w:val="00C519E9"/>
    <w:rsid w:val="00EC67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3418"/>
  <w15:chartTrackingRefBased/>
  <w15:docId w15:val="{D789E97C-956B-478F-821E-428F9EDF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AB"/>
    <w:pPr>
      <w:ind w:left="720"/>
      <w:contextualSpacing/>
    </w:pPr>
  </w:style>
  <w:style w:type="paragraph" w:styleId="Header">
    <w:name w:val="header"/>
    <w:basedOn w:val="Normal"/>
    <w:link w:val="HeaderChar"/>
    <w:uiPriority w:val="99"/>
    <w:unhideWhenUsed/>
    <w:rsid w:val="00757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F0A"/>
  </w:style>
  <w:style w:type="paragraph" w:styleId="Footer">
    <w:name w:val="footer"/>
    <w:basedOn w:val="Normal"/>
    <w:link w:val="FooterChar"/>
    <w:uiPriority w:val="99"/>
    <w:unhideWhenUsed/>
    <w:rsid w:val="00757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Kirby</dc:creator>
  <cp:keywords/>
  <dc:description/>
  <cp:lastModifiedBy>Duncan Kirby</cp:lastModifiedBy>
  <cp:revision>17</cp:revision>
  <dcterms:created xsi:type="dcterms:W3CDTF">2019-02-12T18:54:00Z</dcterms:created>
  <dcterms:modified xsi:type="dcterms:W3CDTF">2019-02-13T23:02:00Z</dcterms:modified>
</cp:coreProperties>
</file>