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软件程序说明</w:t>
      </w:r>
    </w:p>
    <w:p>
      <w:pPr>
        <w:jc w:val="center"/>
      </w:pPr>
      <w:r>
        <w:rPr>
          <w:b/>
        </w:rPr>
        <w:t>正向仿真、智能预测、相似度评估与红外场景构建统一运行说明</w:t>
      </w:r>
    </w:p>
    <w:p>
      <w:pPr>
        <w:pStyle w:val="Heading1"/>
      </w:pPr>
      <w:r>
        <w:t>1 软件组成与统一入口</w:t>
      </w:r>
    </w:p>
    <w:p>
      <w:pPr>
        <w:spacing w:line="300" w:lineRule="auto" w:after="120"/>
      </w:pPr>
      <w:r>
        <w:t>软件由 01-正向仿真、02-智能预测、03-相似度评估和 04-红外场景构建四个模块组成。GUI 和外部调用程序只调用各模块标准入口，不直接修改 Fortran 源程序、模型文件或内部数值配置。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3173"/>
          </w:tcPr>
          <w:p>
            <w:r>
              <w:rPr>
                <w:b/>
              </w:rPr>
              <w:t>标准入口</w:t>
            </w:r>
          </w:p>
        </w:tc>
        <w:tc>
          <w:tcPr>
            <w:tcW w:type="dxa" w:w="3173"/>
          </w:tcPr>
          <w:p>
            <w:r>
              <w:rPr>
                <w:b/>
              </w:rPr>
              <w:t>接口定位</w:t>
            </w:r>
          </w:p>
        </w:tc>
      </w:tr>
      <w:tr>
        <w:tc>
          <w:tcPr>
            <w:tcW w:type="dxa" w:w="3173"/>
          </w:tcPr>
          <w:p>
            <w:r>
              <w:t>01 正向仿真</w:t>
            </w:r>
          </w:p>
        </w:tc>
        <w:tc>
          <w:tcPr>
            <w:tcW w:type="dxa" w:w="3173"/>
          </w:tcPr>
          <w:p>
            <w:r>
              <w:t>forward_simulation_runner.py</w:t>
            </w:r>
          </w:p>
        </w:tc>
        <w:tc>
          <w:tcPr>
            <w:tcW w:type="dxa" w:w="3173"/>
          </w:tcPr>
          <w:p>
            <w:r>
              <w:t>完整场景/物理请求 → clean input → Fortran 正向计算</w:t>
            </w:r>
          </w:p>
        </w:tc>
      </w:tr>
      <w:tr>
        <w:tc>
          <w:tcPr>
            <w:tcW w:type="dxa" w:w="3173"/>
          </w:tcPr>
          <w:p>
            <w:r>
              <w:t>02 智能预测</w:t>
            </w:r>
          </w:p>
        </w:tc>
        <w:tc>
          <w:tcPr>
            <w:tcW w:type="dxa" w:w="3173"/>
          </w:tcPr>
          <w:p>
            <w:r>
              <w:t>surrogate_prediction_runner.py</w:t>
            </w:r>
          </w:p>
        </w:tc>
        <w:tc>
          <w:tcPr>
            <w:tcW w:type="dxa" w:w="3173"/>
          </w:tcPr>
          <w:p>
            <w:r>
              <w:t>代理模型既定特征 → 温度/点图像快速预测</w:t>
            </w:r>
          </w:p>
        </w:tc>
      </w:tr>
      <w:tr>
        <w:tc>
          <w:tcPr>
            <w:tcW w:type="dxa" w:w="3173"/>
          </w:tcPr>
          <w:p>
            <w:r>
              <w:t>03 相似度评估</w:t>
            </w:r>
          </w:p>
        </w:tc>
        <w:tc>
          <w:tcPr>
            <w:tcW w:type="dxa" w:w="3173"/>
          </w:tcPr>
          <w:p>
            <w:r>
              <w:t>similarity_evaluator.py</w:t>
            </w:r>
          </w:p>
        </w:tc>
        <w:tc>
          <w:tcPr>
            <w:tcW w:type="dxa" w:w="3173"/>
          </w:tcPr>
          <w:p>
            <w:r>
              <w:t>目标与候选温度曲线 → 误差/相似度指标</w:t>
            </w:r>
          </w:p>
        </w:tc>
      </w:tr>
      <w:tr>
        <w:tc>
          <w:tcPr>
            <w:tcW w:type="dxa" w:w="3173"/>
          </w:tcPr>
          <w:p>
            <w:r>
              <w:t>04 红外场景构建</w:t>
            </w:r>
          </w:p>
        </w:tc>
        <w:tc>
          <w:tcPr>
            <w:tcW w:type="dxa" w:w="3173"/>
          </w:tcPr>
          <w:p>
            <w:r>
              <w:t>scene_search_controller.py</w:t>
            </w:r>
          </w:p>
        </w:tc>
        <w:tc>
          <w:tcPr>
            <w:tcW w:type="dxa" w:w="3173"/>
          </w:tcPr>
          <w:p>
            <w:r>
              <w:t>候选搜索 → 代理预筛 → 01真实正向复核 → 有效方案</w:t>
            </w:r>
          </w:p>
        </w:tc>
      </w:tr>
    </w:tbl>
    <w:p/>
    <w:p>
      <w:pPr>
        <w:spacing w:line="300" w:lineRule="auto" w:after="120"/>
      </w:pPr>
      <w:r>
        <w:t>01 与 02 不再使用同一个“通用三参数合同”。02 的 q_int、emissivity_ir、absorptivity_solar 是代理模型训练特征；01 则采用新版 forward-request-v1 完整输入合同。04 的三参数搜索范围属于其代理模型应用域，不代表 01 正向程序的通用输入范围。</w:t>
      </w:r>
    </w:p>
    <w:p>
      <w:pPr>
        <w:pStyle w:val="Heading1"/>
      </w:pPr>
      <w:r>
        <w:t>2 模块01：正向仿真</w:t>
      </w:r>
    </w:p>
    <w:p>
      <w:pPr>
        <w:pStyle w:val="Heading2"/>
      </w:pPr>
      <w:r>
        <w:t>2.1 正式输入合同</w:t>
      </w:r>
    </w:p>
    <w:p>
      <w:pPr>
        <w:spacing w:line="300" w:lineRule="auto" w:after="120"/>
      </w:pPr>
      <w:r>
        <w:t>01 的 request.json 必须显式包含 CASE、ENVIRONMENT、GROUP_STATE、OBSERVATION、TARGET_PHYSICS、TARGET_SCENE 六个分区。所有业务、场景与物理字段都必须明确给出；统一入口不使用默认参数或固定模板补全缺失业务字段。</w:t>
      </w:r>
    </w:p>
    <w:p>
      <w:pPr>
        <w:ind w:left="340"/>
      </w:pPr>
      <w:r>
        <w:rPr>
          <w:rFonts w:ascii="Consolas" w:hAnsi="Consolas"/>
          <w:sz w:val="18"/>
        </w:rPr>
        <w:t>python forward_simulation_runner.py --params-json request.json</w:t>
      </w:r>
    </w:p>
    <w:p>
      <w:pPr>
        <w:ind w:left="340"/>
      </w:pPr>
      <w:r>
        <w:rPr>
          <w:rFonts w:ascii="Consolas" w:hAnsi="Consolas"/>
          <w:sz w:val="18"/>
        </w:rPr>
        <w:t>python forward_simulation_runner.py --params-json request.json --prepare-only</w:t>
      </w:r>
    </w:p>
    <w:p>
      <w:pPr>
        <w:spacing w:line="300" w:lineRule="auto" w:after="120"/>
      </w:pPr>
      <w:r>
        <w:t>完整字段、单位、所有权和约束见 00-软件参数接口表.xlsx 以及 01-正向仿真/00-正向仿真模块统一说明.docx。可直接复制 01-正向仿真/01-输入文件/forward_request_example.json 创建新任务。</w:t>
      </w:r>
    </w:p>
    <w:p>
      <w:pPr>
        <w:pStyle w:val="Heading2"/>
      </w:pPr>
      <w:r>
        <w:t>2.2 输入生成与求解</w:t>
      </w:r>
    </w:p>
    <w:p>
      <w:pPr>
        <w:ind w:left="340"/>
      </w:pPr>
      <w:r>
        <w:rPr>
          <w:rFonts w:ascii="Consolas" w:hAnsi="Consolas"/>
          <w:sz w:val="18"/>
        </w:rPr>
        <w:t>request.json</w:t>
        <w:br/>
        <w:t xml:space="preserve">  ↓ 严格参数校验</w:t>
        <w:br/>
        <w:t>case_config.json</w:t>
        <w:br/>
        <w:t xml:space="preserve">  ↓ generate_clean_formal_case.py</w:t>
        <w:br/>
        <w:t>input.dat</w:t>
        <w:br/>
        <w:t xml:space="preserve">  ↓ production_main_output_interface.exe</w:t>
        <w:br/>
        <w:t>正式业务输出</w:t>
      </w:r>
    </w:p>
    <w:p>
      <w:pPr>
        <w:spacing w:line="300" w:lineRule="auto" w:after="120"/>
      </w:pPr>
      <w:r>
        <w:t>clean_case_template.dat 仅定义 clean input 的序列化格式，不提供业务默认值。formal_16target_scene_physics.json 作为基准场景与回归验证数据保留，不作为运行时 fallback。</w:t>
      </w:r>
    </w:p>
    <w:p>
      <w:pPr>
        <w:pStyle w:val="Heading2"/>
      </w:pPr>
      <w:r>
        <w:t>2.3 内部冻结参数</w:t>
      </w:r>
    </w:p>
    <w:p>
      <w:pPr>
        <w:spacing w:line="300" w:lineRule="auto" w:after="120"/>
      </w:pPr>
      <w:r>
        <w:t>TIME_STEP、ORBIT_INTEGRATOR_DT、Monte Carlo 射线数、最大反射次数、随机种子、成像网格等属于内部数值可靠性配置，由 production_numerical_config.json 持有；输出/QA 写盘策略由 production_output_policy.inc 控制。这些字段不能通过业务 request.json 覆盖。</w:t>
      </w:r>
    </w:p>
    <w:p>
      <w:pPr>
        <w:pStyle w:val="Heading2"/>
      </w:pPr>
      <w:r>
        <w:t>2.4 正式输出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4759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4759"/>
          </w:tcPr>
          <w:p>
            <w:r>
              <w:t>temperature_history.csv</w:t>
            </w:r>
          </w:p>
        </w:tc>
        <w:tc>
          <w:tcPr>
            <w:tcW w:type="dxa" w:w="4759"/>
          </w:tcPr>
          <w:p>
            <w:r>
              <w:t>全部目标瞬态温度历史；唯一正式温度真值源</w:t>
            </w:r>
          </w:p>
        </w:tc>
      </w:tr>
      <w:tr>
        <w:tc>
          <w:tcPr>
            <w:tcW w:type="dxa" w:w="4759"/>
          </w:tcPr>
          <w:p>
            <w:r>
              <w:t>infrared_response_history.csv</w:t>
            </w:r>
          </w:p>
        </w:tc>
        <w:tc>
          <w:tcPr>
            <w:tcW w:type="dxa" w:w="4759"/>
          </w:tcPr>
          <w:p>
            <w:r>
              <w:t>逐帧逐目标红外辐射、探测器接收功率、像面位置等</w:t>
            </w:r>
          </w:p>
        </w:tc>
      </w:tr>
      <w:tr>
        <w:tc>
          <w:tcPr>
            <w:tcW w:type="dxa" w:w="4759"/>
          </w:tcPr>
          <w:p>
            <w:r>
              <w:t>solver_status.txt</w:t>
            </w:r>
          </w:p>
        </w:tc>
        <w:tc>
          <w:tcPr>
            <w:tcW w:type="dxa" w:w="4759"/>
          </w:tcPr>
          <w:p>
            <w:r>
              <w:t>求解状态、结果有效性与消息</w:t>
            </w:r>
          </w:p>
        </w:tc>
      </w:tr>
      <w:tr>
        <w:tc>
          <w:tcPr>
            <w:tcW w:type="dxa" w:w="4759"/>
          </w:tcPr>
          <w:p>
            <w:r>
              <w:t>run_metadata.json</w:t>
            </w:r>
          </w:p>
        </w:tc>
        <w:tc>
          <w:tcPr>
            <w:tcW w:type="dxa" w:w="4759"/>
          </w:tcPr>
          <w:p>
            <w:r>
              <w:t>输入、程序、内部配置和运行过程溯源</w:t>
            </w:r>
          </w:p>
        </w:tc>
      </w:tr>
      <w:tr>
        <w:tc>
          <w:tcPr>
            <w:tcW w:type="dxa" w:w="4759"/>
          </w:tcPr>
          <w:p>
            <w:r>
              <w:t>frame_summary.csv</w:t>
            </w:r>
          </w:p>
        </w:tc>
        <w:tc>
          <w:tcPr>
            <w:tcW w:type="dxa" w:w="4759"/>
          </w:tcPr>
          <w:p>
            <w:r>
              <w:t>轻量帧级汇总，不作为独立真值源</w:t>
            </w:r>
          </w:p>
        </w:tc>
      </w:tr>
    </w:tbl>
    <w:p/>
    <w:p>
      <w:pPr>
        <w:spacing w:line="300" w:lineRule="auto" w:after="120"/>
      </w:pPr>
      <w:r>
        <w:t>二维探测器图像不再作为每帧大文件重复写盘，可由 reconstruct_detector_image.py 使用 infrared_response_history.csv 和 run_metadata.json 按冻结的 256×256 成像合同确定性重构。</w:t>
      </w:r>
    </w:p>
    <w:p>
      <w:pPr>
        <w:pStyle w:val="Heading1"/>
      </w:pPr>
      <w:r>
        <w:t>3 模块02：智能预测</w:t>
      </w:r>
    </w:p>
    <w:p>
      <w:pPr>
        <w:spacing w:line="300" w:lineRule="auto" w:after="120"/>
      </w:pPr>
      <w:r>
        <w:t>02 的温度代理与点图像代理继续使用其训练时定义的特征合同。当前核心物理特征包括 q_int、emissivity_ir、absorptivity_solar；其有效范围应由模型训练域和模型元数据约束，而不是反向规定 01 正向程序的输入范围。</w:t>
      </w:r>
    </w:p>
    <w:p>
      <w:pPr>
        <w:ind w:left="340"/>
      </w:pPr>
      <w:r>
        <w:rPr>
          <w:rFonts w:ascii="Consolas" w:hAnsi="Consolas"/>
          <w:sz w:val="18"/>
        </w:rPr>
        <w:t>python surrogate_prediction_runner.py --params-json request.json --mode both</w:t>
      </w:r>
    </w:p>
    <w:p>
      <w:pPr>
        <w:spacing w:line="300" w:lineRule="auto" w:after="120"/>
      </w:pPr>
      <w:r>
        <w:t>温度模型输出 temperature_prediction.csv；点图像模型输出逐目标/逐时刻预测及帧级汇总。02 的训练数据集不作为正式运行依赖。</w:t>
      </w:r>
    </w:p>
    <w:p>
      <w:pPr>
        <w:pStyle w:val="Heading1"/>
      </w:pPr>
      <w:r>
        <w:t>4 模块03：相似度评估</w:t>
      </w:r>
    </w:p>
    <w:p>
      <w:pPr>
        <w:spacing w:line="300" w:lineRule="auto" w:after="120"/>
      </w:pPr>
      <w:r>
        <w:t>03 比较目标温度曲线与候选温度曲线，输入曲线必须使用一致时间轴。程序计算全过程 RMSE、MAE、最大绝对误差、终态绝对误差、平台段平均偏差绝对值和早期最大绝对误差等指标。具体评价窗口由评价任务配置确定，不在通用指标定义中固定为 1000 s。</w:t>
      </w:r>
    </w:p>
    <w:p>
      <w:pPr>
        <w:pStyle w:val="Heading1"/>
      </w:pPr>
      <w:r>
        <w:t>5 模块04：红外场景构建</w:t>
      </w:r>
    </w:p>
    <w:p>
      <w:pPr>
        <w:spacing w:line="300" w:lineRule="auto" w:after="120"/>
      </w:pPr>
      <w:r>
        <w:t>04 使用代理模型对候选参数进行快速筛选，并在需要真实确认时调用 01 正向仿真。其候选池目前仍可围绕 q_int、emissivity_ir、absorptivity_solar 三个代理特征建立，这是 04 的应用层搜索空间。</w:t>
      </w:r>
    </w:p>
    <w:p>
      <w:pPr>
        <w:spacing w:line="300" w:lineRule="auto" w:after="120"/>
      </w:pPr>
      <w:r>
        <w:t>进入 01 真实正向复核前，04 内部桥接程序会以正式 16 目标场景请求为基础显式构造完整 forward-request-v1，将候选 q_int、eps_ir、alpha_s 及相应 rho_ir 写入 TARGET_PHYSICS，再调用 01 的统一入口。因此 04 不再直接维护旧式 input.dat 或旧 Fortran EXE。</w:t>
      </w:r>
    </w:p>
    <w:p>
      <w:pPr>
        <w:ind w:left="340"/>
      </w:pPr>
      <w:r>
        <w:rPr>
          <w:rFonts w:ascii="Consolas" w:hAnsi="Consolas"/>
          <w:sz w:val="18"/>
        </w:rPr>
        <w:t>候选池 → 02代理预筛 → 构造完整01请求 → 01真实正向复核 → 03指标判定 → 有效参数组合 → 点图像预测</w:t>
      </w:r>
    </w:p>
    <w:p>
      <w:pPr>
        <w:pStyle w:val="Heading1"/>
      </w:pPr>
      <w:r>
        <w:t>6 目录与关键文件</w:t>
      </w:r>
    </w:p>
    <w:p>
      <w:pPr>
        <w:ind w:left="340"/>
      </w:pPr>
      <w:r>
        <w:rPr>
          <w:rFonts w:ascii="Consolas" w:hAnsi="Consolas"/>
          <w:sz w:val="18"/>
        </w:rPr>
        <w:t>程序说明/</w:t>
        <w:br/>
        <w:t>├─ config.json</w:t>
        <w:br/>
        <w:t>├─ 00-软件程序说明.docx</w:t>
        <w:br/>
        <w:t>├─ 00-软件参数接口表.xlsx</w:t>
        <w:br/>
        <w:t>├─ 01-正向仿真/</w:t>
        <w:br/>
        <w:t>│  ├─ 00-正向仿真模块统一说明.docx</w:t>
        <w:br/>
        <w:t>│  ├─ 01-输入文件/forward_request_example.json</w:t>
        <w:br/>
        <w:t>│  ├─ 01-输入文件/forward_request_schema.json</w:t>
        <w:br/>
        <w:t>│  └─ 02-程序/forward_simulation_runner.py</w:t>
        <w:br/>
        <w:t>├─ 02-智能预测/</w:t>
        <w:br/>
        <w:t>├─ 03-相似度评估/</w:t>
        <w:br/>
        <w:t>└─ 04-红外场景构建/</w:t>
      </w:r>
    </w:p>
    <w:p>
      <w:pPr>
        <w:spacing w:line="300" w:lineRule="auto" w:after="120"/>
      </w:pPr>
      <w:r>
        <w:t>新版 01 原先分散的 clean input schema、business output schema、detector image reconstruction contract、output policy、output assessment、task handoff 以及上一版三参数适配说明已整合。正式用户说明以本文件、01 模块统一说明和参数接口表为准；JSON/INC 等机器配置文件作为程序合同与冻结证据保留。</w:t>
      </w:r>
    </w:p>
    <w:p>
      <w:pPr>
        <w:pStyle w:val="Heading1"/>
      </w:pPr>
      <w:r>
        <w:t>7 运行环境与状态输出</w:t>
      </w:r>
    </w:p>
    <w:p>
      <w:pPr>
        <w:spacing w:line="300" w:lineRule="auto" w:after="120"/>
      </w:pPr>
      <w:r>
        <w:t>标准入口通过 GUI_PROGRESS {JSON} 输出可解析进度消息。01 随包正式求解器为 Windows EXE，因此完整正向运行及 04 中的真实正向复核应在 Windows 接收环境完成；非 Windows 环境可使用 --prepare-only 验证 01 的完整请求校验和 clean input 生成链。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