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01-正向仿真模块统一说明</w:t>
      </w:r>
    </w:p>
    <w:p>
      <w:pPr>
        <w:jc w:val="center"/>
      </w:pPr>
      <w:r>
        <w:rPr>
          <w:b/>
        </w:rPr>
        <w:t>统一入口、输入参数合同、输出接口与文件职责</w:t>
      </w:r>
    </w:p>
    <w:p>
      <w:pPr>
        <w:pStyle w:val="Heading1"/>
      </w:pPr>
      <w:r>
        <w:t>1 模块定位</w:t>
      </w:r>
    </w:p>
    <w:p>
      <w:pPr>
        <w:spacing w:after="120" w:line="300" w:lineRule="auto"/>
      </w:pPr>
      <w:r>
        <w:t>本模块完成多目标红外场景的正向物理计算。统一入口为 02-程序/forward_simulation_runner.py，正式求解内核为 02-程序/production_main_output_interface.exe。统一入口负责完整业务参数校验、clean input 生成、求解器调用和正式输出检查。</w:t>
      </w:r>
    </w:p>
    <w:p>
      <w:pPr>
        <w:spacing w:after="120" w:line="300" w:lineRule="auto"/>
      </w:pPr>
      <w:r>
        <w:t>新版接口不再采用旧版“三个开放参数 + 固定模板补全”的方式。所有业务、场景和物理输入必须显式给出；不存在业务参数默认值或 fallback。数值可靠性参数与输出策略由内部冻结配置持有，不能通过业务输入修改。</w:t>
      </w:r>
    </w:p>
    <w:p>
      <w:pPr>
        <w:pStyle w:val="Heading1"/>
      </w:pPr>
      <w:r>
        <w:t>2 正式调用方式</w:t>
      </w:r>
    </w:p>
    <w:p>
      <w:pPr>
        <w:spacing w:after="120"/>
        <w:ind w:left="340"/>
      </w:pPr>
      <w:r>
        <w:rPr>
          <w:rFonts w:ascii="Consolas" w:hAnsi="Consolas" w:eastAsia="等线"/>
          <w:sz w:val="19"/>
        </w:rPr>
        <w:t>python forward_simulation_runner.py --params-json request.json</w:t>
      </w:r>
    </w:p>
    <w:p>
      <w:pPr>
        <w:spacing w:after="120" w:line="300" w:lineRule="auto"/>
      </w:pPr>
      <w:r>
        <w:t>仅检查完整参数合同并生成 input.dat 时，可使用：</w:t>
      </w:r>
    </w:p>
    <w:p>
      <w:pPr>
        <w:spacing w:after="120"/>
        <w:ind w:left="340"/>
      </w:pPr>
      <w:r>
        <w:rPr>
          <w:rFonts w:ascii="Consolas" w:hAnsi="Consolas" w:eastAsia="等线"/>
          <w:sz w:val="19"/>
        </w:rPr>
        <w:t>python forward_simulation_runner.py --params-json request.json --prepare-only</w:t>
      </w:r>
    </w:p>
    <w:p>
      <w:pPr>
        <w:spacing w:after="120" w:line="300" w:lineRule="auto"/>
      </w:pPr>
      <w:r>
        <w:t>01-输入文件/forward_request_example.json 为可直接复制修改的正式请求示例；forward_request_schema.json 为机器可读的参数合同摘要。</w:t>
      </w:r>
    </w:p>
    <w:p>
      <w:pPr>
        <w:pStyle w:val="Heading1"/>
      </w:pPr>
      <w:r>
        <w:t>3 输入参数组织</w:t>
      </w:r>
    </w:p>
    <w:p>
      <w:pPr>
        <w:spacing w:after="120" w:line="300" w:lineRule="auto"/>
      </w:pPr>
      <w:r>
        <w:t>request.json 必须且只能包含 CASE、ENVIRONMENT、GROUP_STATE、OBSERVATION、TARGET_PHYSICS、TARGET_SCENE 六个顶层分区。缺失分区、未知分区、缺失字段和额外字段均由统一入口直接拒绝。</w:t>
      </w:r>
    </w:p>
    <w:p>
      <w:pPr>
        <w:pStyle w:val="Heading2"/>
      </w:pPr>
      <w:r>
        <w:t>3.1 CASE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154"/>
            <w:vAlign w:val="center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2948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948"/>
            <w:vAlign w:val="center"/>
          </w:tcPr>
          <w:p>
            <w:r>
              <w:rPr>
                <w:b/>
              </w:rPr>
              <w:t>约束</w:t>
            </w:r>
          </w:p>
        </w:tc>
      </w:tr>
      <w:tr>
        <w:tc>
          <w:tcPr>
            <w:tcW w:type="dxa" w:w="2154"/>
            <w:vAlign w:val="center"/>
          </w:tcPr>
          <w:p>
            <w:r>
              <w:t>TOTAL_TIME</w:t>
            </w:r>
          </w:p>
        </w:tc>
        <w:tc>
          <w:tcPr>
            <w:tcW w:type="dxa" w:w="1134"/>
            <w:vAlign w:val="center"/>
          </w:tcPr>
          <w:p>
            <w:r>
              <w:t>s</w:t>
            </w:r>
          </w:p>
        </w:tc>
        <w:tc>
          <w:tcPr>
            <w:tcW w:type="dxa" w:w="2948"/>
            <w:vAlign w:val="center"/>
          </w:tcPr>
          <w:p>
            <w:r>
              <w:t>仿真总时间</w:t>
            </w:r>
          </w:p>
        </w:tc>
        <w:tc>
          <w:tcPr>
            <w:tcW w:type="dxa" w:w="2948"/>
            <w:vAlign w:val="center"/>
          </w:tcPr>
          <w:p>
            <w:r>
              <w:t>有限且 &gt; 0</w:t>
            </w:r>
          </w:p>
        </w:tc>
      </w:tr>
      <w:tr>
        <w:tc>
          <w:tcPr>
            <w:tcW w:type="dxa" w:w="2154"/>
            <w:vAlign w:val="center"/>
          </w:tcPr>
          <w:p>
            <w:r>
              <w:t>NUM_SPHERES</w:t>
            </w:r>
          </w:p>
        </w:tc>
        <w:tc>
          <w:tcPr>
            <w:tcW w:type="dxa" w:w="1134"/>
            <w:vAlign w:val="center"/>
          </w:tcPr>
          <w:p>
            <w:r>
              <w:t>-</w:t>
            </w:r>
          </w:p>
        </w:tc>
        <w:tc>
          <w:tcPr>
            <w:tcW w:type="dxa" w:w="2948"/>
            <w:vAlign w:val="center"/>
          </w:tcPr>
          <w:p>
            <w:r>
              <w:t>目标总数</w:t>
            </w:r>
          </w:p>
        </w:tc>
        <w:tc>
          <w:tcPr>
            <w:tcW w:type="dxa" w:w="2948"/>
            <w:vAlign w:val="center"/>
          </w:tcPr>
          <w:p>
            <w:r>
              <w:t>正整数</w:t>
            </w:r>
          </w:p>
        </w:tc>
      </w:tr>
    </w:tbl>
    <w:p/>
    <w:p>
      <w:pPr>
        <w:pStyle w:val="Heading2"/>
      </w:pPr>
      <w:r>
        <w:t>3.2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  <w:vAlign w:val="center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1134"/>
            <w:vAlign w:val="center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2835"/>
            <w:vAlign w:val="center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35"/>
            <w:vAlign w:val="center"/>
          </w:tcPr>
          <w:p>
            <w:r>
              <w:rPr>
                <w:b/>
              </w:rPr>
              <w:t>约束</w:t>
            </w:r>
          </w:p>
        </w:tc>
      </w:tr>
      <w:tr>
        <w:tc>
          <w:tcPr>
            <w:tcW w:type="dxa" w:w="2381"/>
            <w:vAlign w:val="center"/>
          </w:tcPr>
          <w:p>
            <w:r>
              <w:t>SOLAR_FLUX</w:t>
            </w:r>
          </w:p>
        </w:tc>
        <w:tc>
          <w:tcPr>
            <w:tcW w:type="dxa" w:w="1134"/>
            <w:vAlign w:val="center"/>
          </w:tcPr>
          <w:p>
            <w:r>
              <w:t>W/m²</w:t>
            </w:r>
          </w:p>
        </w:tc>
        <w:tc>
          <w:tcPr>
            <w:tcW w:type="dxa" w:w="2835"/>
            <w:vAlign w:val="center"/>
          </w:tcPr>
          <w:p>
            <w:r>
              <w:t>太阳辐照度</w:t>
            </w:r>
          </w:p>
        </w:tc>
        <w:tc>
          <w:tcPr>
            <w:tcW w:type="dxa" w:w="2835"/>
            <w:vAlign w:val="center"/>
          </w:tcPr>
          <w:p>
            <w:r>
              <w:t>有限数值</w:t>
            </w:r>
          </w:p>
        </w:tc>
      </w:tr>
      <w:tr>
        <w:tc>
          <w:tcPr>
            <w:tcW w:type="dxa" w:w="2381"/>
            <w:vAlign w:val="center"/>
          </w:tcPr>
          <w:p>
            <w:r>
              <w:t>SOLAR_DIRECTION</w:t>
            </w:r>
          </w:p>
        </w:tc>
        <w:tc>
          <w:tcPr>
            <w:tcW w:type="dxa" w:w="1134"/>
            <w:vAlign w:val="center"/>
          </w:tcPr>
          <w:p>
            <w:r>
              <w:t>-</w:t>
            </w:r>
          </w:p>
        </w:tc>
        <w:tc>
          <w:tcPr>
            <w:tcW w:type="dxa" w:w="2835"/>
            <w:vAlign w:val="center"/>
          </w:tcPr>
          <w:p>
            <w:r>
              <w:t>太阳入射方向</w:t>
            </w:r>
          </w:p>
        </w:tc>
        <w:tc>
          <w:tcPr>
            <w:tcW w:type="dxa" w:w="2835"/>
            <w:vAlign w:val="center"/>
          </w:tcPr>
          <w:p>
            <w:r>
              <w:t>3 分量有限向量</w:t>
            </w:r>
          </w:p>
        </w:tc>
      </w:tr>
      <w:tr>
        <w:tc>
          <w:tcPr>
            <w:tcW w:type="dxa" w:w="2381"/>
            <w:vAlign w:val="center"/>
          </w:tcPr>
          <w:p>
            <w:r>
              <w:t>ENVIRONMENT_TEMP</w:t>
            </w:r>
          </w:p>
        </w:tc>
        <w:tc>
          <w:tcPr>
            <w:tcW w:type="dxa" w:w="1134"/>
            <w:vAlign w:val="center"/>
          </w:tcPr>
          <w:p>
            <w:r>
              <w:t>K</w:t>
            </w:r>
          </w:p>
        </w:tc>
        <w:tc>
          <w:tcPr>
            <w:tcW w:type="dxa" w:w="2835"/>
            <w:vAlign w:val="center"/>
          </w:tcPr>
          <w:p>
            <w:r>
              <w:t>环境辐射温度</w:t>
            </w:r>
          </w:p>
        </w:tc>
        <w:tc>
          <w:tcPr>
            <w:tcW w:type="dxa" w:w="2835"/>
            <w:vAlign w:val="center"/>
          </w:tcPr>
          <w:p>
            <w:r>
              <w:t>有限数值</w:t>
            </w:r>
          </w:p>
        </w:tc>
      </w:tr>
    </w:tbl>
    <w:p/>
    <w:p>
      <w:pPr>
        <w:pStyle w:val="Heading2"/>
      </w:pPr>
      <w:r>
        <w:t>3.3 GROUP_STATE</w:t>
      </w:r>
    </w:p>
    <w:p>
      <w:pPr>
        <w:spacing w:after="120" w:line="300" w:lineRule="auto"/>
      </w:pPr>
      <w:r>
        <w:t>包含目标群整体状态：GROUP_CENTER、GROUP_NORMAL、GROUP_UP、GROUP_VELOCITY、GROUP_ANGULAR_VELOCITY、GROUP_ANGULAR_ACCELERATION。上述字段均必须显式提供 3 分量有限向量。</w:t>
      </w:r>
    </w:p>
    <w:p>
      <w:pPr>
        <w:pStyle w:val="Heading2"/>
      </w:pPr>
      <w:r>
        <w:t>3.4 OBSERVATION</w:t>
      </w:r>
    </w:p>
    <w:p>
      <w:pPr>
        <w:spacing w:after="120" w:line="300" w:lineRule="auto"/>
      </w:pPr>
      <w:r>
        <w:t>包含孔径与探测器的位置、姿态、运动状态及成像物理参数：APERTURE_SIZE、APERTURE_CENTER、APERTURE_NORMAL、APERTURE_UP、APERTURE_VELOCITY、APERTURE_ANGULAR_VELOCITY、APERTURE_ANGULAR_ACCELERATION、APERTURE_TRACK_TARGET、DETECTOR_NORMAL、DETECTOR_UP、DETECTOR_VELOCITY、DETECTOR_ANGULAR_VELOCITY、DETECTOR_ANGULAR_ACCELERATION、DETECTOR_TRACK_TARGET、SPOT_PLANE_SIZE、SPOT_FOCAL_LENGTH。</w:t>
      </w:r>
    </w:p>
    <w:p>
      <w:pPr>
        <w:spacing w:after="120" w:line="300" w:lineRule="auto"/>
      </w:pPr>
      <w:r>
        <w:t>跟踪开关在 JSON 中必须显式使用 true/false，生成 clean input 时转换为 T/F。</w:t>
      </w:r>
    </w:p>
    <w:p>
      <w:pPr>
        <w:pStyle w:val="Heading2"/>
      </w:pPr>
      <w:r>
        <w:t>3.5 TARGET_PHYSICS</w:t>
      </w:r>
    </w:p>
    <w:p>
      <w:pPr>
        <w:spacing w:after="120"/>
        <w:ind w:left="340"/>
      </w:pPr>
      <w:r>
        <w:rPr>
          <w:rFonts w:ascii="Consolas" w:hAnsi="Consolas" w:eastAsia="等线"/>
          <w:sz w:val="19"/>
        </w:rPr>
        <w:t>id, r, rho, cp, eps_ir, alpha_s, rho_ir, q_int, t_init</w:t>
      </w:r>
    </w:p>
    <w:p>
      <w:pPr>
        <w:spacing w:after="120" w:line="300" w:lineRule="auto"/>
      </w:pPr>
      <w:r>
        <w:t>每个目标一行。r 必须大于固定 0.005 m 壳层厚度；rho、cp、t_init 必须为正；其余物理量必须为有限数值。表行数必须恰好等于 NUM_SPHERES，ID 必须唯一并完整覆盖 1..NUM_SPHERES。</w:t>
      </w:r>
    </w:p>
    <w:p>
      <w:pPr>
        <w:pStyle w:val="Heading2"/>
      </w:pPr>
      <w:r>
        <w:t>3.6 TARGET_SCENE</w:t>
      </w:r>
    </w:p>
    <w:p>
      <w:pPr>
        <w:spacing w:after="120"/>
        <w:ind w:left="340"/>
      </w:pPr>
      <w:r>
        <w:rPr>
          <w:rFonts w:ascii="Consolas" w:hAnsi="Consolas" w:eastAsia="等线"/>
          <w:sz w:val="19"/>
        </w:rPr>
        <w:t>id, x, y, z, vx, vy, vz, ax, ay, az, release_time, active</w:t>
      </w:r>
    </w:p>
    <w:p>
      <w:pPr>
        <w:spacing w:after="120" w:line="300" w:lineRule="auto"/>
      </w:pPr>
      <w:r>
        <w:t>每个目标一行。release_time 必须不小于 0；1 号目标 release_time 必须为 0 且 active 必须为 true。表行数必须恰好等于 NUM_SPHERES，ID 必须唯一并完整覆盖 1..NUM_SPHERES，且与 TARGET_PHYSICS 的 ID 集完全一致。</w:t>
      </w:r>
    </w:p>
    <w:p>
      <w:pPr>
        <w:pStyle w:val="Heading1"/>
      </w:pPr>
      <w:r>
        <w:t>4 输入所有权与禁止项</w:t>
      </w:r>
    </w:p>
    <w:p>
      <w:pPr>
        <w:spacing w:after="120" w:line="300" w:lineRule="auto"/>
      </w:pPr>
      <w:r>
        <w:t>业务输入只描述场景任务和物理边界。TIME_STEP、ORBIT_INTEGRATOR_DT、蒙特卡洛射线数、最大反弹次数、随机种子、网格尺寸等属于内部数值可靠性配置，由 02-程序/production_numerical_config.json 冻结持有，不允许写入业务请求。</w:t>
      </w:r>
    </w:p>
    <w:p>
      <w:pPr>
        <w:spacing w:after="120" w:line="300" w:lineRule="auto"/>
      </w:pPr>
      <w:r>
        <w:t>输出开关和 QA/debug 写盘策略由内部 production_output_policy.inc 控制，不接受 OUTPUT_MODE、WRITE_QA、WRITE_DEBUG 等业务输入字段。clean_case_template.dat 只承担序列化格式，不承担业务参数默认值；formal_16target_scene_physics.json 作为基准场景和回归验证数据保留，不作为运行时 fallback。</w:t>
      </w:r>
    </w:p>
    <w:p>
      <w:pPr>
        <w:pStyle w:val="Heading1"/>
      </w:pPr>
      <w:r>
        <w:t>5 输入生成链</w:t>
      </w:r>
    </w:p>
    <w:p>
      <w:pPr>
        <w:spacing w:after="120"/>
        <w:ind w:left="340"/>
      </w:pPr>
      <w:r>
        <w:rPr>
          <w:rFonts w:ascii="Consolas" w:hAnsi="Consolas" w:eastAsia="等线"/>
          <w:sz w:val="19"/>
        </w:rPr>
        <w:t>request.json</w:t>
        <w:br/>
        <w:t xml:space="preserve">  ↓ 严格校验</w:t>
        <w:br/>
        <w:t>case_config.json（运行目录内部中间文件）</w:t>
        <w:br/>
        <w:t xml:space="preserve">  ↓ generate_clean_formal_case.py</w:t>
        <w:br/>
        <w:t>input.dat（正式 clean input）</w:t>
        <w:br/>
        <w:t xml:space="preserve">  ↓ production_main_output_interface.exe</w:t>
        <w:br/>
        <w:t>正式业务输出</w:t>
      </w:r>
    </w:p>
    <w:p>
      <w:pPr>
        <w:pStyle w:val="Heading1"/>
      </w:pPr>
      <w:r>
        <w:t>6 正式输出接口</w:t>
      </w:r>
    </w:p>
    <w:p>
      <w:pPr>
        <w:pStyle w:val="Heading2"/>
      </w:pPr>
      <w:r>
        <w:t>6.1 temperature_history.csv</w:t>
      </w:r>
    </w:p>
    <w:p>
      <w:pPr>
        <w:spacing w:after="120"/>
        <w:ind w:left="340"/>
      </w:pPr>
      <w:r>
        <w:rPr>
          <w:rFonts w:ascii="Consolas" w:hAnsi="Consolas" w:eastAsia="等线"/>
          <w:sz w:val="19"/>
        </w:rPr>
        <w:t>frame,time_s,T_1,...,T_N</w:t>
      </w:r>
    </w:p>
    <w:p>
      <w:pPr>
        <w:spacing w:after="120" w:line="300" w:lineRule="auto"/>
      </w:pPr>
      <w:r>
        <w:t>该文件是温度历史的唯一正式真值文件。</w:t>
      </w:r>
    </w:p>
    <w:p>
      <w:pPr>
        <w:pStyle w:val="Heading2"/>
      </w:pPr>
      <w:r>
        <w:t>6.2 infrared_response_history.csv</w:t>
      </w:r>
    </w:p>
    <w:p>
      <w:pPr>
        <w:spacing w:after="120" w:line="300" w:lineRule="auto"/>
      </w:pPr>
      <w:r>
        <w:t>每个正式输出帧、每个目标一行，核心字段包括 case_id、frame_id、time_s、object_id、active_flag、released_flag、radiation_power_W、detector_received_power_W、detector_irradiance_W_m2、screen_x_m、screen_y_m、in_screen_flag、range_to_detector_m。</w:t>
      </w:r>
    </w:p>
    <w:p>
      <w:pPr>
        <w:pStyle w:val="Heading2"/>
      </w:pPr>
      <w:r>
        <w:t>6.3 solver_status.txt</w:t>
      </w:r>
    </w:p>
    <w:p>
      <w:pPr>
        <w:spacing w:after="120" w:line="300" w:lineRule="auto"/>
      </w:pPr>
      <w:r>
        <w:t>包含 solver_status、result_valid、message 三个状态字段。</w:t>
      </w:r>
    </w:p>
    <w:p>
      <w:pPr>
        <w:pStyle w:val="Heading2"/>
      </w:pPr>
      <w:r>
        <w:t>6.4 run_metadata.json</w:t>
      </w:r>
    </w:p>
    <w:p>
      <w:pPr>
        <w:spacing w:after="120" w:line="300" w:lineRule="auto"/>
      </w:pPr>
      <w:r>
        <w:t>记录实际输入、可执行程序、内部数值配置和输出策略的溯源信息。它属于运行元数据，不属于业务输入。</w:t>
      </w:r>
    </w:p>
    <w:p>
      <w:pPr>
        <w:pStyle w:val="Heading2"/>
      </w:pPr>
      <w:r>
        <w:t>6.5 frame_summary.csv</w:t>
      </w:r>
    </w:p>
    <w:p>
      <w:pPr>
        <w:spacing w:after="120" w:line="300" w:lineRule="auto"/>
      </w:pPr>
      <w:r>
        <w:t>帧级轻量汇总，可用于快速检查，但不作为独立物理真值源。</w:t>
      </w:r>
    </w:p>
    <w:p>
      <w:pPr>
        <w:pStyle w:val="Heading1"/>
      </w:pPr>
      <w:r>
        <w:t>7 探测器图像重构</w:t>
      </w:r>
    </w:p>
    <w:p>
      <w:pPr>
        <w:spacing w:after="120" w:line="300" w:lineRule="auto"/>
      </w:pPr>
      <w:r>
        <w:t>正式核心输出不重复存储完整 256×256 图像。图像由 reconstruct_detector_image.py 根据 infrared_response_history.csv 与 run_metadata.json 确定性重构。冻结成像合同为 GRID_NX=256、GRID_NY=256、SPOT_PLANE_SIZE=0.0128 m、SPOT_RADIUS_CELLS=0；像素编号从 1 开始，存储顺序为 x 最快、再 y。同一像元内多个目标的探测器接收功率相加。</w:t>
      </w:r>
    </w:p>
    <w:p>
      <w:pPr>
        <w:pStyle w:val="Heading1"/>
      </w:pPr>
      <w:r>
        <w:t>8 与 04 模块的接口关系</w:t>
      </w:r>
    </w:p>
    <w:p>
      <w:pPr>
        <w:spacing w:after="120" w:line="300" w:lineRule="auto"/>
      </w:pPr>
      <w:r>
        <w:t>04-红外场景构建中的候选搜索仍由其代理模型定义 q_int、emissivity_ir、absorptivity_solar 三个搜索变量；当进入真实正向复核时，04 必须构造完整 forward-request-v1 请求，再调用 01 的统一入口。三参数搜索范围属于 04 代理模型与应用域，不再作为 01 正向程序的通用输入范围。</w:t>
      </w:r>
    </w:p>
    <w:p>
      <w:pPr>
        <w:pStyle w:val="Heading1"/>
      </w:pPr>
      <w:r>
        <w:t>9 文件职责与文档整合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969"/>
            <w:vAlign w:val="center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5669"/>
            <w:vAlign w:val="center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969"/>
            <w:vAlign w:val="center"/>
          </w:tcPr>
          <w:p>
            <w:r>
              <w:t>forward_request_example.json</w:t>
            </w:r>
          </w:p>
        </w:tc>
        <w:tc>
          <w:tcPr>
            <w:tcW w:type="dxa" w:w="5669"/>
            <w:vAlign w:val="center"/>
          </w:tcPr>
          <w:p>
            <w:r>
              <w:t>统一入口正式请求示例</w:t>
            </w:r>
          </w:p>
        </w:tc>
      </w:tr>
      <w:tr>
        <w:tc>
          <w:tcPr>
            <w:tcW w:type="dxa" w:w="3969"/>
            <w:vAlign w:val="center"/>
          </w:tcPr>
          <w:p>
            <w:r>
              <w:t>forward_request_schema.json</w:t>
            </w:r>
          </w:p>
        </w:tc>
        <w:tc>
          <w:tcPr>
            <w:tcW w:type="dxa" w:w="5669"/>
            <w:vAlign w:val="center"/>
          </w:tcPr>
          <w:p>
            <w:r>
              <w:t>机器可读参数合同摘要</w:t>
            </w:r>
          </w:p>
        </w:tc>
      </w:tr>
      <w:tr>
        <w:tc>
          <w:tcPr>
            <w:tcW w:type="dxa" w:w="3969"/>
            <w:vAlign w:val="center"/>
          </w:tcPr>
          <w:p>
            <w:r>
              <w:t>clean_case_template.dat</w:t>
            </w:r>
          </w:p>
        </w:tc>
        <w:tc>
          <w:tcPr>
            <w:tcW w:type="dxa" w:w="5669"/>
            <w:vAlign w:val="center"/>
          </w:tcPr>
          <w:p>
            <w:r>
              <w:t>clean input 序列化模板，不提供业务默认值</w:t>
            </w:r>
          </w:p>
        </w:tc>
      </w:tr>
      <w:tr>
        <w:tc>
          <w:tcPr>
            <w:tcW w:type="dxa" w:w="3969"/>
            <w:vAlign w:val="center"/>
          </w:tcPr>
          <w:p>
            <w:r>
              <w:t>formal_16target_clean.dat</w:t>
            </w:r>
          </w:p>
        </w:tc>
        <w:tc>
          <w:tcPr>
            <w:tcW w:type="dxa" w:w="5669"/>
            <w:vAlign w:val="center"/>
          </w:tcPr>
          <w:p>
            <w:r>
              <w:t>16 目标基准 clean input</w:t>
            </w:r>
          </w:p>
        </w:tc>
      </w:tr>
      <w:tr>
        <w:tc>
          <w:tcPr>
            <w:tcW w:type="dxa" w:w="3969"/>
            <w:vAlign w:val="center"/>
          </w:tcPr>
          <w:p>
            <w:r>
              <w:t>formal_16target_scene_physics.json</w:t>
            </w:r>
          </w:p>
        </w:tc>
        <w:tc>
          <w:tcPr>
            <w:tcW w:type="dxa" w:w="5669"/>
            <w:vAlign w:val="center"/>
          </w:tcPr>
          <w:p>
            <w:r>
              <w:t>基准场景/物理配置与回归验证数据</w:t>
            </w:r>
          </w:p>
        </w:tc>
      </w:tr>
      <w:tr>
        <w:tc>
          <w:tcPr>
            <w:tcW w:type="dxa" w:w="3969"/>
            <w:vAlign w:val="center"/>
          </w:tcPr>
          <w:p>
            <w:r>
              <w:t>13_clean_interface_freeze.json</w:t>
            </w:r>
          </w:p>
        </w:tc>
        <w:tc>
          <w:tcPr>
            <w:tcW w:type="dxa" w:w="5669"/>
            <w:vAlign w:val="center"/>
          </w:tcPr>
          <w:p>
            <w:r>
              <w:t>接口冻结与回归证据</w:t>
            </w:r>
          </w:p>
        </w:tc>
      </w:tr>
      <w:tr>
        <w:tc>
          <w:tcPr>
            <w:tcW w:type="dxa" w:w="3969"/>
            <w:vAlign w:val="center"/>
          </w:tcPr>
          <w:p>
            <w:r>
              <w:t>production_numerical_config.json</w:t>
            </w:r>
          </w:p>
        </w:tc>
        <w:tc>
          <w:tcPr>
            <w:tcW w:type="dxa" w:w="5669"/>
            <w:vAlign w:val="center"/>
          </w:tcPr>
          <w:p>
            <w:r>
              <w:t>内部数值可靠性冻结配置</w:t>
            </w:r>
          </w:p>
        </w:tc>
      </w:tr>
      <w:tr>
        <w:tc>
          <w:tcPr>
            <w:tcW w:type="dxa" w:w="3969"/>
            <w:vAlign w:val="center"/>
          </w:tcPr>
          <w:p>
            <w:r>
              <w:t>production_output_policy.inc</w:t>
            </w:r>
          </w:p>
        </w:tc>
        <w:tc>
          <w:tcPr>
            <w:tcW w:type="dxa" w:w="5669"/>
            <w:vAlign w:val="center"/>
          </w:tcPr>
          <w:p>
            <w:r>
              <w:t>内部输出策略</w:t>
            </w:r>
          </w:p>
        </w:tc>
      </w:tr>
      <w:tr>
        <w:tc>
          <w:tcPr>
            <w:tcW w:type="dxa" w:w="3969"/>
            <w:vAlign w:val="center"/>
          </w:tcPr>
          <w:p>
            <w:r>
              <w:t>reconstruct_detector_image.py</w:t>
            </w:r>
          </w:p>
        </w:tc>
        <w:tc>
          <w:tcPr>
            <w:tcW w:type="dxa" w:w="5669"/>
            <w:vAlign w:val="center"/>
          </w:tcPr>
          <w:p>
            <w:r>
              <w:t>探测器二维图像确定性重构工具</w:t>
            </w:r>
          </w:p>
        </w:tc>
      </w:tr>
    </w:tbl>
    <w:p/>
    <w:p>
      <w:pPr>
        <w:spacing w:after="120" w:line="300" w:lineRule="auto"/>
      </w:pPr>
      <w:r>
        <w:t>原目录中的 clean input schema、business output schema、detector image reconstruction contract、output policy、output assessment、task handoff 以及上一版三参数适配说明已整合或清理。正式接口说明以本文档、forward_request_schema.json 和实际程序校验逻辑为准。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