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foundations to hypotheses, failure modes and principles</w:t>
      </w:r>
    </w:p>
    <w:p>
      <w:pPr/>
      <w:r>
        <w:t>Six failure scenarios within one proposed FG TIDA use case</w:t>
      </w:r>
    </w:p>
    <w:p>
      <w:pPr/>
      <w:r>
        <w:rPr>
          <w:sz w:val="18"/>
        </w:rPr>
        <w:t>Prepared for Iván Abril Palma | 29 September 2026 | Working draft 0.3 — audited bridge</w:t>
      </w:r>
    </w:p>
    <w:p>
      <w:pPr>
        <w:pStyle w:val="Heading1"/>
      </w:pPr>
      <w:r>
        <w:t>1 Purpose and governing interpretation</w:t>
      </w:r>
    </w:p>
    <w:p>
      <w:pPr/>
      <w:r>
        <w:t>This intermediate document connects the foundations, the principal sufficiency hypothesis, H1–H6, the six failure families and their implementation walkthroughs, the communication thesis, and the operational principles P1–P6. It states what each link conserves, what assumptions it adds and how it can be challenged. It accompanies version 0.3 of Common_Cause_Hypothesis_and_Refutation_Protocol.docx. Both documents use sufficiency as their governing interpretation. A context change need not be present in every failure; the research asks whether a changed-context configuration can reproduce each failure mode through the proposed common pathway.</w:t>
      </w:r>
    </w:p>
    <w:p>
      <w:pPr/>
      <w:r>
        <w:t>The six scenarios are grouped into one proposed FG-TIDA use case for two reasons: a hypothesized common sufficient causal pathway, and a hypothesized sufficient common response. Their independent outcomes and out-of-the-box, reinforced and drift walkthroughs remain identifiable. The grouping does not establish either hypothesis and does not imply endorsement or adoption by FG-TIDA.</w:t>
      </w:r>
    </w:p>
    <w:p>
      <w:pPr/>
      <w:r>
        <w:rPr>
          <w:b/>
        </w:rPr>
        <w:t>The argument is: a proposed sufficient cause, considered under limits of knowledge and resources, motivates six testable hypotheses; these inform a communication thesis; the thesis and declared design objectives motivate operational principles; their implementation is tested for end-to-end sufficiency.</w:t>
      </w:r>
      <w:r>
        <w:t xml:space="preserve"> Each link has a different evidential role. Traceability is not a substitute for testing.</w:t>
      </w:r>
    </w:p>
    <w:p>
      <w:pPr>
        <w:pStyle w:val="Heading1"/>
      </w:pPr>
      <w:r>
        <w:t>2 The two sufficiency claims</w:t>
      </w:r>
    </w:p>
    <w:p>
      <w:pPr>
        <w:pStyle w:val="Heading2"/>
      </w:pPr>
      <w:r>
        <w:t>Common causal sufficiency</w:t>
      </w:r>
    </w:p>
    <w:p>
      <w:pPr/>
      <w:r>
        <w:t>For each failure mode 00E–00J, we hypothesize that there exists an admissible configuration in which information is transmitted without sufficient contextual qualification, the applicable context changes materially, and that information is reused without adequate reassessment, producing the independently defined failure under specified background conditions.</w:t>
      </w:r>
    </w:p>
    <w:p>
      <w:pPr/>
      <w:r>
        <w:t>The quantifier order matters: for every scenario, at least one admissible causal configuration exists. The claim does not say that every context change produces failure, that every failure needs a context change, or that identical parameter values reproduce all six cases. A common causal structure must survive the domain-specific configurations.</w:t>
      </w:r>
    </w:p>
    <w:p>
      <w:pPr/>
      <w:r>
        <w:t>In the Napoleon case, for example, a static correlated-source stream can displace the mission without any external change. That is compatible with the hypothesis. A separate proposed witness changes the actual source-dependency arrangement after initial qualification and tests whether reuse of the former independence assessment permits the same mission displacement. The independent context change and its causal contribution must be established; they cannot be inferred from the agents’ changing beliefs.</w:t>
      </w:r>
    </w:p>
    <w:p>
      <w:pPr>
        <w:pStyle w:val="Heading2"/>
      </w:pPr>
      <w:r>
        <w:t>Common response sufficiency</w:t>
      </w:r>
    </w:p>
    <w:p>
      <w:pPr/>
      <w:r>
        <w:t>We hypothesize that there exists a common communication and processing mechanism which, within a declared scope and budget, communicates the same substantive information with a minimal contextual map and a degree of certainty for its points, preserves that position through relevant handoffs, and contrasts it before reuse. The intended result is enough warning and response margin to meet the specified prevention and legitimate-activity criteria across the six scenario families.</w:t>
      </w:r>
    </w:p>
    <w:p>
      <w:pPr/>
      <w:r>
        <w:t>Other mechanisms may also be sufficient. The proposed mechanism is not asserted to be necessary or uniquely effective. One architecture may use explicit domain parameters, but six unrelated case-specific patches do not establish a common response.</w:t>
      </w:r>
    </w:p>
    <w:p>
      <w:pPr>
        <w:pStyle w:val="Heading1"/>
      </w:pPr>
      <w:r>
        <w:t>3 The premises connecting the causal hypothesis to H1 through H6</w:t>
      </w:r>
    </w:p>
    <w:p>
      <w:pPr/>
      <w:r>
        <w:t>Three premises make the transition explicit. Participants possess only bounded knowledge of the context. Communication cannot preserve or disclose every contextual detail. Observation, verification and response consume finite resources and time. These premises are stated independently of whether a particular trial fails.</w:t>
      </w:r>
    </w:p>
    <w:p>
      <w:pPr/>
      <w:r>
        <w:t>The causal hypothesis then raises six questions. What should happen when determination remains incomplete? How far does the communicated certainty apply? What is lost or distorted in successive exchanges? Can a bounded representation preserve enough? What must be reconsidered when the ecosystem changes? Which observations are worth the available effort?</w:t>
      </w:r>
    </w:p>
    <w:p>
      <w:pPr/>
      <w:r>
        <w:t>The canonical hypotheses below turn those questions into testable expectations. They contribute to a sufficiency programme without asserting necessity. Their existing wording includes existential and comparative claims, such as avoiding some failures, reducing confidence inflation or improving a risk/resource frontier. Those claims must not be silently converted into a guarantee that each hypothesis alone prevents every failure.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Question arising from the premises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Role in the proposed sufficient response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How can a participant respond when determination is incomplete?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Preserve indeterminacy and reach a bounded disposition without forced certainty or endless investigation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Within which scope is the communicated certainty supported?</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Separate certainty inside the representation from the open residual outside it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What happens to qualification through repeated composition?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Test information loss and hidden dependence as contributors to unsupported confidence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H4</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Can limited communication preserve enough for a receiving decision?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the feasibility of the minimal contextual map</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What changes when ecosystem conditions evolve?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Test the operational importance of preservation and renewed qualification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What should be observed and verified within available capacity?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whether adaptive observation improves the risk/resource trade-off</w:t>
            </w:r>
          </w:p>
        </w:tc>
      </w:tr>
    </w:tbl>
    <w:p>
      <w:pPr>
        <w:spacing w:after="20"/>
      </w:pPr>
    </w:p>
    <w:p>
      <w:pPr/>
      <w:r>
        <w:t>H4 is the most direct feasibility bridge to the proposed map. H2 defines the scope of the certainty it carries; H3 addresses preservation through composition; H5 addresses changing applicability; H1 and H6 address operation under incomplete knowledge and finite capacity. These roles overlap. They are not six consecutive algorithmic steps or a one-to-one assignment to the six scenarios.</w:t>
      </w:r>
    </w:p>
    <w:p>
      <w:pPr>
        <w:pStyle w:val="Heading1"/>
      </w:pPr>
      <w:r>
        <w:t>3A From the foundations to the research programme</w:t>
      </w:r>
    </w:p>
    <w:p>
      <w:pPr/>
      <w:r>
        <w:t>The foundation supports HC by explaining how a qualified local conclusion can lose applicability through bounded representation, transmission and ecosystem change. It does not entail that this sequence reproduces every selected failure family. HC adds that empirical existence claim. Conversely, a successful HC witness does not establish the completeness of the foundation. [Foundation: integrated §1.1–1.2; retained §§6, 16–17]</w:t>
      </w:r>
    </w:p>
    <w:p>
      <w:pPr/>
      <w:r>
        <w:t>Three registers must remain distinct. The Foundation contains ten architectural statements in retained §10. The Principles &amp; Control Matrix, source 02, expresses the root epistemic principle, A–D poles, six internal controls and six received-signal controls. P1–P6 in 00K are a compact operational basis for ablation. Their numbering is not interchangeable: Foundation “Principle 4” is not 00K P4. D documents the projection between these registers.</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Foundation premise and source anchor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 connection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Testable consequence and limit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Bounded U can contain unresolved state; closure is distinct from certainty. Retained §§1–3, 9–10</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 H2 separates local support from residual outside U</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Compare forced binary closure with explicit unresolved dispositions. A bounded disposition still needs an authorized, feasible action rule.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Residual beyond U cannot be assumed absent or exhausted by recursive expansion. Retained §§4, 16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H6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scope inflation and the cost of further observation. The premise does not measure residual magnitude or prove an optimal window.</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Compressed composition can discard qualifications or obscure shared dependence. Retained §6; 02 composition rule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H3; H4</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Compare matched evidence with differing qualification preservation. Material loss must be observed, not inferred from compression alone.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Signalling can preserve decision-relevant qualification without complete internal disclosure. Retained §8; 02 received-signal rule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H4; H2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a bounded carrier against information-only and fuller-context controls. A carrier is useful only if its retained distinctions alter the receiving decision appropriately.</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Decision-frame validity can change with ecosystem relationships and regimes. Integrated §1.2; retained §17</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 HC dynamic pathway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Manipulate an independently recorded contextual relation. A changed belief or a longer prompt alone does not establish reference-context change.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Observation and determination compete with finite response capacity. Retained §§9–11, 16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H1; H6; H5 under churn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Measure the joint risk/resource frontier, including communication and human effort. More information is not necessarily better decision support.</w:t>
            </w:r>
          </w:p>
        </w:tc>
      </w:tr>
    </w:tbl>
    <w:p>
      <w:pPr>
        <w:spacing w:after="20"/>
      </w:pPr>
    </w:p>
    <w:p>
      <w:pPr/>
      <w:r>
        <w:t>These are explanatory and operational links, not six deductions proving six empirical effects. H1–H6 already appear in the foundation and in R. Appendix A retains R's canonical wording; the foundation has minor wording variants, so this bridge does not claim textual identity between editions.</w:t>
      </w:r>
    </w:p>
    <w:p>
      <w:pPr>
        <w:pStyle w:val="Heading2"/>
      </w:pPr>
      <w:r>
        <w:t>Context and materiality must be independently specified</w:t>
      </w:r>
    </w:p>
    <w:p>
      <w:pPr/>
      <w:r>
        <w:t>Following Protocol §3, context is the set of conditions that determines the evidence, authority and operational feasibility required by a particular receiving decision. Register the subject/proposition/purpose, legitimate authority and duties, relevant world state, evidence validity and source dependence, material relationships, and deadline/capacity constraints. Record their initial and changed values independently of the system's response.</w:t>
      </w:r>
    </w:p>
    <w:p>
      <w:pPr/>
      <w:r>
        <w:t>Distinguish reference context C_ref(d,t), the participant's representation U_a(d,t), the message m, and internal processing state x_a(t). A difference in the last three is not automatically a change in C_ref. A material change alters a preregistered reliance condition or justified disposition for the same declared decision, or an explicitly admitted decision transition. A silent semantic redefinition of “context” after observing failure invalidates the witness.</w:t>
      </w:r>
    </w:p>
    <w:p>
      <w:pPr/>
      <w:r>
        <w:t>The minimal map is a bounded representation of selected contextual claims and their support; it is not C_ref itself. Unobserved changes remain possible. Its operational coverage must therefore name the change families that are observable or distinguishable within the available horizon. Two ecosystem states that produce identical accessible signals before the response deadline but require incompatible responses set a limit on any detector using only those signals. The thesis must acknowledge that limit or obtain an additional discriminating observation.</w:t>
      </w:r>
    </w:p>
    <w:p>
      <w:pPr>
        <w:pStyle w:val="Heading1"/>
      </w:pPr>
      <w:r>
        <w:t>4 From the six hypotheses to the communication thesis</w:t>
      </w:r>
    </w:p>
    <w:p>
      <w:pPr/>
      <w:r>
        <w:rPr>
          <w:b/>
        </w:rPr>
        <w:t>The thesis is that a bounded communication and processing mechanism can preserve and contrast a sufficiently informative epistemic position about context, across an ecosystem, to provide useful early warning and response margin before consequential reuse.</w:t>
      </w:r>
    </w:p>
    <w:p>
      <w:pPr/>
      <w:r>
        <w:t>The proposal follows conceptually from the six questions. Because complete determination is unavailable, the mechanism must communicate the limits of what is established. Because communication is bounded, it must select relevant contextual points. Because repeated exchange can distort support, it must preserve the associated scope and dependencies. Because the ecosystem changes, it must contrast the earlier position with what is supportable for the current use. Because time and capacity are finite, that contrast must lead to a viable response before the decision becomes harmful.</w:t>
      </w:r>
    </w:p>
    <w:p>
      <w:pPr/>
      <w:r>
        <w:t>The thesis proposes a common mechanism that combines the effects investigated by H1–H6. It is not a deductive theorem obtained by adding six individually favourable findings. Components that work separately may fail when combined through latency, incompatible meanings or shared blind spots. The end-to-end response hypothesis HS tests that composition.</w:t>
      </w:r>
    </w:p>
    <w:p>
      <w:pPr/>
      <w:r>
        <w:t>An epistemic position is used here only in the functional sense agreed for this document: a minimal map of relevant contextual values and scopes, with the degree of certainty associated with its points and explicit uncertainty. The detailed semantics, representation and calibration belong in a separate document. Agreement between positions is not enough when both inherit the same unsupported assumption. Reduced certainty can justify an alert without proving that the external world changed.</w:t>
      </w:r>
    </w:p>
    <w:p>
      <w:pPr/>
      <w:r>
        <w:t>For an enterprise, the intended value is timely recognition that an approval, assessment, mandate or operational conclusion may no longer support its proposed reuse, while preserving justified activity and respecting existing responsibilities.</w:t>
      </w:r>
    </w:p>
    <w:p>
      <w:pPr>
        <w:pStyle w:val="Heading1"/>
      </w:pPr>
      <w:r>
        <w:t>5 From hypotheses and thesis to principles</w:t>
      </w:r>
    </w:p>
    <w:p>
      <w:pPr/>
      <w:r>
        <w:t>The principles express design obligations for implementing the thesis under declared objectives: justified decisions, feasible response, preservation of unresolved information, respect for authority, timely requalification and sound composition. The reasoning is therefore “hypotheses plus proposed mechanism plus design objectives support these principles”. It is not an arithmetic identity or a claim that empirical descriptions alone establish obligations.</w:t>
      </w:r>
    </w:p>
    <w:p>
      <w:pPr/>
      <w:r>
        <w:t>The following mapping uses the existing derivation record, with the P4 distinction clarified in §5A. It does not renumber or rewrite P1–P6. The short operational descriptions are explanatory summaries. The H2/H4 research connection for P4 is mediated by qualification-preserving authority semantics; it is not presented as the same direct link as the other rows. [D; R]</w:t>
      </w:r>
    </w:p>
    <w:tbl>
      <w:tblPr>
        <w:tblW w:type="auto" w:w="0"/>
        <w:jc w:val="center"/>
        <w:tblLayout w:type="fixed"/>
        <w:tblLook w:firstColumn="1" w:firstRow="1" w:lastColumn="0" w:lastRow="0" w:noHBand="0" w:noVBand="1" w:val="04A0"/>
      </w:tblPr>
      <w:tblGrid>
        <w:gridCol w:w="1440"/>
        <w:gridCol w:w="1944"/>
        <w:gridCol w:w="3312"/>
        <w:gridCol w:w="3528"/>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Principle</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 link</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How the thesis uses it</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Independent check</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 H2</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Bind communicated support to the actual proposition and decision scope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Evidence supports the receiving proposition; residual uncertainty remains explicit</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H1 H6</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Keep observation, contrast and response within available capacity</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Total effort and response time meet the registered budget and deadline</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Carry unresolved status without silently promoting it</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Unknown does not become determined, resolved or permitted merely by transmission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H4; mediated authority connection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externally established action scope across reuse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The action has current verifiable authority; confidence or benefit does not enlarge it</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 H6</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Requalify when a material contextual change affects reliance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relevant change is processed before the consequential decision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H3</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scope and dependence through composition</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Repetition is not counted as independent support; narrow evidence is not substituted for a stronger claim</w:t>
            </w:r>
          </w:p>
        </w:tc>
      </w:tr>
    </w:tbl>
    <w:p>
      <w:pPr>
        <w:spacing w:after="20"/>
      </w:pPr>
    </w:p>
    <w:p>
      <w:pPr/>
      <w:r>
        <w:t>H4 concerns the bounded carrier used across the mechanism and therefore supports feasibility beyond one table row. Its broad architectural role does not justify inventing additional canonical derivation links. Similarly, P4 adds an explicit authority objective: sufficient certainty that an action is beneficial does not establish permission to perform it.</w:t>
      </w:r>
    </w:p>
    <w:p>
      <w:pPr/>
      <w:r>
        <w:t>These principles constrain the proposed architecture. Their use here does not assert that every other successful architecture must implement the same named principles. Neither a mapping nor compliance with isolated requirements establishes that the complete mechanism meets HS.</w:t>
      </w:r>
    </w:p>
    <w:p>
      <w:pPr>
        <w:pStyle w:val="Heading1"/>
      </w:pPr>
      <w:r>
        <w:t>5A The foundation-to-principle derivation and its requirement anchors</w:t>
      </w:r>
    </w:p>
    <w:p>
      <w:pPr/>
      <w:r>
        <w:t>D §§2–5 supplies eight invariant identifiers F-A through F-H. They denote bounded representation, unresolved state, finite capacity, received-claim qualification, dynamic validity, non-substitution in composition, non-creation of knowledge by signalling, and externally governed authority. The following links conserve those meanings. A19 §§3–6 then identifies an independently inspectable requirement clause and scenario for each principle.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Operational principle and upstream derivation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Requirement and scenario anchor</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What would break this link</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 F-A + F-B + F-D; 02 I0/O0 and E0-I/E0-O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S14 evidence-to-decision assessment; 00J; A1</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receiver treats evidence for a narrow proposition as sufficient for a stronger one while the proposed P1 check still passes.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 F-C; 02 I1/O1 and E1-I/E1-O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S4 viable oversight, also S3 bounded escape; 00E; A2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nominal stopping rule permits determination or review to consume the useful response horizon.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 F-B; 02 I2 and E2-I</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S5 non-permission from unresolved material state; 00F; A3</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implementation hides an unresolved dependency in an executable closure. A permitted bounded action under explicit uncertainty is not automatically a violation.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 F-D + F-G + F-H; authority-typed boundary specialization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S8 non-amplification, with S1 current authority; 00H; A4</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Valid leaf permissions are accepted as authority for a composed action that the principal did not grant.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 F-E; dynamic W(d,t) and frame requalification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S10 material change before execution; 00I; A5</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Change is detected or logged, but the old decision basis still reaches consequential execution.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 F-F + F-G; 02 O2/E2-O and General Law of Epistemic Composition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S9 composition/non-substitution; 00G; A6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Dependent reports become independent corroboration, or one domain's support silently substitutes for another's. Correlation itself need not prohibit use.</w:t>
            </w:r>
          </w:p>
        </w:tc>
      </w:tr>
    </w:tbl>
    <w:p>
      <w:pPr>
        <w:spacing w:after="20"/>
      </w:pPr>
    </w:p>
    <w:p>
      <w:pPr/>
      <w:r>
        <w:t>The table’s contrary states test an operational check or its implementation; an implementation violation alone does not refute the abstract derivation. A derivation counterexample must satisfy the upstream premises while violating the claimed downstream invariant.</w:t>
      </w:r>
    </w:p>
    <w:p>
      <w:pPr/>
      <w:r>
        <w:t>The one-to-one pattern above selects ablation anchors; it does not assign one exclusive principle or one H to each case. Full cases require several invariants. A19 §5 also retains all fourteen primary requirement projections: P1 owns S2/S14; P2 S3/S4; P3 S5; P4 S1/S6/S7/S8/S12/S13; P5 S10; P6 S9/S11. Supporting relationships remain many-to-many.</w:t>
      </w:r>
    </w:p>
    <w:p>
      <w:pPr/>
      <w:r>
        <w:rPr>
          <w:b/>
        </w:rPr>
        <w:t>P4 clarification relative to draft 0.1.</w:t>
      </w:r>
      <w:r>
        <w:t xml:space="preserve"> D derives P4 from received-claim qualification together with the independent, externally governed authority boundary F-H. S1/S8 make that boundary measurable downstream; they are not premises that create P4. H2/H4 are a mediated research connection, not a direct H-to-P4 derivation stated in D. This distinction prevents certainty, usefulness or successful transport from being mistaken for permission.</w:t>
      </w:r>
    </w:p>
    <w:p>
      <w:pPr/>
      <w:r>
        <w:t>R §3 imposes four joint conditions on implementation: T1 declares material-change coverage; T2 preserves qualification and receiving ownership; T3 requires bounded authorized response; T4 requires timely and viable requalification. These conditions bridge the thesis to measurable performance. No alert alone establishes T3/T4. The stronger per-state no-worse-than-null-action guarantee, if claimed, needs its own assumptions and demonstration; it is not supplied by this traceability document.</w:t>
      </w:r>
    </w:p>
    <w:p>
      <w:pPr>
        <w:pStyle w:val="Heading1"/>
      </w:pPr>
      <w:r>
        <w:t>5B The six failure families as instances of the common question</w:t>
      </w:r>
    </w:p>
    <w:p>
      <w:pPr/>
      <w:r>
        <w:t>The following is an analytical synthesis of the case gates and extension profiles, not a replacement for their canonical requirement routes. H4 tests the bounded carrier across all rows; H1/H6 address capacity where material; H5 becomes a causal test only on a controlled change branch. Primary H links below identify the most direct research questions, not exclusive coverage.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Family and outcome to preserve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Common-pathway candidate and research link</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Principle anchors and admission check</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00E: compounded false certainty and unbounded determination across four subsystems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Qualified summaries outlive changed source dependence/validity and are reused as a current decision basis. H1/H2/H3/H4; H5/H6 in drift. [E §§1, 5–8; EI §7]</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P1/P2/P3/P6; P5 for drift. Preserve all four subsystem failures and composition; a single Q1a result cannot certify Q1–Q5.</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 individually plausible actions produce incompatible shared-resource use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Capacity or dependency relations change, but local conclusions retain their prior applicability. H2/H3/H5/H6. [F §§1, 8C; FX §2]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P3/P6 with P1/P5. Keep a feasible coordinated response available; unavoidable overload alone cannot establish qualification failure.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00G: correlated narrative displaces a legitimate mission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Previously independent evidence streams become dependent; old independence assessments are reused. H2/H3/H4/H5. [G §§9–10, 17.7–17.10]</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P6/P1/P3, P5 for drift. Keep mission and reference truth fixed on the false branch; retain the legitimate-transition positive control.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00H: unauthorized broader action OR silent loss of a material finding beyond the mandate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Changed campaign/delegation relations invalidate a composed-action basis; a separately registered reporting-route change can test silent loss. H2/H4/H5; H1/H6 for timely routing. [H; HI §§7–8; HX]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 with P1/P6/P5. Score authority and finding preservation separately. A revoked leaf grant alone may test a narrower family; retain the beyond-mandate finding kernel.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 once-justified queued action becomes harmful at execution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Patch B and changed incident/freeze state invalidate Patch A; an additional drift arm changes the model of what must be checked. H4/H5/H6. [I §§1, 12]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 supported by P1/P3/P4. Hold the target action and outcome fixed; distinguish stale state from a stale checklist of relevant state.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00J: valid narrow provenance is promoted into unsupported rights enforcement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Prefer the existing resolver/lineage drift: the same enforcement question is held fixed while the evidence contract changes. H2/H3/H4/H5. [J §§1–3; JI §6]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P1/P4/P6 with P5. Source rights and authentic records may remain unchanged. Preserve both unsupported-enforcement and legitimate-transfer controls.</w:t>
            </w:r>
          </w:p>
        </w:tc>
      </w:tr>
    </w:tbl>
    <w:p>
      <w:pPr>
        <w:spacing w:after="20"/>
      </w:pPr>
    </w:p>
    <w:p>
      <w:pPr/>
      <w:r>
        <w:t>Protocol v0.3 proposes additional dynamic witnesses. This review identifies a stronger source-backed 00J candidate than its proposed q-to-q+ purpose transition: JI §6 changes resolver/lineage semantics while holding the final Q5 proposition constant. Use that branch first when operationalizing HC; retain the purpose-transition candidate only as a separately admitted extension. Similarly, 00H's composed-authority drift in HI is a stronger family anchor than simple leaf revocation. These are candidate-selection refinements, not reports that either witness has been executed or validated.</w:t>
      </w:r>
    </w:p>
    <w:p>
      <w:pPr/>
      <w:r>
        <w:t>Commonality requires more than six narratives containing the word “context”. Every accepted witness must exhibit transferred or retained information, a named missing or unenforced qualification, an independently evidenced material change, continued reliance on the old basis, and the case's independent failure. Remove or repair the relevant reliance defect in matched controls and inspect the resulting path. Multiple sufficient causes may coexist, so causal contribution must not be reduced to a universal requirement that no unchanged-context run can ever fail.</w:t>
      </w:r>
    </w:p>
    <w:p>
      <w:pPr>
        <w:pStyle w:val="Heading1"/>
      </w:pPr>
      <w:r>
        <w:t>5C Preserving the eighteen implementation walkthrough positions</w:t>
      </w:r>
    </w:p>
    <w:p>
      <w:pPr/>
      <w:r>
        <w:t>Six families times three implementation positions give eighteen comparison cells. The labels below are an editorial index: competent standard use, a defended implementation, and that same implementation frozen under changed conditions. They are not eighteen new executions. Product-specific profiles illustrate implementation choices at the pinned source date; this document makes no present-day product-capability assessment.</w:t>
      </w:r>
    </w:p>
    <w:tbl>
      <w:tblPr>
        <w:tblW w:type="auto" w:w="0"/>
        <w:jc w:val="center"/>
        <w:tblLayout w:type="fixed"/>
        <w:tblLook w:firstColumn="1" w:firstRow="1" w:lastColumn="0" w:lastRow="0" w:noHBand="0" w:noVBand="1" w:val="04A0"/>
      </w:tblPr>
      <w:tblGrid>
        <w:gridCol w:w="1728"/>
        <w:gridCol w:w="2736"/>
        <w:gridCol w:w="2880"/>
        <w:gridCol w:w="2880"/>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Family and source locator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Standard position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Defended position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Same implementation under drift</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00E; EI §§3–4, 7</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Trace whether operationally healthy handoffs lose scope, uncertainty or dependencies.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Instrument owners, handoffs, bounded review and Q0–Q5; give conventional controls full credit.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Freeze the defended configuration; change source dependence, evidence validity or response horizon. Inspect all four subsystems.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 F §8C</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00F-R0: test locally plausible actions against shared-resource compatibility.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00F-R1: resolve known conflicts with strong coordination and currentness checks.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00F-R2: freeze R1; change dependency/validity relations and test timely targeted requalification.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00G; G §§17.3, 17.5–17.10</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OAI-G0: test source-dependent repetition and mission stability.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OAI-G1: preserve mission, authority and source graph; independently supported change must remain possible.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OAI-G2: freeze G1; alter dependence/applicability; test false and genuine transitions.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00H; HI §§3, 5–8</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CLAUDE-H0: distinguish tool permission from the actual business mandate.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CLAUDE-H1: current grant checks and bounded approval; include H1-L root-lineage repair as a fair strong peer.</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CLAUDE-H2: freeze the defended variant; change principal/campaign/delegation relations; retain finding-routing duties.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 I §12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00I-R0: technically valid queued job reaches actuation on an old basis.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00I-R1: current-state guard and version/lease binding address the ordinary case.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00I-R2: freeze R1; change the source/policy/dependency model defining sufficient currentness.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00J; JI §§3–6</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PANO-H0: source-side rights/provenance supports a bounded claim.</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PANO-H1: lineage-aware resolver must pass both Q5 authority controls before freeze.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PANO-H2: freeze H1; alter resolver/identifier/lineage semantics for the same Q5 question.</w:t>
            </w:r>
          </w:p>
        </w:tc>
      </w:tr>
    </w:tbl>
    <w:p>
      <w:pPr>
        <w:spacing w:after="20"/>
      </w:pPr>
    </w:p>
    <w:p>
      <w:pPr/>
      <w:r>
        <w:t>A route's name is not evidence that it passes. In 00H the profile explicitly identifies a root-authority gap in H1 and admits H1-L as a repair. Give such repairs the same evidence and budget access before comparing drift performance. A defender that adapts successfully weakens a claimed EA advantage; it does not refute HC or prove that contextual qualification is useless.</w:t>
      </w:r>
    </w:p>
    <w:p>
      <w:pPr/>
      <w:r>
        <w:t>Do not conflate implementation positions with gate-behaviour routes N/Q, I's N0/N1/Q, the paired paper traversals in 00L, or the A1–A6 symbolic ablations. A single implementation may exhibit different gate outcomes across branches. All claims about execution must identify the actual fixture, branch, run and observation boundary. This bridge locates and interprets the walkthroughs; it does not reproduce their full event logs or substitute for their annexes.</w:t>
      </w:r>
    </w:p>
    <w:p>
      <w:pPr>
        <w:pStyle w:val="Heading1"/>
      </w:pPr>
      <w:r>
        <w:t>6 Traceability through evidence and refutation</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Claim level</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What would support it</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What a negative result means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HC for one scenario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valid reproduced changed-context witness with the proposed causal pathway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Reject the failed witness or its registered reliability claim; static failures are compatible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HC across all six</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valid witness for each family, covering both 00H outcomes, with a common causal structure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missing witness leaves coverage open; exhaustive absence in one declared domain refutes the bounded all-six claim</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 through H6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registered effect or feasibility result under matched conditions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Limits or refutes the stated operational prediction within its declared class and scope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Communication thesis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An implemented common mechanism with interpretable exchanges and usable contrasts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failed implementation narrows the design claim; it does not eliminate every possible mechanism</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 through P6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Independently checked invariants on relevant decision boundaries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violation establishes nonconformance to that principle for the trial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HS for a chosen implementation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Prevention, warning margin and legitimate activity jointly meet their criteria across the declared scope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qualifying contrary result defeats strict candidate sufficiency; probabilistic claims use registered uncertainty rules</w:t>
            </w:r>
          </w:p>
        </w:tc>
      </w:tr>
    </w:tbl>
    <w:p>
      <w:pPr>
        <w:spacing w:after="20"/>
      </w:pPr>
    </w:p>
    <w:p>
      <w:pPr/>
      <w:r>
        <w:t>For causal testing, preserve the same task, outcome and relevant background while manipulating the selected change and qualification handling. An unchanged-context failure may reflect another sufficient cause. It does not refute HC, but it means the experiment must establish why the selected change contributes rather than merely accompanies the failure.</w:t>
      </w:r>
    </w:p>
    <w:p>
      <w:pPr/>
      <w:r>
        <w:t>For response testing, compare information alone, information with the contextual map, and the map with active comparison and authorized response. Include strong conventional alternatives and count the full resource cost. An alert must leave sufficient time to respond. A system that blocks all legitimate activity does not satisfy the response objective. In 00H, preventing overreach while losing the other 3,999 cases is not a complete success.</w:t>
      </w:r>
    </w:p>
    <w:p>
      <w:pPr/>
      <w:r>
        <w:t>Broad existence claims require disciplined scope. Failure to find a witness or solution in a finite non-exhaustive search does not prove that none exists. Define candidate domains, permitted interventions and success thresholds in advance. To refute bounded existence, rule out every candidate in the declared exhaustive domain or provide a sound impossibility argument within explicit assumptions. Keep failed searches and scope revisions visible.</w:t>
      </w:r>
    </w:p>
    <w:p>
      <w:pPr>
        <w:pStyle w:val="Heading1"/>
      </w:pPr>
      <w:r>
        <w:t>6A Acceptance rules for the links, not just the labels</w:t>
      </w:r>
    </w:p>
    <w:p>
      <w:pPr/>
      <w:r>
        <w:t>Each traceability record should identify its upstream proposition and source section, downstream obligation, conserved decision boundary, added assumptions, independent observable, contrary result, and current evidence status. Use the following distinctions when reviewing the integrated use case.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Link and type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Acceptance condition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Failure or limiting condition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Foundation → HC: motivated empirical extension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Each admitted family has a causal witness with the common structure and an independently scored outcome.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No admitted witness in an exhaustively tested W_i defeats the bounded all-six claim. A static failure does not.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Foundation → H1–H6: operational research predictions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Comparator, scope, resource budget, effect threshold and uncertainty rule are declared before testing.</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Unsupported effects limit the registered prediction. Do not retrofit the window, metric or comparator after seeing results.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Foundation/02 → P: semantic derivation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downstream invariant conserves its upstream meaning; P4 retains external authority semantics.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Counterexample satisfies the proposed upstream interpretation but violates the claimed projection; investigate the mapping or added assumptions.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H1–H6 → thesis: design synthesis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common mechanism combines the proposed effects without hiding latency, correlated assumptions or contradictory postures.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Separate component benefits fail to compose; the candidate thesis implementation remains unsupported.</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Thesis/objectives → P → S/T: design and operationalization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Each obligation has an independent receiving-decision check, legitimate owner and resource/response consequence.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check merely rephrases the desired pass condition, or a requirement is declared satisfied by a KPI checkbox alone.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S/T → P: reverse conformance claim</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Source-faithful operational clauses imply the invariant in the stated model.</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A23 leaves P3/P5/P6 and wider semantic fidelity open; a coverage matrix cannot close them.</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Implementation → HS: bounded sufficient response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All registered outcome, continuity, timing and burden criteria pass across the declared domain.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qualifying contrary result refutes strict candidate sufficiency; probabilistic sufficiency follows its registered statistical rule.</w:t>
            </w:r>
          </w:p>
        </w:tc>
      </w:tr>
    </w:tbl>
    <w:p>
      <w:pPr>
        <w:spacing w:after="20"/>
      </w:pPr>
    </w:p>
    <w:p>
      <w:pPr>
        <w:pStyle w:val="Heading2"/>
      </w:pPr>
      <w:r>
        <w:t>A concrete verification package</w:t>
      </w:r>
    </w:p>
    <w:p>
      <w:pPr/>
      <w:r>
        <w:t>For each family, freeze the decision contract, admissible configuration domain, initial qualification, selected context intervention, outcome oracle, source access, authority, response deadline and resource ledger. Record the exact branch and source version. Keep the business failure oracle independent of whether the candidate emits the preferred posture labels.</w:t>
      </w:r>
    </w:p>
    <w:p>
      <w:pPr/>
      <w:r>
        <w:t>Run matched unchanged/changed-context branches with qualification absent or unenforced versus preserved and actively checked. Add map-only and active-comparison arms to separate transmission from processing. Preserve positive controls for legitimate action, genuine change and valid authority. Use component ablations to diagnose contribution; do not treat an ablation result as universal necessity of a named principle.</w:t>
      </w:r>
    </w:p>
    <w:p>
      <w:pPr/>
      <w:r>
        <w:t>Measure failure frequency or deterministic outcome, qualification loss, unsupported scope promotion, valid-action completion, unnecessary interruption, total burden, alert time, decision time and completed response time. Useful warning requires detection plus interpretation, authorization and response to fit before harmful reliance. Report both alert lead time and actual remaining response margin; a retrospective correct diagnosis is insufficient.</w:t>
      </w:r>
    </w:p>
    <w:p>
      <w:pPr/>
      <w:r>
        <w:t>Challenge the design with correlated map errors, a truthful map that omits the decisive variable, excessive qualifiers that exhaust capacity, an alert with no available owner, repeated requalification oscillation, and an intervention that prevents the target failure but causes an independently unacceptable outcome. These challenge the candidate's declared sufficiency. They do not require omniscient context knowledge or make one unsuccessful implementation a refutation of every possible mechanism.</w:t>
      </w:r>
    </w:p>
    <w:p>
      <w:pPr>
        <w:pStyle w:val="Heading2"/>
      </w:pPr>
      <w:r>
        <w:t>What the present evidence can sustain</w:t>
      </w:r>
    </w:p>
    <w:p>
      <w:pPr/>
      <w:r>
        <w:t>D supplies a derivation/conservation argument. A19 supplies requirement anchors and routes to ablation evidence. A23 reports finite-projection implications for P1/P2/P4, while withdrawing its former all-six closure and retaining P3/P5/P6 countermodels under semantic revision. Those countermodels identify gaps in the current reduction; they are not yet demonstrated failures of fully conforming implementations. Clause-local anti-circularity guards also do not establish source fidelity of the whole requirement bundle.</w:t>
      </w:r>
    </w:p>
    <w:p>
      <w:pPr/>
      <w:r>
        <w:t>The 00E source reports limited symbolic and Stage-0 Q1a results, including a conventional peer matching the reference. Such results cannot validate a 100-million-token cascade, all eighteen implementation positions, HC or the common response thesis. The main review does not rerun those scenario harnesses. Appendix C reports a separate local replay of selected A23 model diagnostics and projections, with their limits.</w:t>
      </w:r>
    </w:p>
    <w:p>
      <w:pPr/>
      <w:r>
        <w:t>Before claiming an integrated sufficient response, close family admission and witness coverage for all six cases, include both 00H outcomes, resolve the relevant semantic implementation gaps, and execute the common mechanism under the declared comparisons. The present deliverable establishes a reviewable argument and test route. Empirical causal coverage and end-to-end response sufficiency remain open.</w:t>
      </w:r>
    </w:p>
    <w:p>
      <w:pPr>
        <w:pStyle w:val="Heading1"/>
      </w:pPr>
      <w:r>
        <w:t>7 Current status and source discipline</w:t>
      </w:r>
    </w:p>
    <w:p>
      <w:pPr/>
      <w:r>
        <w:t>This document establishes conceptual and documentary traceability. No new six-case execution, causal witness, product benchmark or end-to-end sufficient-response validation is reported. Appendix C records the bounded model replay performed during self-audit. The linked protocol proposes dynamic candidates and preserves the static controls and independent outcomes. Their admission, reproduction and evaluation remain pending.</w:t>
      </w:r>
    </w:p>
    <w:p>
      <w:pPr/>
      <w:r>
        <w:t>The existing foundation-to-principle bridge provides the mapping used here. The separate A23 audit contains bounded requirement-to-principle results and unresolved issues; it is not treated as proof of HC or HS. The governing source snapshot is 0ca06f446bb4f037b117c1af525a0ae7ded0900b. The author’s clarification of 29 September 2026 governs the sufficiency interpretation in these documents. This work does not modify the repository’s frozen statements.</w:t>
      </w:r>
    </w:p>
    <w:p>
      <w:pPr>
        <w:pStyle w:val="Heading1"/>
        <w:pageBreakBefore/>
      </w:pPr>
      <w:r>
        <w:t>Appendix A Canonical hypothesis statements</w:t>
      </w:r>
    </w:p>
    <w:p>
      <w:pPr/>
      <w:r>
        <w:t>The following statements are reproduced verbatim from the canonical requirements. U is the bounded operational representation; R_U is the open decision-relevant residual beyond it. The preceding tables explain their role in the sufficiency programme without changing their wording.</w:t>
      </w:r>
    </w:p>
    <w:p>
      <w:pPr>
        <w:pStyle w:val="Heading2"/>
      </w:pPr>
      <w:r>
        <w:t>H1 Boundary aware local closure</w:t>
      </w:r>
    </w:p>
    <w:p>
      <w:pPr/>
      <w:r>
        <w:t>Systems that explicitly represent insufficient determination inside U and finite determination resources will avoid some deadlock and false-certainty failures caused by forcing every local closure into a binary determined state.</w:t>
      </w:r>
    </w:p>
    <w:p>
      <w:pPr>
        <w:pStyle w:val="Heading2"/>
      </w:pPr>
      <w:r>
        <w:t>H2 Residual scope explicitness</w:t>
      </w:r>
    </w:p>
    <w:p>
      <w:pPr/>
      <w:r>
        <w:t xml:space="preserve">Separating confidence conditional on U from the open residual </w:t>
      </w:r>
      <w:r>
        <w:rPr>
          <w:rFonts w:ascii="Consolas" w:hAnsi="Consolas"/>
          <w:sz w:val="20"/>
        </w:rPr>
        <w:t>R_U</w:t>
      </w:r>
      <w:r>
        <w:t xml:space="preserve"> beyond that bounded representation will reduce unjustified local-to-global confidence inflation in downstream decisions.</w:t>
      </w:r>
    </w:p>
    <w:p>
      <w:pPr>
        <w:pStyle w:val="Heading2"/>
      </w:pPr>
      <w:r>
        <w:t>H3 Compositional residual expansion</w:t>
      </w:r>
    </w:p>
    <w:p>
      <w:pPr/>
      <w:r>
        <w:t>Under comparable evidence and computational resources, systems whose critical downstream decisions depend solely on lossy compressed representations will exhibit greater hidden residual and/or false confidence than systems with better context preservation or independent-source access.</w:t>
      </w:r>
    </w:p>
    <w:p>
      <w:pPr>
        <w:pStyle w:val="Heading2"/>
      </w:pPr>
      <w:r>
        <w:t>H4 Bounded preservation</w:t>
      </w:r>
    </w:p>
    <w:p>
      <w:pPr/>
      <w:r>
        <w:t>A bounded determinacy/context envelope can preserve enough decision-relevant information to reduce architecture-induced residual without requiring disclosure of full internal state.</w:t>
      </w:r>
    </w:p>
    <w:p>
      <w:pPr>
        <w:pStyle w:val="Heading2"/>
      </w:pPr>
      <w:r>
        <w:t>H5 Dynamic ecosystem pressure</w:t>
      </w:r>
    </w:p>
    <w:p>
      <w:pPr/>
      <w:r>
        <w:t>For a fixed observation and verification budget, increasing participant/dependency churn and shortening ecosystem-state validity will increase the operational importance of residual-state preservation and requalification even when local algorithms remain unchanged.</w:t>
      </w:r>
    </w:p>
    <w:p>
      <w:pPr>
        <w:pStyle w:val="Heading2"/>
      </w:pPr>
      <w:r>
        <w:t>H6 Risk capacity calibrated window selection</w:t>
      </w:r>
    </w:p>
    <w:p>
      <w:pPr/>
      <w:r>
        <w:t>Systems that adapt observation-window breadth, freshness and determination effort to mission sensitivity, consequence severity, available capacity and response horizon will achieve a better risk/resource frontier than systems using fixed broad or fixed narrow observation under otherwise comparable conditions.</w:t>
      </w:r>
    </w:p>
    <w:p>
      <w:pPr>
        <w:pStyle w:val="Heading1"/>
        <w:pageBreakBefore/>
      </w:pPr>
      <w:r>
        <w:t>Appendix B Source register and reading order</w:t>
      </w:r>
    </w:p>
    <w:p>
      <w:pPr/>
      <w:r>
        <w:t>All repository links below are pinned to commit 0ca06f446bb4f037b117c1af525a0ae7ded0900b. Section references in the body use the source's own numbering. In the integrated Foundation, “retained §” identifies the carried-forward v0.4 section under the integrated structure. Read Foundation → 02 → D/00K for the semantic projection; read R and the six case gates for operationalization; read A19/A23 for the evidence boundary. The companion Protocol v0.3 defines HC/HS and the refutation design. This bridge refines candidate selection in §5B without changing its canonical H statements.</w:t>
      </w:r>
    </w:p>
    <w:p>
      <w:pPr/>
      <w:r>
        <w:rPr>
          <w:b/>
        </w:rPr>
        <w:t>Foundation</w:t>
      </w:r>
      <w:r>
        <w:t xml:space="preserve"> — </w:t>
      </w:r>
      <w:hyperlink r:id="rId11">
        <w:r>
          <w:rPr>
            <w:color w:val="17507D"/>
          </w:rPr>
          <w:t>Integrated foundational theory v0.5</w:t>
        </w:r>
      </w:hyperlink>
    </w:p>
    <w:p>
      <w:pPr/>
      <w:r>
        <w:rPr>
          <w:b/>
        </w:rPr>
        <w:t>02-1</w:t>
      </w:r>
      <w:r>
        <w:t xml:space="preserve"> — </w:t>
      </w:r>
      <w:hyperlink r:id="rId12">
        <w:r>
          <w:rPr>
            <w:color w:val="17507D"/>
          </w:rPr>
          <w:t>Principles and Control Matrix v0.4, part 1: root, poles and twelve controls</w:t>
        </w:r>
      </w:hyperlink>
    </w:p>
    <w:p>
      <w:pPr/>
      <w:r>
        <w:rPr>
          <w:b/>
        </w:rPr>
        <w:t>02-2</w:t>
      </w:r>
      <w:r>
        <w:t xml:space="preserve"> — </w:t>
      </w:r>
      <w:hyperlink r:id="rId13">
        <w:r>
          <w:rPr>
            <w:color w:val="17507D"/>
          </w:rPr>
          <w:t>Principles and Control Matrix v0.4, part 2: scope and composition</w:t>
        </w:r>
      </w:hyperlink>
    </w:p>
    <w:p>
      <w:pPr/>
      <w:r>
        <w:rPr>
          <w:b/>
        </w:rPr>
        <w:t>02-3</w:t>
      </w:r>
      <w:r>
        <w:t xml:space="preserve"> — </w:t>
      </w:r>
      <w:hyperlink r:id="rId14">
        <w:r>
          <w:rPr>
            <w:color w:val="17507D"/>
          </w:rPr>
          <w:t>Principles and Control Matrix v0.4, part 3: continued received-signal discussion</w:t>
        </w:r>
      </w:hyperlink>
    </w:p>
    <w:p>
      <w:pPr/>
      <w:r>
        <w:rPr>
          <w:b/>
        </w:rPr>
        <w:t>R</w:t>
      </w:r>
      <w:r>
        <w:t xml:space="preserve"> — </w:t>
      </w:r>
      <w:hyperlink r:id="rId15">
        <w:r>
          <w:rPr>
            <w:color w:val="17507D"/>
          </w:rPr>
          <w:t>Canonical requirements, challenges, hypotheses and KPIs</w:t>
        </w:r>
      </w:hyperlink>
    </w:p>
    <w:p>
      <w:pPr/>
      <w:r>
        <w:rPr>
          <w:b/>
        </w:rPr>
        <w:t>D</w:t>
      </w:r>
      <w:r>
        <w:t xml:space="preserve"> — </w:t>
      </w:r>
      <w:hyperlink r:id="rId16">
        <w:r>
          <w:rPr>
            <w:color w:val="17507D"/>
          </w:rPr>
          <w:t>Foundation-to-operational-principle derivation v0.1, §§2–8</w:t>
        </w:r>
      </w:hyperlink>
    </w:p>
    <w:p>
      <w:pPr/>
      <w:r>
        <w:rPr>
          <w:b/>
        </w:rPr>
        <w:t>00K</w:t>
      </w:r>
      <w:r>
        <w:t xml:space="preserve"> — </w:t>
      </w:r>
      <w:hyperlink r:id="rId17">
        <w:r>
          <w:rPr>
            <w:color w:val="17507D"/>
          </w:rPr>
          <w:t>Six operational principles and ablation protocol v0.1, §§2–4</w:t>
        </w:r>
      </w:hyperlink>
    </w:p>
    <w:p>
      <w:pPr/>
      <w:r>
        <w:rPr>
          <w:b/>
        </w:rPr>
        <w:t>A19</w:t>
      </w:r>
      <w:r>
        <w:t xml:space="preserve"> — </w:t>
      </w:r>
      <w:hyperlink r:id="rId18">
        <w:r>
          <w:rPr>
            <w:color w:val="17507D"/>
          </w:rPr>
          <w:t>Principle–requirement traceability v0.1, §§2–8</w:t>
        </w:r>
      </w:hyperlink>
    </w:p>
    <w:p>
      <w:pPr/>
      <w:r>
        <w:rPr>
          <w:b/>
        </w:rPr>
        <w:t>A23</w:t>
      </w:r>
      <w:r>
        <w:t xml:space="preserve"> — </w:t>
      </w:r>
      <w:hyperlink r:id="rId19">
        <w:r>
          <w:rPr>
            <w:color w:val="17507D"/>
          </w:rPr>
          <w:t>Requirement-conformance sufficiency v0.1; revised audit status</w:t>
        </w:r>
      </w:hyperlink>
    </w:p>
    <w:p>
      <w:pPr/>
      <w:r>
        <w:rPr>
          <w:b/>
        </w:rPr>
        <w:t>E / EX</w:t>
      </w:r>
      <w:r>
        <w:t xml:space="preserve"> — </w:t>
      </w:r>
      <w:hyperlink r:id="rId20">
        <w:r>
          <w:rPr>
            <w:color w:val="17507D"/>
          </w:rPr>
          <w:t>00E canonical failure scenario</w:t>
        </w:r>
      </w:hyperlink>
      <w:r>
        <w:t xml:space="preserve">; </w:t>
      </w:r>
      <w:hyperlink r:id="rId21">
        <w:r>
          <w:rPr>
            <w:color w:val="17507D"/>
          </w:rPr>
          <w:t>00E extensibility profile v0.1</w:t>
        </w:r>
      </w:hyperlink>
      <w:r>
        <w:t>.</w:t>
      </w:r>
    </w:p>
    <w:p>
      <w:pPr/>
      <w:r>
        <w:rPr>
          <w:b/>
        </w:rPr>
        <w:t>F / FX</w:t>
      </w:r>
      <w:r>
        <w:t xml:space="preserve"> — </w:t>
      </w:r>
      <w:hyperlink r:id="rId22">
        <w:r>
          <w:rPr>
            <w:color w:val="17507D"/>
          </w:rPr>
          <w:t>00F canonical failure scenario</w:t>
        </w:r>
      </w:hyperlink>
      <w:r>
        <w:t xml:space="preserve">; </w:t>
      </w:r>
      <w:hyperlink r:id="rId23">
        <w:r>
          <w:rPr>
            <w:color w:val="17507D"/>
          </w:rPr>
          <w:t>00F extensibility profile v0.1</w:t>
        </w:r>
      </w:hyperlink>
      <w:r>
        <w:t>.</w:t>
      </w:r>
    </w:p>
    <w:p>
      <w:pPr/>
      <w:r>
        <w:rPr>
          <w:b/>
        </w:rPr>
        <w:t>G / GX</w:t>
      </w:r>
      <w:r>
        <w:t xml:space="preserve"> — </w:t>
      </w:r>
      <w:hyperlink r:id="rId24">
        <w:r>
          <w:rPr>
            <w:color w:val="17507D"/>
          </w:rPr>
          <w:t>00G canonical failure scenario</w:t>
        </w:r>
      </w:hyperlink>
      <w:r>
        <w:t xml:space="preserve">; </w:t>
      </w:r>
      <w:hyperlink r:id="rId25">
        <w:r>
          <w:rPr>
            <w:color w:val="17507D"/>
          </w:rPr>
          <w:t>00G extensibility profile v0.1</w:t>
        </w:r>
      </w:hyperlink>
      <w:r>
        <w:t>.</w:t>
      </w:r>
    </w:p>
    <w:p>
      <w:pPr/>
      <w:r>
        <w:rPr>
          <w:b/>
        </w:rPr>
        <w:t>H / HX</w:t>
      </w:r>
      <w:r>
        <w:t xml:space="preserve"> — </w:t>
      </w:r>
      <w:hyperlink r:id="rId26">
        <w:r>
          <w:rPr>
            <w:color w:val="17507D"/>
          </w:rPr>
          <w:t>00H canonical failure scenario</w:t>
        </w:r>
      </w:hyperlink>
      <w:r>
        <w:t xml:space="preserve">; </w:t>
      </w:r>
      <w:hyperlink r:id="rId27">
        <w:r>
          <w:rPr>
            <w:color w:val="17507D"/>
          </w:rPr>
          <w:t>00H extensibility profile v0.1</w:t>
        </w:r>
      </w:hyperlink>
      <w:r>
        <w:t>.</w:t>
      </w:r>
    </w:p>
    <w:p>
      <w:pPr/>
      <w:r>
        <w:rPr>
          <w:b/>
        </w:rPr>
        <w:t>I / IX</w:t>
      </w:r>
      <w:r>
        <w:t xml:space="preserve"> — </w:t>
      </w:r>
      <w:hyperlink r:id="rId28">
        <w:r>
          <w:rPr>
            <w:color w:val="17507D"/>
          </w:rPr>
          <w:t>00I canonical failure scenario</w:t>
        </w:r>
      </w:hyperlink>
      <w:r>
        <w:t xml:space="preserve">; </w:t>
      </w:r>
      <w:hyperlink r:id="rId29">
        <w:r>
          <w:rPr>
            <w:color w:val="17507D"/>
          </w:rPr>
          <w:t>00I extensibility profile v0.1</w:t>
        </w:r>
      </w:hyperlink>
      <w:r>
        <w:t>.</w:t>
      </w:r>
    </w:p>
    <w:p>
      <w:pPr/>
      <w:r>
        <w:rPr>
          <w:b/>
        </w:rPr>
        <w:t>J / JX</w:t>
      </w:r>
      <w:r>
        <w:t xml:space="preserve"> — </w:t>
      </w:r>
      <w:hyperlink r:id="rId30">
        <w:r>
          <w:rPr>
            <w:color w:val="17507D"/>
          </w:rPr>
          <w:t>00J canonical failure scenario</w:t>
        </w:r>
      </w:hyperlink>
      <w:r>
        <w:t xml:space="preserve">; </w:t>
      </w:r>
      <w:hyperlink r:id="rId31">
        <w:r>
          <w:rPr>
            <w:color w:val="17507D"/>
          </w:rPr>
          <w:t>00J extensibility profile v0.1</w:t>
        </w:r>
      </w:hyperlink>
      <w:r>
        <w:t>.</w:t>
      </w:r>
    </w:p>
    <w:p>
      <w:pPr/>
      <w:r>
        <w:rPr>
          <w:b/>
        </w:rPr>
        <w:t>EI</w:t>
      </w:r>
      <w:r>
        <w:t xml:space="preserve"> — </w:t>
      </w:r>
      <w:hyperlink r:id="rId32">
        <w:r>
          <w:rPr>
            <w:color w:val="17507D"/>
          </w:rPr>
          <w:t>00E Agent 365 implementation profile v0.2, §§3–4, 7</w:t>
        </w:r>
      </w:hyperlink>
    </w:p>
    <w:p>
      <w:pPr/>
      <w:r>
        <w:rPr>
          <w:b/>
        </w:rPr>
        <w:t>HI</w:t>
      </w:r>
      <w:r>
        <w:t xml:space="preserve"> — </w:t>
      </w:r>
      <w:hyperlink r:id="rId33">
        <w:r>
          <w:rPr>
            <w:color w:val="17507D"/>
          </w:rPr>
          <w:t>00H Claude Agent SDK implementation profile v0.4, §§3, 5–8</w:t>
        </w:r>
      </w:hyperlink>
    </w:p>
    <w:p>
      <w:pPr/>
      <w:r>
        <w:rPr>
          <w:b/>
        </w:rPr>
        <w:t>JI</w:t>
      </w:r>
      <w:r>
        <w:t xml:space="preserve"> — </w:t>
      </w:r>
      <w:hyperlink r:id="rId34">
        <w:r>
          <w:rPr>
            <w:color w:val="17507D"/>
          </w:rPr>
          <w:t>00J Panodyssey/TEMS implementation profile v0.1, §§3–6</w:t>
        </w:r>
      </w:hyperlink>
    </w:p>
    <w:p>
      <w:pPr/>
      <w:r>
        <w:rPr>
          <w:b/>
        </w:rPr>
        <w:t>Protocol</w:t>
      </w:r>
      <w:r>
        <w:t xml:space="preserve"> — Common_Cause_Hypothesis_and_Refutation_Protocol.docx, working draft 0.3, 29 September 2026. Author-directed sufficiency interpretation; HC/HS, context definition, candidate witnesses and refutation rules. This bridge is a companion, not a replacement for that protocol or the original cases.</w:t>
      </w:r>
    </w:p>
    <w:p>
      <w:pPr/>
      <w:r>
        <w:rPr>
          <w:b/>
        </w:rPr>
        <w:t>Revision record</w:t>
      </w:r>
      <w:r>
        <w:t xml:space="preserve"> — Draft 0.2 preserves the six canonical H statements and the causal/response sufficiency interpretation. It adds foundation anchors, the distinction between 02 and P1–P6, conserved predicates, case/walkthrough matrices, independent challenge conditions and evidence limits. It corrects the P4 derivation description and records the stronger 00H/00J source-backed candidate choices. No repository text or reported result has been changed.</w:t>
      </w:r>
    </w:p>
    <w:p>
      <w:pPr>
        <w:pStyle w:val="Heading1"/>
        <w:pageBreakBefore/>
      </w:pPr>
      <w:r>
        <w:t>Appendix C Self-audit of integration, evidence and industry transfer</w:t>
      </w:r>
    </w:p>
    <w:p>
      <w:pPr/>
      <w:r>
        <w:t>29 September 2026. Audit scope: this bridge draft 0.2, Protocol v0.3, the pinned foundation/principle/requirement sources, all six family profiles, A25, and selected executable A23 diagnostics. The audit is an author-side consistency review and a local replay of existing models; it is not independent peer review. Draft 0.3 adds this audit and two interpretive clarifications while preserving the preceding structure and canonical H1–H6 text.</w:t>
      </w:r>
    </w:p>
    <w:p>
      <w:pPr>
        <w:pStyle w:val="Heading2"/>
      </w:pPr>
      <w:r>
        <w:t>C1 Verdict and corrections</w:t>
      </w:r>
    </w:p>
    <w:p>
      <w:pPr/>
      <w:r>
        <w:rPr>
          <w:b/>
        </w:rPr>
        <w:t>The document has substantive semantic traceability and bounded executable support. It does not yet demonstrate the all-six common causal hypothesis or end-to-end response sufficiency.</w:t>
      </w:r>
      <w:r>
        <w:t xml:space="preserve"> Its links are more than visual associations: named predicates, requirement clauses, admissible counterexamples and test routes explain them. Their evidential strength differs, so “perfectly integrated and proved” would overstate the result.</w:t>
      </w:r>
    </w:p>
    <w:p>
      <w:pPr/>
      <w:r>
        <w:t>The earlier draft was too compressed about positive evidence. P3/P5/P6 remaining open in A23's general reduction does not mean that these controls have never worked in a bounded fixture. A25 explicitly distinguishes successful Route Q branches from a guarantee for every extension. The replay below confirms an operational P5 refinement under stated assumptions while retaining the historical P5 countermodel in the earlier abstraction. Both results can be true.</w:t>
      </w:r>
    </w:p>
    <w:p>
      <w:pPr/>
      <w:r>
        <w:t>Another distinction is essential: the six-case HC claim is an added research hypothesis, not a theorem of the foundation. H1–H6 investigate overlapping mechanisms and feasibility; they are not six logically sufficient premises whose conjunction proves HC or HS. The thesis proposes how to combine their effects. Its implementation must still be tested as a whole.</w:t>
      </w:r>
    </w:p>
    <w:p>
      <w:pPr>
        <w:pStyle w:val="Heading2"/>
      </w:pPr>
      <w:r>
        <w:t>C2 Executable evidence checked in this audit</w:t>
      </w:r>
    </w:p>
    <w:p>
      <w:pPr/>
      <w:r>
        <w:t>The existing semantic diagnostic and its model were retrieved from the same pinned repository snapshot. Local replay reproduced the published semantic certificate as a parsed JSON object. The six declared support projections were also enumerated using their existing R/P predicates and field lists; their state counts, conforming counts and violations matched the published clause-audit certificate. The audit did not independently prove the field-list reduction, validate every source-to-model translation, or rerun all corpus harnesses.</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Target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Declared projected states enumerated</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States satisfying bundle / violating target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8</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 conforming; 0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256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3 conforming; 0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4,096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518 conforming; 3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8,192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4,099 conforming; 0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8,192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108 conforming; 3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1,024</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34 conforming; 1 violation</w:t>
            </w:r>
          </w:p>
        </w:tc>
      </w:tr>
    </w:tbl>
    <w:p>
      <w:pPr>
        <w:spacing w:after="20"/>
      </w:pPr>
    </w:p>
    <w:p>
      <w:pPr/>
      <w:r>
        <w:t>These are finite Boolean projections, not incident frequencies or complete canonical-conformance results. P1/P2/P4 implications hold in these declared projections. P3/P5/P6 countermodels remain. Their interpretation still depends on action scope, recorded versus enforced requalification, and correlation versus false corroboration. Reproducing a certificate verifies reproducibility of that model result; it cannot establish the model's fidelity to every implementation.</w:t>
      </w:r>
    </w:p>
    <w:p>
      <w:pPr/>
      <w:r>
        <w:t>The separate P5 transition diagnostic enumerates all 5,460 event sequences of lengths one through six over qualification, material change, recording and attempted action. With the revision interlock: zero stale-execution sequences, with execution allowed in 1,836 sequences. Removing the interlock: 3,212 sequences contain stale or unqualified execution. This supplies a concrete bounded sufficiency result plus a mutation control; it is not merely a diagram connecting S10 to P5.</w:t>
      </w:r>
    </w:p>
    <w:p>
      <w:pPr/>
      <w:r>
        <w:t>That result assumes one decision, a serialized event stream, observable material changes, fixed valid authority and successful qualification when its event occurs. It excludes missed changes, concurrent execution, evidence adequacy and response costs. It therefore tests a useful enforcement component, not the complete minimal-map communication thesis. The existing P3/P6 diagnostics likewise clarify specific semantic distinctions without closing every applicable obligation.</w:t>
      </w:r>
    </w:p>
    <w:p>
      <w:pPr/>
      <w:r>
        <w:t>The RS-00E-Q1a execution record was inspected, not replayed here. It reports three deterministic branches passed by both the conventional and EA-profiled configurations at equal modelled burden. Its oracle/comparator lack independent review. That result is positive fixture evidence for both configurations; it establishes neither industry performance nor an EA advantage.</w:t>
      </w:r>
    </w:p>
    <w:p>
      <w:pPr>
        <w:pStyle w:val="Heading2"/>
      </w:pPr>
      <w:r>
        <w:t>C3 What sufficiency means at each level</w:t>
      </w:r>
    </w:p>
    <w:p>
      <w:pPr/>
      <w:r>
        <w:t>At the causal level, HC asks for an admitted changed-context causal witness for every failure family. Constant-context failures remain compatible. Shared vocabulary and six separate bad outcomes do not establish a common mechanism; the transfer/loss/change/reuse path must be observed and causally tested in each family.</w:t>
      </w:r>
    </w:p>
    <w:p>
      <w:pPr/>
      <w:r>
        <w:t>At the implementation level, a sufficient-response claim must state its quantifiers. Existence of one common mechanism is the design claim. For a chosen deterministic mechanism M and a declared operating domain D, the stronger candidate claim is that every admissible input in D meets the independently defined safety, continuity, timing and burden criteria. Passing selected traces establishes the claim only for those traces unless a justified exhaustive argument covers D. A probabilistic claim instead requires a registered distribution or scenario class, threshold and uncertainty rule.</w:t>
      </w:r>
    </w:p>
    <w:p>
      <w:pPr/>
      <w:r>
        <w:t>At the transfer level, a proof about D does not automatically extend to a new sector or scale. A25's route is conditional: establish a base guarantee; show that the extension's traces map to base traces while preserving requirement conformance; and show that any extension failure would reflect a base failure. If all three obligations hold, a conforming extension failure would contradict the base guarantee. This is a real conditional proof structure. Family resemblance or a mapping table alone does not discharge its premises.</w:t>
      </w:r>
    </w:p>
    <w:p>
      <w:pPr/>
      <w:r>
        <w:t>The remaining evidence obligations are therefore explicit: admitted HC witnesses across all six families, both 00H outcomes, operational tests of the registered H predictions, one composed response evaluated against strong peers, and separately established transfer premises. Failure of one trial must be interpreted against the claim it actually tests.</w:t>
      </w:r>
    </w:p>
    <w:p>
      <w:pPr>
        <w:pStyle w:val="Heading2"/>
      </w:pPr>
      <w:r>
        <w:t>C4 Why several industries can investigate the same mechanism</w:t>
      </w:r>
    </w:p>
    <w:p>
      <w:pPr/>
      <w:r>
        <w:t>Cross-industry relevance is structurally motivated by the extension profiles; actual industry interest, adoption and performance have not been measured. The examples below are candidate mappings and business objectives, not certified deployments or quantified benefits.</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Industry or business function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Preserved failure relation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Business value to test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Manufacturing and industrial maintenance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00F: independent controllers conflict over one machine/time slot. 00I: an old work order executes after another intervention changes its basis. [FX; IX]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Reduce avoidable disruption while allowing justified production and maintenance to proceed.</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Financial operations, insurance and customer remediation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00H: a valid finding exceeds the current action mandate; leaf permissions do not authorize the wider campaign. 00E: qualified evidence is lost across review layers. [HX; EX]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wider findings without unauthorized remediation or endless escalation.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Logistics, mobility and shared infrastructure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00F: locally defensible decisions become incompatible over shared capacity after a frame change. [FX]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Maintain coordinated continuity and useful response margin when local controls remain healthy.</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Media, software and data licensing</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00J: a valid narrow provenance record becomes unsupported evidence for a stronger receiving decision. [JX]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correct permissions and legitimate reuse while preventing unsupported enforcement.</w:t>
            </w:r>
          </w:p>
        </w:tc>
      </w:tr>
    </w:tbl>
    <w:p>
      <w:pPr>
        <w:spacing w:after="20"/>
      </w:pPr>
    </w:p>
    <w:p>
      <w:pPr/>
      <w:r>
        <w:t>Admission requires A25 X1–X7: preserve the kernel, receiving decision, failure predicate, requirement route and positive controls; declare finite resources/response time; and identify any new semantic primitive. For example, a manufacturing outage caused only by hardware failure is not evidence for 00I; the stale-order reliance relation must be present. A valid broader rights grant is a 00J positive control, not a failure.</w:t>
      </w:r>
    </w:p>
    <w:p>
      <w:pPr/>
      <w:r>
        <w:rPr>
          <w:b/>
        </w:rPr>
        <w:t>Permissible conclusion:</w:t>
      </w:r>
      <w:r>
        <w:t xml:space="preserve"> the framework is coherent enough for multi-industry investigation and contains reproducible bounded evidence. The all-six causal and response claims remain testable research propositions. This is a stronger, more defensible position than either calling the work “only arrows” or claiming that broad sufficiency has already been proved.</w:t>
      </w:r>
    </w:p>
    <w:p>
      <w:pPr>
        <w:pStyle w:val="Heading2"/>
      </w:pPr>
      <w:r>
        <w:t>C5 Additional audit sources</w:t>
      </w:r>
    </w:p>
    <w:p>
      <w:pPr/>
      <w:r>
        <w:t>All links use the governing snapshot. The scripts are referenced so the bounded replay and its assumptions can be inspected.</w:t>
      </w:r>
    </w:p>
    <w:p>
      <w:pPr/>
      <w:r>
        <w:rPr>
          <w:b/>
        </w:rPr>
        <w:t>A25</w:t>
      </w:r>
      <w:r>
        <w:t xml:space="preserve"> — </w:t>
      </w:r>
      <w:hyperlink r:id="rId35">
        <w:r>
          <w:rPr>
            <w:color w:val="17507D"/>
          </w:rPr>
          <w:t>Extensibility admission and conditional conformance transfer, §§4–6</w:t>
        </w:r>
      </w:hyperlink>
    </w:p>
    <w:p>
      <w:pPr/>
      <w:r>
        <w:rPr>
          <w:b/>
        </w:rPr>
        <w:t>A23 diagnostics</w:t>
      </w:r>
      <w:r>
        <w:t xml:space="preserve"> — </w:t>
      </w:r>
      <w:hyperlink r:id="rId36">
        <w:r>
          <w:rPr>
            <w:color w:val="17507D"/>
          </w:rPr>
          <w:t>Semantic review and execution limits</w:t>
        </w:r>
      </w:hyperlink>
      <w:r>
        <w:t xml:space="preserve">; </w:t>
      </w:r>
      <w:hyperlink r:id="rId37">
        <w:r>
          <w:rPr>
            <w:color w:val="17507D"/>
          </w:rPr>
          <w:t>diagnostic runner</w:t>
        </w:r>
      </w:hyperlink>
      <w:r>
        <w:t xml:space="preserve">; </w:t>
      </w:r>
      <w:hyperlink r:id="rId38">
        <w:r>
          <w:rPr>
            <w:color w:val="17507D"/>
          </w:rPr>
          <w:t>published semantic certificate</w:t>
        </w:r>
      </w:hyperlink>
      <w:r>
        <w:t>.</w:t>
      </w:r>
    </w:p>
    <w:p>
      <w:pPr/>
      <w:r>
        <w:rPr>
          <w:b/>
        </w:rPr>
        <w:t>A23 projections</w:t>
      </w:r>
      <w:r>
        <w:t xml:space="preserve"> — </w:t>
      </w:r>
      <w:hyperlink r:id="rId39">
        <w:r>
          <w:rPr>
            <w:color w:val="17507D"/>
          </w:rPr>
          <w:t>Requirement/principle model</w:t>
        </w:r>
      </w:hyperlink>
      <w:r>
        <w:t xml:space="preserve">; </w:t>
      </w:r>
      <w:hyperlink r:id="rId40">
        <w:r>
          <w:rPr>
            <w:color w:val="17507D"/>
          </w:rPr>
          <w:t>published projection certificate</w:t>
        </w:r>
      </w:hyperlink>
      <w:r>
        <w:t>.</w:t>
      </w:r>
    </w:p>
    <w:p>
      <w:pPr/>
      <w:r>
        <w:rPr>
          <w:b/>
        </w:rPr>
        <w:t>00E Stage-0</w:t>
      </w:r>
      <w:r>
        <w:t xml:space="preserve"> — </w:t>
      </w:r>
      <w:hyperlink r:id="rId41">
        <w:r>
          <w:rPr>
            <w:color w:val="17507D"/>
          </w:rPr>
          <w:t>RS-00E-Q1a execution record v0.5</w:t>
        </w:r>
      </w:hyperlink>
      <w:r>
        <w:t>.</w:t>
      </w:r>
    </w:p>
    <w:p>
      <w:pPr>
        <w:pStyle w:val="Heading1"/>
        <w:pageBreakBefore/>
      </w:pPr>
      <w:r>
        <w:t>Appendix D Executed adversarial traceability audit</w:t>
      </w:r>
    </w:p>
    <w:p>
      <w:pPr/>
      <w:r>
        <w:t>29 September 2026. Audit update 0.4. This appendix adds new executions and a stricter assessment of the earlier evidence. The preceding draft 0.3 text, including Appendix C, is preserved. Where an earlier passage describes the audit as limited to a certificate replay, this appendix supplies the expanded status. The canonical hypotheses, principles and sufficiency interpretation are unchanged.</w:t>
      </w:r>
    </w:p>
    <w:p>
      <w:pPr>
        <w:pStyle w:val="Heading2"/>
      </w:pPr>
      <w:r>
        <w:t>D1 Assessment and scope</w:t>
      </w:r>
    </w:p>
    <w:p>
      <w:pPr/>
      <w:r>
        <w:t>The new work strengthens the executable support for selected principle implementations and identifies failures outside their declared conditions. It does not establish that H1–H6 logically entail P1–P6, that the common cause has been reproduced in all six canonical families, or that the full communication thesis has achieved end-to-end sufficiency. Those distinctions determine which conclusion each test may support.</w:t>
      </w:r>
    </w:p>
    <w:p>
      <w:pPr/>
      <w:r>
        <w:t>The most consequential result concerns P5. An action-time revision guard prevents stale execution in all 97,655 event words of length one through seven in the visible-change model. The same guard permits stale execution in 18,420 of 335,922 words when an actual unobserved context-change event is admitted. A separate cached-check policy fails in 1,965 of the visible-domain words. The findings make observability and enforcement at the actual execution boundary explicit conditions of this candidate mechanism.</w:t>
      </w:r>
    </w:p>
    <w:p>
      <w:pPr/>
      <w:r>
        <w:t>The numbers describe exhaustive artificial model assignments or event words. They are not incident rates, independent operational samples, confidence estimates or evidence of performance in an industry. Several variants reuse the same inputs; their counts must not be added into a headline number of independent tests.</w:t>
      </w:r>
    </w:p>
    <w:p>
      <w:pPr>
        <w:pStyle w:val="Heading2"/>
      </w:pPr>
      <w:r>
        <w:t>D2 Audit design and circularity controls</w:t>
      </w:r>
    </w:p>
    <w:p>
      <w:pPr/>
      <w:r>
        <w:t>The protocol was written and hashed locally before the new candidate code was implemented. It declares finite input domains, expected invariants, deliberately broken variants and adverse results that must be retained. This is a local design record, not external preregistration. The work remains an author-side audit with no independent reviewer.</w:t>
      </w:r>
    </w:p>
    <w:p>
      <w:pPr/>
      <w:r>
        <w:t>Candidate mechanisms and evaluators are separate modules. The evaluator imports no candidate function or principle predicate. P1 compares a compact evidence carrier against enumeration of compatible worlds. P2 compares a scheduler against replay of charged events. P4 compares propagated permissions against original issuer records. P5 compares the candidate's observed revision against the actual event history. P6 compares propagated provenance against backward traversal of raw source edges. P3 uses eight expectations fixed in the protocol, including a safe alternative and inconsistent qualification.</w:t>
      </w:r>
    </w:p>
    <w:p>
      <w:pPr/>
      <w:r>
        <w:t>This separation reduces implementation coupling. It cannot remove the semantic assumptions shared by the author of both sides. P1 and P4, for example, still implement intentionally corresponding notions of support and delegated scope. Their agreement is bounded consistency evidence, not empirical confirmation of those notions. Independent domain review is still required to establish that the encoded facts and outcomes faithfully represent each canonical case.</w:t>
      </w:r>
    </w:p>
    <w:p>
      <w:pPr/>
      <w:r>
        <w:t>Mutation controls deliberately promote narrow evidence, spend the response reserve, turn unknown into permission, block every unknown, expand delegated scope, ignore revocation, discard aggregate limits, reuse a cached check and count correlated reports as independent. Every named broken variant has a retained counterexample. The P5 evaluator itself is checked against six fixed positive and negative histories; an always-safe evaluator fails four controls and an always-unsafe evaluator fails two. An always-hold candidate passes safety but fails legitimate-action continuity.</w:t>
      </w:r>
    </w:p>
    <w:p>
      <w:pPr/>
      <w:r>
        <w:t>Self-review also removed a defective draft metric that compared a full-observation action label to itself. Its replacement counts observation cells containing incompatible required actions. That result is explicitly classified as a property of the representation, not proof of successful communication. The original protocol and the adverse findings remain visible.</w:t>
      </w:r>
    </w:p>
    <w:p>
      <w:pPr>
        <w:pStyle w:val="Heading2"/>
      </w:pPr>
      <w:r>
        <w:t>D3 Review of the previous formal evidence</w:t>
      </w:r>
    </w:p>
    <w:p>
      <w:pPr/>
      <w:r>
        <w:t>The four preserved A23 model and certificate files were verified byte-for-byte against their Git blobs at the source snapshot. Earlier local copies contained one additional trailing newline; exact source bytes were restored before the final replay. The semantic certificate reproduces exactly after JSON normalization.</w:t>
      </w:r>
    </w:p>
    <w:p>
      <w:pPr/>
      <w:r>
        <w:t>The new reduction audit derives each predicate's relevant fields from its syntax rather than trusting the certificate's field list. It accepts only pure Boolean expressions over state attributes. The derived field sets match all six published projections, and exhaustive enumeration reproduces their state, conformance and violation counts. This closes the specific field-list verification gap noted in Appendix C for these functions. It does not establish that the model includes every material real-world variable.</w:t>
      </w:r>
    </w:p>
    <w:p>
      <w:pPr/>
      <w:r>
        <w:t>P1, P2 and P4 use target facts already expressed in their requirement bundles. Their zero-counterexample implications are valid results in that representation. They must be presented as logical consistency and conservation checks, not independent evidence that the corresponding empirical hypotheses are true. P3, P5 and P6 retain respectively three, three and one violating projected states. The new operational refinements neither change those original predicates nor close their full canonical interpretation.</w:t>
      </w:r>
    </w:p>
    <w:p>
      <w:pPr>
        <w:pStyle w:val="Heading2"/>
      </w:pPr>
      <w:r>
        <w:t>D4 Executed checks for the six principle links</w:t>
      </w:r>
    </w:p>
    <w:tbl>
      <w:tblPr>
        <w:tblW w:type="auto" w:w="0"/>
        <w:jc w:val="center"/>
        <w:tblLayout w:type="fixed"/>
        <w:tblLook w:firstColumn="1" w:firstRow="1" w:lastColumn="0" w:lastRow="0" w:noHBand="0" w:noVBand="1" w:val="04A0"/>
      </w:tblPr>
      <w:tblGrid>
        <w:gridCol w:w="1656"/>
        <w:gridCol w:w="2880"/>
        <w:gridCol w:w="2736"/>
        <w:gridCol w:w="2952"/>
      </w:tblGrid>
      <w:tr>
        <w:trPr>
          <w:cantSplit/>
          <w:tblHeader/>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Check</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Declared domain per variant</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Qualified candidate discrepancies</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Broken variant discrepancies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 proposition support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189 evidence and receiving-claim combinations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Any positive evidence promoted to full support: 96</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 response capacity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28,644 investigation, budget and response combinations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Response cost ignored: 17,566</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 unresolved disposition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8 fixed action-specific fixtures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Unknown becomes permission: 3; all unknown blocks: 2; conflicting unknown ignored: 1</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 delegated authority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86,016 grant-chain, revocation, cap and action combinations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Union of scopes: 6,102; revocation ignored: 4,375; aggregate cap ignored: 26</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P6 source dependence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1,024 directed acyclic graphs and 10 report pairs per graph</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 across 10,240 pairs</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Distinct names treated as independence: 7,470; immediate parents only: 5,214</w:t>
            </w:r>
          </w:p>
        </w:tc>
      </w:tr>
    </w:tbl>
    <w:p>
      <w:pPr>
        <w:spacing w:after="20"/>
      </w:pPr>
    </w:p>
    <w:p>
      <w:pPr/>
      <w:r>
        <w:t>P1 uses three independent Boolean propositions and positive, negative or unknown evidence. The evaluator asks whether every world consistent with that evidence supports the receiving conjunction. This supports the narrow H2-to-P1 scope-preservation obligation. It does not measure confidence calibration or prove the whole P1 treatment of open residual.</w:t>
      </w:r>
    </w:p>
    <w:p>
      <w:pPr/>
      <w:r>
        <w:t>P2 uses observation durations from one to four, sequences of one to five observations, budgets from one to eight and response durations from one to three. Only budgets permitting the response itself are admitted. Reserving time prevents the response from exceeding the total budget. The result supports the finite-capacity implementation obligation associated with H1/H6 and P2. It does not compare adaptive versus fixed windows on a risk/resource frontier.</w:t>
      </w:r>
    </w:p>
    <w:p>
      <w:pPr/>
      <w:r>
        <w:t>P3 includes unresolved route safety, an independently established stop action, unrelated unknown weather, missing authority and inconsistent qualification. The qualified policy permits the safe authorized alternative and preserves unresolved status for the original action. These are eight authored semantic fixtures, not exhaustive coverage of the canonical scenario families.</w:t>
      </w:r>
    </w:p>
    <w:p>
      <w:pPr/>
      <w:r>
        <w:t>P4 covers three-grant chains over three atomic actions, all scope combinations, all revocation patterns, nonempty requested action sets and uniform aggregate caps of one, two or three. Three additional controls place the tighter cap at different positions in a heterogeneous chain. This tests scope preservation and a bounded aggregate mandate. Authentic issuers, tamper resistance, mandate interpretation, temporal revocation races and preservation of wider findings remain outside the model. The externally governed F-H authority premise is still required; H2/H4 do not supply it.</w:t>
      </w:r>
    </w:p>
    <w:p>
      <w:pPr/>
      <w:r>
        <w:t>P6 covers all forward-edge DAGs on five nodes, so every such acyclic shape is included under a topological numbering. The candidate propagates root provenance; the evaluator independently traverses edges backwards. A shared root prevents a claim of independent corroboration. Correlated records remain usable with their qualification. Semantic source errors, unknown graph edges, cycles, confidence calibration and mission displacement are not tested.</w:t>
      </w:r>
    </w:p>
    <w:p>
      <w:pPr>
        <w:pStyle w:val="Heading2"/>
      </w:pPr>
      <w:r>
        <w:t>D5 Temporal enforcement and counterexamples</w:t>
      </w:r>
    </w:p>
    <w:p>
      <w:pPr/>
      <w:r>
        <w:t>Q denotes qualification, C a visible material change, R disposition recording, K a pre-execution check, A attempted action and X an actual unobserved material change. In the visible domain there are 97,655 words of lengths one through seven over Q/C/R/K/A. Adding X creates 335,922 words. Results count words containing at least one bad execution, not the number of bad actions.</w:t>
      </w:r>
    </w:p>
    <w:tbl>
      <w:tblPr>
        <w:tblW w:type="auto" w:w="0"/>
        <w:jc w:val="center"/>
        <w:tblLayout w:type="fixed"/>
        <w:tblLook w:firstColumn="1" w:firstRow="1" w:lastColumn="0" w:lastRow="0" w:noHBand="0" w:noVBand="1" w:val="04A0"/>
      </w:tblPr>
      <w:tblGrid>
        <w:gridCol w:w="1656"/>
        <w:gridCol w:w="2880"/>
        <w:gridCol w:w="2736"/>
        <w:gridCol w:w="2952"/>
      </w:tblGrid>
      <w:tr>
        <w:trPr>
          <w:cantSplit/>
          <w:tblHeader/>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Candidate or challenge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Words evaluated</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Words with stale or unqualified execution</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Words permitting some execution</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Revision guard at action time with visible changes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97,655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30,846</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Recording treated as qualification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97,655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17,847</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46,704</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Cached result of an earlier check</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97,655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1,965</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10,831</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No guard</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97,655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56,079</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75,811</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Always hold</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97,655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Same revision guard with unobserved changes admitted</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335,922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18,420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85,552</w:t>
            </w:r>
          </w:p>
        </w:tc>
      </w:tr>
    </w:tbl>
    <w:p>
      <w:pPr>
        <w:spacing w:after="20"/>
      </w:pPr>
    </w:p>
    <w:p>
      <w:pPr/>
      <w:r>
        <w:t>The shortest recording counterexample is R,A: a disposition record permits execution without qualification. Q,C,R,A shows the corresponding stale-basis error after a real qualification. The cached-check counterexample is Q,K,C,A: the check passes, the world changes, and the old result still permits execution. The hidden-change counterexample is Q,X,A: the candidate receives no change signal, yet the actual basis has changed. The evaluator sees the actual change independently of the candidate's observed revision.</w:t>
      </w:r>
    </w:p>
    <w:p>
      <w:pPr/>
      <w:r>
        <w:t>Positive controls include Q,A and Q,C,Q,A, both permitted by the atomic guard. Q,C,R,A is blocked. The always-hold variant demonstrates why zero failures alone does not establish sufficient response. The cached-check variant also blocks Q,A until its separate K step occurs, so its availability is not treated as equivalent to the atomic policy.</w:t>
      </w:r>
    </w:p>
    <w:p>
      <w:pPr/>
      <w:r>
        <w:t>The model assumes a single decision, serialized events, fixed valid authority and successful qualification when Q occurs. It does not model the adequacy of evidence, a complete communication protocol, costs, human response or simultaneous hardware execution. The cached trace exposes a check/use race by explicit interleaving; it is not an exhaustive concurrent-system verification. The new visible-domain result is larger than Appendix C's 5,460-word model and uses a separate evaluator, but neither bounded enumeration proves arbitrary trace lengths.</w:t>
      </w:r>
    </w:p>
    <w:p>
      <w:pPr>
        <w:pStyle w:val="Heading2"/>
      </w:pPr>
      <w:r>
        <w:t>D6 A concrete limit on the minimum context map</w:t>
      </w:r>
    </w:p>
    <w:p>
      <w:pPr/>
      <w:r>
        <w:t>The observation test contains four possible contexts with two binary dimensions. The transmitted map distinguishes only the first dimension, while the required action depends on the second. Each of the two observable message classes therefore contains contexts requiring incompatible actions. All four deterministic decoders of the message are wrong in two of the four contexts. If the missing dimension is included, the four observation classes each have a single required action.</w:t>
      </w:r>
    </w:p>
    <w:p>
      <w:pPr/>
      <w:r>
        <w:t>This supplies a finite impossibility witness for the insufficient map. A decoder cannot recover a distinction absent from every accessible input. Permitting abstention can preserve safety, but it cannot satisfy a requirement to complete the legitimate action in both indistinguishable contexts. The result limits a declared carrier; it does not refute H4's existence claim about some other bounded carrier. The broader theorem depends on the explicit assumption that no other distinguishing signal arrives before the decision deadline.</w:t>
      </w:r>
    </w:p>
    <w:p>
      <w:pPr/>
      <w:r>
        <w:t>Together with Q,X,A, this gives the thesis a precise coverage obligation: identify which material changes the selected map and observation channels can distinguish in time. Agreement between transmitted positions is insufficient when both positions omit the decisive condition.</w:t>
      </w:r>
    </w:p>
    <w:p>
      <w:pPr>
        <w:pStyle w:val="Heading2"/>
      </w:pPr>
      <w:r>
        <w:t>D7 Traceability records and the status of each hypothesis</w:t>
      </w:r>
    </w:p>
    <w:p>
      <w:pPr/>
      <w:r>
        <w:t>The following records connect source premises to tested obligations. Their labels distinguish semantic derivation from research support. The authoritative H1–H6 wording remains in Appendix A. Short descriptions below do not replace it.</w:t>
      </w:r>
    </w:p>
    <w:tbl>
      <w:tblPr>
        <w:tblW w:type="auto" w:w="0"/>
        <w:jc w:val="center"/>
        <w:tblLayout w:type="fixed"/>
        <w:tblLook w:firstColumn="1" w:firstRow="1" w:lastColumn="0" w:lastRow="0" w:noHBand="0" w:noVBand="1" w:val="04A0"/>
      </w:tblPr>
      <w:tblGrid>
        <w:gridCol w:w="1656"/>
        <w:gridCol w:w="2880"/>
        <w:gridCol w:w="2736"/>
        <w:gridCol w:w="2952"/>
      </w:tblGrid>
      <w:tr>
        <w:trPr>
          <w:cantSplit/>
          <w:tblHeader/>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Record</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Upstream and hypothesis connection</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Principle and requirement route</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What the execution supports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L1</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F-A/F-B/F-D; H1/H2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 S14 and qualified residual</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Receiving-proposition preservation in the finite evidence model</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L2</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F-C; H1/H6</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 S3/S4/T4</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response reserve within the declared total budget</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L3</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F-B; H1</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 S5 with S14</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Action-specific unresolved status and legitimate alternative response</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L4</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F-D/F-G/F-H; H2/H4 mediated</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 S1/S6/S8</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Externally defined grants remain bounded under token propagation</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L5</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F-E; H5/H6</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 S10/T2/T4/S14</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Action-time currentness for observed serialized changes; explicit failure outside that domain</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L6</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F-F/F-G; H2/H3</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 S9/S11</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Source-dependence preservation for the declared DAGs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L7</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Bounded representation; H4</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Cross-cutting carrier feasibility</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Impossibility for a map that merges incompatible decision contexts</w:t>
            </w:r>
          </w:p>
        </w:tc>
      </w:tr>
    </w:tbl>
    <w:p>
      <w:pPr>
        <w:spacing w:after="20"/>
      </w:pPr>
    </w:p>
    <w:p>
      <w:pPr/>
      <w:r>
        <w:t>H4 supports the carrier across the architecture; listing it in L4 does not make it exclusive to authority. Likewise, the six records are not a one-to-one assignment between six hypotheses, principles and case families. The source meanings and added objectives determine the links.</w:t>
      </w:r>
    </w:p>
    <w:p>
      <w:pPr/>
      <w:r>
        <w:t>H1 still requires a matched comparison of explicit unresolved disposition against forced closure on independently defined deadlock and false-certainty outcomes. H2 requires a comparison of conditional and unqualified confidence against receiving-decision truth. H3 requires matched loss/compression and preservation or independent-source arms. The new P1/P3/P6 checks isolate mechanisms relevant to these predictions but do not estimate their effects.</w:t>
      </w:r>
    </w:p>
    <w:p>
      <w:pPr/>
      <w:r>
        <w:t>H4 requires an implemented bounded envelope whose retained distinctions suffice over a declared admissible context domain and communication budget. H5 requires varying independently imposed churn and validity under a fixed observation/verification budget. H6 requires adaptive and fixed-window policies compared with the full risk/resource ledger. The new observation-limit, P5 and P2 checks respectively constrain these designs; they do not establish those three empirical claims.</w:t>
      </w:r>
    </w:p>
    <w:p>
      <w:pPr/>
      <w:r>
        <w:t>For each empirical comparison, freeze the domain, comparator, effect criterion and uncertainty rule before collecting outcomes. No numeric threshold is invented here to make the present deterministic fixtures count as successful empirical trials.</w:t>
      </w:r>
    </w:p>
    <w:p>
      <w:pPr>
        <w:pStyle w:val="Heading2"/>
      </w:pPr>
      <w:r>
        <w:t>D8 Remaining causal and integration obligations</w:t>
      </w:r>
    </w:p>
    <w:p>
      <w:pPr/>
      <w:r>
        <w:t>The common causal hypothesis HC retains its quantifier: for every admitted failure family, an admissible changed-context configuration exists that reproduces the independently defined failure through the proposed pathway. A constant-context failure is compatible. A failed candidate is not a refutation of an unbounded existence claim.</w:t>
      </w:r>
    </w:p>
    <w:p>
      <w:pPr/>
      <w:r>
        <w:t>No new all-six causal campaign was executed in this audit. The P5 trace is relevant to 00I but has not been admitted against all its canonical case gates. The P6 graph test does not execute 00G mission displacement. The P4 chain test does not establish both required 00H outcomes, especially preservation of the wider finding. P1 and P2 likewise do not execute the full rights-portability or synthesis cases. The accompanying TRACEABILITY.md contains all six family records and their outstanding admission obligations.</w:t>
      </w:r>
    </w:p>
    <w:p>
      <w:pPr/>
      <w:r>
        <w:t>The next causal campaign must pair changed and unchanged reference context with information alone, a carried map without enforcement, and a carried map with active comparison and authorized response. Preserve the same receiving decision and independently scored business outcome. Record the loss, change and reuse events separately, and intervene on the proposed pathway to distinguish causation from co-occurrence. Admit a strong conventional peer on equal information and resource terms.</w:t>
      </w:r>
    </w:p>
    <w:p>
      <w:pPr/>
      <w:r>
        <w:t>HS requires a composed implementation that simultaneously preserves the qualified signal, detects covered changes, obtains legitimate authority, completes response in time and permits justified activity. Separate component passes do not imply this composition. No pipeline with those complete responsibilities was implemented here; its declared domain and business outcome oracle remain necessary work. The deliberately weakened variants and boundary challenges in this audit diagnose specific obligations, not universal necessity of the named architecture.</w:t>
      </w:r>
    </w:p>
    <w:p>
      <w:pPr>
        <w:pStyle w:val="Heading2"/>
      </w:pPr>
      <w:r>
        <w:t>D9 Reproduction and publication record</w:t>
      </w:r>
    </w:p>
    <w:p>
      <w:pPr/>
      <w:r>
        <w:t xml:space="preserve">The evidence package contains the locally frozen protocol, candidate and evaluator modules, the exhaustive runner, the prior-model replay and reduction review, machine-readable results, exact-source hashes and the detailed traceability register. The preserved prior model is included so the run requires only Python 3.10 or later and its standard library. From the package directory run </w:t>
      </w:r>
      <w:r>
        <w:rPr>
          <w:rFonts w:ascii="Consolas" w:hAnsi="Consolas"/>
          <w:sz w:val="20"/>
        </w:rPr>
        <w:t>python3 run_audit.py</w:t>
      </w:r>
      <w:r>
        <w:t xml:space="preserve">, then </w:t>
      </w:r>
      <w:r>
        <w:rPr>
          <w:rFonts w:ascii="Consolas" w:hAnsi="Consolas"/>
          <w:sz w:val="20"/>
        </w:rPr>
        <w:t>python3 replay_and_review.py</w:t>
      </w:r>
      <w:r>
        <w:t>. Both commands return nonzero if a declared acceptance assertion fails.</w:t>
      </w:r>
    </w:p>
    <w:p>
      <w:pPr/>
      <w:r>
        <w:t>The source snapshot is 0ca06f446bb4f037b117c1af525a0ae7ded0900b. The preceding document was published at aaf6b5eb2f1f235e78535fa71d37b9d5146de1ad. Existing scientific sources are preserved. This audit supplies additional evidence and a more precise interpretation of its strength.</w:t>
      </w:r>
    </w:p>
    <w:p>
      <w:pPr/>
      <w:hyperlink r:id="rId42">
        <w:r>
          <w:rPr>
            <w:color w:val="17507D"/>
          </w:rPr>
          <w:t>Executable evidence and traceability register</w:t>
        </w:r>
      </w:hyperlink>
    </w:p>
    <w:p>
      <w:pPr/>
      <w:r>
        <w:t>The supported conclusion is that the selected operational links now have separately implemented, mutation-sensitive checks and explicit counterexamples. Their source-to-model interpretation remains reviewable, and the common causal and full response claims retain their independent test obligations.</w:t>
      </w:r>
    </w:p>
    <w:p>
      <w:pPr>
        <w:pStyle w:val="Heading1"/>
        <w:pageBreakBefore/>
      </w:pPr>
      <w:r>
        <w:t>Appendix E Publication verification and assumption review</w:t>
      </w:r>
    </w:p>
    <w:p>
      <w:pPr/>
      <w:r>
        <w:t>29 September 2026. Audit update 0.4.1. This supplement preserves all preceding text and qualifies the interpretation of the P6 source-dependence test. It also adds input-admission and cost-ledger checks without altering the original published runs.</w:t>
      </w:r>
    </w:p>
    <w:p>
      <w:pPr>
        <w:pStyle w:val="Heading2"/>
      </w:pPr>
      <w:r>
        <w:t>E1 Publication and reproduction</w:t>
      </w:r>
    </w:p>
    <w:p>
      <w:pPr/>
      <w:r>
        <w:t>All twenty document and evidence blobs under the dated publication directory at commit 3744ef953265727612da979878f7e97a0b7fe989 were compared with local bytes and matched their Git hashes. Both published result files, results.json and review_results.json, reproduced exactly in a separate directory. This verifies publication completeness and reproducibility for that snapshot. It does not independently validate the scientific interpretation.</w:t>
      </w:r>
    </w:p>
    <w:p>
      <w:pPr>
        <w:pStyle w:val="Heading2"/>
      </w:pPr>
      <w:r>
        <w:t>E2 Evaluator weaknesses found and addressed</w:t>
      </w:r>
    </w:p>
    <w:p>
      <w:pPr/>
      <w:r>
        <w:t>The original generators produce inputs inside declared domains, but several evaluators did not reject malformed inputs if called separately. Invalid evidence could leave no compatible world and produce a vacuous support result. A truncated execution record or an execution reported at a nonaction event could escape the temporal evaluator. The time evaluator accepted charges supplied in the candidate's output, so a false zero charge could appear timely.</w:t>
      </w:r>
    </w:p>
    <w:p>
      <w:pPr/>
      <w:r>
        <w:t>The added checked_evaluators.py rejects the tested malformed records. Its time score uses observation and response charges supplied separately by the test environment and checks the candidate's record against that ledger. The original generator already supplied the correct charges, so the earlier counts do not change. Trusted measurement remains an explicit assumption; an independently supplied ledger is not a real measurement merely because it is stored separately.</w:t>
      </w:r>
    </w:p>
    <w:p>
      <w:pPr/>
      <w:r>
        <w:t>Eleven malformed-record controls were rejected. Rechecking 189 P1 inputs, 28,644 P2 combinations and all 335,922 P5 extended-domain words preserved the previous scores for the candidates examined. Explicit continuity assertions confirm that Q,A and Q,C,Q,A execute, while Q,C,R,A does not. These checks strengthen the evaluators' admission boundary; they do not certify arbitrary malformed inputs or hostile runtime code.</w:t>
      </w:r>
    </w:p>
    <w:p>
      <w:pPr>
        <w:pStyle w:val="Heading2"/>
      </w:pPr>
      <w:r>
        <w:t>E3 Structural ancestry is not statistical independence</w:t>
      </w:r>
    </w:p>
    <w:p>
      <w:pPr/>
      <w:r>
        <w:t>The P6 DAG test establishes whether two reports share a represented root. Its variable names use “independent”, but root separation alone does not establish statistical independence, factual truth or absence of unrepresented common causes. That interpretation requires additional assumptions about the source process and completeness of the represented dependencies.</w:t>
      </w:r>
    </w:p>
    <w:p>
      <w:pPr/>
      <w:r>
        <w:t>A counterexample makes this explicit. Two reports have separate represented roots, but their values are jointly (0,0) or (1,1), each with probability one half. The graph check reports root separation. Yet the joint probability of both values being one is 0.5, whereas the product of their marginal probabilities is 0.25. The source values are dependent. This counterexample is retained in follow_up_results.json. Read the earlier P6 results as structural provenance checks; a statistical or epistemic independence claim requires further evidence.</w:t>
      </w:r>
    </w:p>
    <w:p>
      <w:pPr>
        <w:pStyle w:val="Heading2"/>
      </w:pPr>
      <w:r>
        <w:t>E4 Assumptions that must accompany the results</w:t>
      </w:r>
    </w:p>
    <w:p>
      <w:pPr/>
      <w:r>
        <w:t>P1 assumes accurate evidence labels and a fixed three-proposition truth model. It does not evaluate calibrated degrees of certainty, mistaken observations or an open-world ontology. P2 models known deterministic observation and response charges; queues, communication, human delays and other costs count only if explicitly charged. It establishes timing, not successful business recovery.</w:t>
      </w:r>
    </w:p>
    <w:p>
      <w:pPr/>
      <w:r>
        <w:t>P3 uses eight author-specified dispositions. P4 trusts the issuer records and their action/cap meanings; authenticity and real mandate interpretation are external obligations. P5 treats each C/X as invalidating the relevant basis and each Q as successful renewed qualification. It assumes serialized events and does not test whether Q acquired adequate evidence. P6 assumes a known forward DAG and reports ancestry overlap as clarified above. The H4 impossibility witness assumes the stated incompatible required actions and absence of another timely distinguishing observation.</w:t>
      </w:r>
    </w:p>
    <w:p>
      <w:pPr/>
      <w:r>
        <w:t>Separate code does not create independent semantic validation. The foundation-to-principle links still require source-led interpretation and explicit design objectives, including external authority. The earlier P1/P2/P4 implications remain consistency results. The six causal family witnesses, empirical H1–H6 comparisons and the complete HS mechanism remain separate, uncompleted validation obligations.</w:t>
      </w:r>
    </w:p>
    <w:p>
      <w:pPr>
        <w:pStyle w:val="Heading2"/>
      </w:pPr>
      <w:r>
        <w:t>E5 Reproduction of this supplement</w:t>
      </w:r>
    </w:p>
    <w:p>
      <w:pPr/>
      <w:r>
        <w:t xml:space="preserve">From the evidence-package root run </w:t>
      </w:r>
      <w:r>
        <w:rPr>
          <w:rFonts w:ascii="Consolas" w:hAnsi="Consolas"/>
          <w:sz w:val="20"/>
        </w:rPr>
        <w:t>python3 follow_up/run_follow_up.py</w:t>
      </w:r>
      <w:r>
        <w:t>. The command writes follow_up/follow_up_results.json and fails if a declared check does not hold. The original audit commands and files remain unchanged. The strongest justified conclusion is bounded reproducible support with named assumptions, adverse results and open obligations. No claim of complete freedom from modelling error or circularity is made.</w:t>
      </w:r>
    </w:p>
    <w:sectPr w:rsidR="00FC693F" w:rsidRPr="0006063C" w:rsidSect="00034616">
      <w:headerReference w:type="default" r:id="rId9"/>
      <w:footerReference w:type="default" r:id="rId10"/>
      <w:pgSz w:w="12240" w:h="15840"/>
      <w:pgMar w:top="1008" w:right="1008" w:bottom="1008"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Foundations, hypotheses and principles | Traceability bridge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akleyer/structural-awareness-contributions/blob/0ca06f446bb4f037b117c1af525a0ae7ded0900b/research/ecosystem-awareness/baseline/01_FOUNDATIONAL_THEORY_v0.5_INTEGRATED.md" TargetMode="External"/><Relationship Id="rId12" Type="http://schemas.openxmlformats.org/officeDocument/2006/relationships/hyperlink" Target="https://github.com/dakleyer/structural-awareness-contributions/blob/0ca06f446bb4f037b117c1af525a0ae7ded0900b/research/ecosystem-awareness/baseline/02_EPISTEMIC_SAFETY_PRINCIPLES_CONTROL_MATRIX_v0.4.part01.md" TargetMode="External"/><Relationship Id="rId13" Type="http://schemas.openxmlformats.org/officeDocument/2006/relationships/hyperlink" Target="https://github.com/dakleyer/structural-awareness-contributions/blob/0ca06f446bb4f037b117c1af525a0ae7ded0900b/research/ecosystem-awareness/baseline/02_EPISTEMIC_SAFETY_PRINCIPLES_CONTROL_MATRIX_v0.4.part02.md" TargetMode="External"/><Relationship Id="rId14" Type="http://schemas.openxmlformats.org/officeDocument/2006/relationships/hyperlink" Target="https://github.com/dakleyer/structural-awareness-contributions/blob/0ca06f446bb4f037b117c1af525a0ae7ded0900b/research/ecosystem-awareness/baseline/02_EPISTEMIC_SAFETY_PRINCIPLES_CONTROL_MATRIX_v0.4.part03.md" TargetMode="External"/><Relationship Id="rId15" Type="http://schemas.openxmlformats.org/officeDocument/2006/relationships/hyperlink" Target="https://github.com/dakleyer/structural-awareness-contributions/blob/0ca06f446bb4f037b117c1af525a0ae7ded0900b/research/ecosystem-awareness/baseline/00_CANONICAL_REQUIREMENTS_CHALLENGES_SUFFICIENCY_HYPOTHESES_KPIS.md" TargetMode="External"/><Relationship Id="rId16" Type="http://schemas.openxmlformats.org/officeDocument/2006/relationships/hyperlink" Target="https://github.com/dakleyer/structural-awareness-contributions/blob/0ca06f446bb4f037b117c1af525a0ae7ded0900b/research/ecosystem-awareness/baseline/02A_FOUNDATION_TO_OPERATIONAL_PRINCIPLE_DERIVATION_PROOF_v0.1.md" TargetMode="External"/><Relationship Id="rId17" Type="http://schemas.openxmlformats.org/officeDocument/2006/relationships/hyperlink" Target="https://github.com/dakleyer/structural-awareness-contributions/blob/0ca06f446bb4f037b117c1af525a0ae7ded0900b/research/ecosystem-awareness/baseline/00K_SIX_PRINCIPLE_REQUIREMENTS_MAPPING_AND_ABLATION_TEST_v0.1_DRAFT.md" TargetMode="External"/><Relationship Id="rId18" Type="http://schemas.openxmlformats.org/officeDocument/2006/relationships/hyperlink" Target="https://github.com/dakleyer/structural-awareness-contributions/blob/0ca06f446bb4f037b117c1af525a0ae7ded0900b/research/ecosystem-awareness/baseline/00K_A19_PRINCIPLE_REQUIREMENT_TRACEABILITY_AND_CONSERVATION_PROOF_v0.1.md" TargetMode="External"/><Relationship Id="rId19" Type="http://schemas.openxmlformats.org/officeDocument/2006/relationships/hyperlink" Target="https://github.com/dakleyer/structural-awareness-contributions/blob/0ca06f446bb4f037b117c1af525a0ae7ded0900b/research/ecosystem-awareness/baseline/00K_A23_CANONICAL_REQUIREMENT_CONFORMANCE_SUFFICIENCY_P1_P6_v0.1.md" TargetMode="External"/><Relationship Id="rId20" Type="http://schemas.openxmlformats.org/officeDocument/2006/relationships/hyperlink" Target="https://github.com/dakleyer/structural-awareness-contributions/blob/0ca06f446bb4f037b117c1af525a0ae7ded0900b/research/ecosystem-awareness/baseline/00E_FAILURE_MODES_100M_TOKEN_COMPOUNDING_v0.1.md" TargetMode="External"/><Relationship Id="rId21" Type="http://schemas.openxmlformats.org/officeDocument/2006/relationships/hyperlink" Target="https://github.com/dakleyer/structural-awareness-contributions/blob/0ca06f446bb4f037b117c1af525a0ae7ded0900b/research/ecosystem-awareness/baseline/00E_CASE_STUDY_EXTENSIBILITY_PROFILE_v0.1.md" TargetMode="External"/><Relationship Id="rId22" Type="http://schemas.openxmlformats.org/officeDocument/2006/relationships/hyperlink" Target="https://github.com/dakleyer/structural-awareness-contributions/blob/0ca06f446bb4f037b117c1af525a0ae7ded0900b/research/ecosystem-awareness/baseline/00F_FAILURE_MODE_SMART_CITY_MOBILITY_SYSTEMIC_DIVERGENCE_v0.2_FREEZE_EDITION.md" TargetMode="External"/><Relationship Id="rId23" Type="http://schemas.openxmlformats.org/officeDocument/2006/relationships/hyperlink" Target="https://github.com/dakleyer/structural-awareness-contributions/blob/0ca06f446bb4f037b117c1af525a0ae7ded0900b/research/ecosystem-awareness/baseline/00F_CASE_STUDY_EXTENSIBILITY_PROFILE_v0.1.md" TargetMode="External"/><Relationship Id="rId24" Type="http://schemas.openxmlformats.org/officeDocument/2006/relationships/hyperlink" Target="https://github.com/dakleyer/structural-awareness-contributions/blob/0ca06f446bb4f037b117c1af525a0ae7ded0900b/research/ecosystem-awareness/baseline/00G_FAILURE_MODE_COLLECTIVE_FALSE_CONTEXT_CONVERGENCE_v0.4.md" TargetMode="External"/><Relationship Id="rId25" Type="http://schemas.openxmlformats.org/officeDocument/2006/relationships/hyperlink" Target="https://github.com/dakleyer/structural-awareness-contributions/blob/0ca06f446bb4f037b117c1af525a0ae7ded0900b/research/ecosystem-awareness/baseline/00G_CASE_STUDY_EXTENSIBILITY_PROFILE_v0.1.md" TargetMode="External"/><Relationship Id="rId26" Type="http://schemas.openxmlformats.org/officeDocument/2006/relationships/hyperlink" Target="https://github.com/dakleyer/structural-awareness-contributions/blob/0ca06f446bb4f037b117c1af525a0ae7ded0900b/research/ecosystem-awareness/baseline/00H_FAILURE_MODE_BATCH_OPPORTUNITY_BEYOND_AUTHORITY_v0.5_DRAFT.md" TargetMode="External"/><Relationship Id="rId27" Type="http://schemas.openxmlformats.org/officeDocument/2006/relationships/hyperlink" Target="https://github.com/dakleyer/structural-awareness-contributions/blob/0ca06f446bb4f037b117c1af525a0ae7ded0900b/research/ecosystem-awareness/baseline/00H_CASE_STUDY_EXTENSIBILITY_PROFILE_v0.1.md" TargetMode="External"/><Relationship Id="rId28" Type="http://schemas.openxmlformats.org/officeDocument/2006/relationships/hyperlink" Target="https://github.com/dakleyer/structural-awareness-contributions/blob/0ca06f446bb4f037b117c1af525a0ae7ded0900b/research/ecosystem-awareness/baseline/00I_FAILURE_MODE_SEMANTIC_TOCTOU_v0.5_FREEZE_EDITION.md" TargetMode="External"/><Relationship Id="rId29" Type="http://schemas.openxmlformats.org/officeDocument/2006/relationships/hyperlink" Target="https://github.com/dakleyer/structural-awareness-contributions/blob/0ca06f446bb4f037b117c1af525a0ae7ded0900b/research/ecosystem-awareness/baseline/00I_CASE_STUDY_EXTENSIBILITY_PROFILE_v0.1.md" TargetMode="External"/><Relationship Id="rId30" Type="http://schemas.openxmlformats.org/officeDocument/2006/relationships/hyperlink" Target="https://github.com/dakleyer/structural-awareness-contributions/blob/0ca06f446bb4f037b117c1af525a0ae7ded0900b/research/ecosystem-awareness/baseline/00J_FAILURE_MODE_RIGHTS_PROVENANCE_INVERSION_v0.1_DRAFT.md" TargetMode="External"/><Relationship Id="rId31" Type="http://schemas.openxmlformats.org/officeDocument/2006/relationships/hyperlink" Target="https://github.com/dakleyer/structural-awareness-contributions/blob/0ca06f446bb4f037b117c1af525a0ae7ded0900b/research/ecosystem-awareness/baseline/00J_CASE_STUDY_EXTENSIBILITY_PROFILE_v0.1.md" TargetMode="External"/><Relationship Id="rId32" Type="http://schemas.openxmlformats.org/officeDocument/2006/relationships/hyperlink" Target="https://github.com/dakleyer/structural-awareness-contributions/blob/0ca06f446bb4f037b117c1af525a0ae7ded0900b/research/ecosystem-awareness/baseline/00E_A01_MICROSOFT_AGENT_365_IMPLEMENTATION_PROFILE_v0.2_DRAFT.md" TargetMode="External"/><Relationship Id="rId33" Type="http://schemas.openxmlformats.org/officeDocument/2006/relationships/hyperlink" Target="https://github.com/dakleyer/structural-awareness-contributions/blob/0ca06f446bb4f037b117c1af525a0ae7ded0900b/research/ecosystem-awareness/baseline/00H_A01_CLAUDE_AGENT_SDK_IMPLEMENTATION_PROFILE_v0.4_DRAFT.md" TargetMode="External"/><Relationship Id="rId34" Type="http://schemas.openxmlformats.org/officeDocument/2006/relationships/hyperlink" Target="https://github.com/dakleyer/structural-awareness-contributions/blob/0ca06f446bb4f037b117c1af525a0ae7ded0900b/research/ecosystem-awareness/baseline/00J_A01_PANODYSSEY_TEMS_RIGHTS_PORTABILITY_IMPLEMENTATION_PROFILE_v0.1_DRAFT.md" TargetMode="External"/><Relationship Id="rId35" Type="http://schemas.openxmlformats.org/officeDocument/2006/relationships/hyperlink" Target="https://github.com/dakleyer/structural-awareness-contributions/blob/0ca06f446bb4f037b117c1af525a0ae7ded0900b/research/ecosystem-awareness/baseline/00K_A25_FAILURE_CASE_STUDY_EXTENSIBILITY_AND_CONFORMANCE_TRANSFER_v0.1.md" TargetMode="External"/><Relationship Id="rId36" Type="http://schemas.openxmlformats.org/officeDocument/2006/relationships/hyperlink" Target="https://github.com/dakleyer/structural-awareness-contributions/blob/0ca06f446bb4f037b117c1af525a0ae7ded0900b/research/ecosystem-awareness/baseline/fixtures/00K-FORMAL/requirement-sufficiency/SEMANTIC_BRIDGE_REVIEW.md" TargetMode="External"/><Relationship Id="rId37" Type="http://schemas.openxmlformats.org/officeDocument/2006/relationships/hyperlink" Target="https://github.com/dakleyer/structural-awareness-contributions/blob/0ca06f446bb4f037b117c1af525a0ae7ded0900b/research/ecosystem-awareness/baseline/fixtures/00K-FORMAL/requirement-sufficiency/semantic_bridge_review.py" TargetMode="External"/><Relationship Id="rId38" Type="http://schemas.openxmlformats.org/officeDocument/2006/relationships/hyperlink" Target="https://github.com/dakleyer/structural-awareness-contributions/blob/0ca06f446bb4f037b117c1af525a0ae7ded0900b/research/ecosystem-awareness/baseline/fixtures/00K-FORMAL/requirement-sufficiency/semantic_bridge_certificate.json" TargetMode="External"/><Relationship Id="rId39" Type="http://schemas.openxmlformats.org/officeDocument/2006/relationships/hyperlink" Target="https://github.com/dakleyer/structural-awareness-contributions/blob/0ca06f446bb4f037b117c1af525a0ae7ded0900b/research/ecosystem-awareness/baseline/fixtures/00K-FORMAL/requirement-sufficiency/requirement_sufficiency_model.py" TargetMode="External"/><Relationship Id="rId40" Type="http://schemas.openxmlformats.org/officeDocument/2006/relationships/hyperlink" Target="https://github.com/dakleyer/structural-awareness-contributions/blob/0ca06f446bb4f037b117c1af525a0ae7ded0900b/research/ecosystem-awareness/baseline/fixtures/00K-FORMAL/requirement-sufficiency/clause_audit_certificate.json" TargetMode="External"/><Relationship Id="rId41" Type="http://schemas.openxmlformats.org/officeDocument/2006/relationships/hyperlink" Target="https://github.com/dakleyer/structural-awareness-contributions/blob/0ca06f446bb4f037b117c1af525a0ae7ded0900b/research/ecosystem-awareness/baseline/fixtures/RS-00E-Q1a/EXECUTION_RECORD_v0.5.md" TargetMode="External"/><Relationship Id="rId42" Type="http://schemas.openxmlformats.org/officeDocument/2006/relationships/hyperlink" Target="https://github.com/dakleyer/structural-awareness-contributions/tree/main/architectural-contributions/ecosystem-positioning/documents/2026-09-29/traceability_audit_v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foundations to hypotheses, failure modes and principles</dc:title>
  <dc:subject>Traceability audit update 0.4.1 with publication verification and explicit assumptions</dc:subject>
  <dc:creator>Iván Abril Palma</dc:creator>
  <cp:keywords>hypotheses, falsification, context, systemic failure, 00E–00J</cp:keywords>
  <dc:description>generated by python-docx</dc:description>
  <cp:lastModifiedBy/>
  <cp:revision>1</cp:revision>
  <dcterms:created xsi:type="dcterms:W3CDTF">2013-12-23T23:15:00Z</dcterms:created>
  <dcterms:modified xsi:type="dcterms:W3CDTF">2013-12-23T23:15:00Z</dcterms:modified>
  <cp:category/>
</cp:coreProperties>
</file>