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B7A2" w14:textId="77777777" w:rsidR="003E3931" w:rsidRDefault="00000000">
      <w:pPr>
        <w:spacing w:after="20"/>
      </w:pPr>
      <w:r>
        <w:rPr>
          <w:rFonts w:ascii="IBM Plex Mono" w:eastAsia="IBM Plex Mono" w:hAnsi="IBM Plex Mono" w:cs="IBM Plex Mono"/>
          <w:b/>
          <w:bCs/>
          <w:color w:val="16283F"/>
          <w:spacing w:val="30"/>
          <w:sz w:val="16"/>
          <w:szCs w:val="16"/>
        </w:rPr>
        <w:t>TEGRITY.AI</w:t>
      </w:r>
      <w:r>
        <w:rPr>
          <w:rFonts w:ascii="IBM Plex Mono" w:eastAsia="IBM Plex Mono" w:hAnsi="IBM Plex Mono" w:cs="IBM Plex Mono"/>
          <w:color w:val="555555"/>
          <w:spacing w:val="30"/>
          <w:sz w:val="16"/>
          <w:szCs w:val="16"/>
        </w:rPr>
        <w:t xml:space="preserve">   ·   THE INTEGRAL MANAGEMENT SOCIETY</w:t>
      </w:r>
    </w:p>
    <w:p w14:paraId="381EA402" w14:textId="77777777" w:rsidR="003E3931" w:rsidRDefault="003E3931">
      <w:pPr>
        <w:pBdr>
          <w:bottom w:val="single" w:sz="14" w:space="4" w:color="A8681C"/>
        </w:pBdr>
        <w:spacing w:after="120"/>
      </w:pPr>
    </w:p>
    <w:p w14:paraId="0A86B89F" w14:textId="77777777" w:rsidR="003E3931" w:rsidRDefault="00000000">
      <w:pPr>
        <w:spacing w:after="60"/>
      </w:pPr>
      <w:r>
        <w:rPr>
          <w:b/>
          <w:bCs/>
          <w:color w:val="16283F"/>
          <w:sz w:val="30"/>
          <w:szCs w:val="30"/>
        </w:rPr>
        <w:t>Information Outside the Readiness Sampling Frame</w:t>
      </w:r>
    </w:p>
    <w:p w14:paraId="6D6561B5" w14:textId="77777777" w:rsidR="003E3931" w:rsidRDefault="00000000">
      <w:pPr>
        <w:spacing w:after="180"/>
      </w:pPr>
      <w:r>
        <w:rPr>
          <w:rFonts w:ascii="IBM Plex Mono" w:eastAsia="IBM Plex Mono" w:hAnsi="IBM Plex Mono" w:cs="IBM Plex Mono"/>
          <w:i/>
          <w:iCs/>
          <w:color w:val="555555"/>
          <w:sz w:val="16"/>
          <w:szCs w:val="16"/>
        </w:rPr>
        <w:t>Short supplementary practitioner note — field-derived practices being tested through applied research</w:t>
      </w:r>
    </w:p>
    <w:tbl>
      <w:tblPr>
        <w:tblW w:w="910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E2E5E9"/>
          <w:insideV w:val="single" w:sz="4" w:space="0" w:color="E2E5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00"/>
      </w:tblGrid>
      <w:tr w:rsidR="003E3931" w14:paraId="73AFF65A" w14:textId="77777777">
        <w:tc>
          <w:tcPr>
            <w:tcW w:w="240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25490" w14:textId="77777777" w:rsidR="003E3931" w:rsidRDefault="00000000">
            <w:r>
              <w:rPr>
                <w:rFonts w:ascii="IBM Plex Mono" w:eastAsia="IBM Plex Mono" w:hAnsi="IBM Plex Mono" w:cs="IBM Plex Mono"/>
                <w:b/>
                <w:bCs/>
                <w:color w:val="16283F"/>
                <w:sz w:val="16"/>
                <w:szCs w:val="16"/>
              </w:rPr>
              <w:t>Context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3033D" w14:textId="77777777" w:rsidR="001601DB" w:rsidRDefault="00000000">
            <w:r>
              <w:rPr>
                <w:sz w:val="18"/>
              </w:rPr>
              <w:t>UN CSTD Working Group on Data Governance at All Levels, 7th meeting — possible relevance to existing work on implementation capacity, interoperability and data governance</w:t>
            </w:r>
          </w:p>
        </w:tc>
      </w:tr>
      <w:tr w:rsidR="003E3931" w14:paraId="331C618A" w14:textId="77777777">
        <w:tc>
          <w:tcPr>
            <w:tcW w:w="240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AC791" w14:textId="77777777" w:rsidR="003E3931" w:rsidRDefault="00000000">
            <w:r>
              <w:rPr>
                <w:rFonts w:ascii="IBM Plex Mono" w:eastAsia="IBM Plex Mono" w:hAnsi="IBM Plex Mono" w:cs="IBM Plex Mono"/>
                <w:b/>
                <w:bCs/>
                <w:color w:val="16283F"/>
                <w:sz w:val="16"/>
                <w:szCs w:val="16"/>
              </w:rPr>
              <w:t>Source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6DCAB" w14:textId="77777777" w:rsidR="001601DB" w:rsidRDefault="00000000">
            <w:r>
              <w:rPr>
                <w:sz w:val="18"/>
              </w:rPr>
              <w:t>Tegrity.AI, an initiative of The Integral Management Society (IMSV), Switzerland · CHE-481.709.475</w:t>
            </w:r>
          </w:p>
        </w:tc>
      </w:tr>
      <w:tr w:rsidR="003E3931" w14:paraId="548EED71" w14:textId="77777777">
        <w:tc>
          <w:tcPr>
            <w:tcW w:w="240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6C7AB" w14:textId="77777777" w:rsidR="003E3931" w:rsidRDefault="00000000">
            <w:r>
              <w:rPr>
                <w:rFonts w:ascii="IBM Plex Mono" w:eastAsia="IBM Plex Mono" w:hAnsi="IBM Plex Mono" w:cs="IBM Plex Mono"/>
                <w:b/>
                <w:bCs/>
                <w:color w:val="16283F"/>
                <w:sz w:val="16"/>
                <w:szCs w:val="16"/>
              </w:rPr>
              <w:t>Document type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6D179" w14:textId="77777777" w:rsidR="001601DB" w:rsidRDefault="00000000">
            <w:r>
              <w:rPr>
                <w:sz w:val="18"/>
              </w:rPr>
              <w:t xml:space="preserve">Short supplementary practitioner </w:t>
            </w:r>
            <w:proofErr w:type="gramStart"/>
            <w:r>
              <w:rPr>
                <w:sz w:val="18"/>
              </w:rPr>
              <w:t>note</w:t>
            </w:r>
            <w:proofErr w:type="gramEnd"/>
            <w:r>
              <w:rPr>
                <w:sz w:val="18"/>
              </w:rPr>
              <w:t xml:space="preserve"> for the Secretariat's consideration and routing to relevant existing work</w:t>
            </w:r>
          </w:p>
        </w:tc>
      </w:tr>
      <w:tr w:rsidR="003E3931" w:rsidRPr="00D146E0" w14:paraId="5F769428" w14:textId="77777777">
        <w:tc>
          <w:tcPr>
            <w:tcW w:w="240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7E3C4" w14:textId="77777777" w:rsidR="003E3931" w:rsidRDefault="00000000">
            <w:r>
              <w:rPr>
                <w:rFonts w:ascii="IBM Plex Mono" w:eastAsia="IBM Plex Mono" w:hAnsi="IBM Plex Mono" w:cs="IBM Plex Mono"/>
                <w:b/>
                <w:bCs/>
                <w:color w:val="16283F"/>
                <w:sz w:val="16"/>
                <w:szCs w:val="16"/>
              </w:rPr>
              <w:t>Contact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99645" w14:textId="77777777" w:rsidR="001601DB" w:rsidRPr="00D146E0" w:rsidRDefault="00000000">
            <w:pPr>
              <w:rPr>
                <w:lang w:val="es-ES"/>
              </w:rPr>
            </w:pPr>
            <w:r w:rsidRPr="00D146E0">
              <w:rPr>
                <w:sz w:val="18"/>
                <w:lang w:val="es-ES"/>
              </w:rPr>
              <w:t>Iván Abril Palma · ivan.abril@tegrity.ai</w:t>
            </w:r>
          </w:p>
        </w:tc>
      </w:tr>
    </w:tbl>
    <w:p w14:paraId="631E9A1F" w14:textId="77777777" w:rsidR="003E3931" w:rsidRDefault="00000000">
      <w:pPr>
        <w:keepNext/>
        <w:spacing w:before="220" w:after="90"/>
      </w:pPr>
      <w:r>
        <w:rPr>
          <w:rFonts w:ascii="IBM Plex Mono" w:eastAsia="IBM Plex Mono" w:hAnsi="IBM Plex Mono" w:cs="IBM Plex Mono"/>
          <w:b/>
          <w:bCs/>
          <w:color w:val="A8681C"/>
        </w:rPr>
        <w:t xml:space="preserve">1   </w:t>
      </w:r>
      <w:r>
        <w:rPr>
          <w:b/>
          <w:bCs/>
          <w:color w:val="16283F"/>
          <w:sz w:val="22"/>
          <w:szCs w:val="22"/>
        </w:rPr>
        <w:t>The problem: information outside the sampling frame</w:t>
      </w:r>
    </w:p>
    <w:p w14:paraId="280B7E11" w14:textId="77777777" w:rsidR="003E3931" w:rsidRDefault="00000000">
      <w:pPr>
        <w:spacing w:after="120" w:line="276" w:lineRule="auto"/>
        <w:jc w:val="both"/>
      </w:pPr>
      <w:r>
        <w:t xml:space="preserve">Large transformation </w:t>
      </w:r>
      <w:proofErr w:type="spellStart"/>
      <w:r>
        <w:t>programmes</w:t>
      </w:r>
      <w:proofErr w:type="spellEnd"/>
      <w:r>
        <w:t xml:space="preserve"> cannot inspect an entire information estate before commitment. Readiness exercises therefore work from a sampling frame: observable records, catalogues, repositories, declared ownership, documented processes and other evidence that can be sampled or requested. This works for information that exists in, or is reachable from, that frame.</w:t>
      </w:r>
    </w:p>
    <w:p w14:paraId="5BF00DBE" w14:textId="77777777" w:rsidR="003E3931" w:rsidRDefault="00000000">
      <w:pPr>
        <w:spacing w:after="120" w:line="276" w:lineRule="auto"/>
        <w:jc w:val="both"/>
      </w:pPr>
      <w:r>
        <w:t xml:space="preserve">Across more than 50 federated entities and more than 6,000 interconnected systems, two load-bearing classes repeatedly sat outside that frame. Tacit or distributed information existed only in people, routines or non-overlapping fragments. Institutionally undeclared (declaration-dependent) information did not yet exist as an authoritative fact: the </w:t>
      </w:r>
      <w:proofErr w:type="spellStart"/>
      <w:r>
        <w:t>organisation</w:t>
      </w:r>
      <w:proofErr w:type="spellEnd"/>
      <w:r>
        <w:t xml:space="preserve"> behaved as if there were an owner, boundary, canonical source or decision, but no competent actor had established one.</w:t>
      </w:r>
    </w:p>
    <w:p w14:paraId="234C1B60" w14:textId="77777777" w:rsidR="003E3931" w:rsidRDefault="00000000">
      <w:pPr>
        <w:spacing w:after="120" w:line="276" w:lineRule="auto"/>
        <w:jc w:val="both"/>
      </w:pPr>
      <w:r>
        <w:t xml:space="preserve">A sampled assessment can therefore look satisfactory while a critical condition is absent from the frame. Expanding the same search may add cost without producing the missing information; in declaration-dependent cases the answer appears only when the </w:t>
      </w:r>
      <w:proofErr w:type="spellStart"/>
      <w:r>
        <w:t>organisation</w:t>
      </w:r>
      <w:proofErr w:type="spellEnd"/>
      <w:r>
        <w:t xml:space="preserve"> </w:t>
      </w:r>
      <w:proofErr w:type="gramStart"/>
      <w:r>
        <w:t>makes a decision</w:t>
      </w:r>
      <w:proofErr w:type="gramEnd"/>
      <w:r>
        <w:t xml:space="preserve">, which can itself change responsibilities, systems and </w:t>
      </w:r>
      <w:proofErr w:type="spellStart"/>
      <w:r>
        <w:t>behaviour</w:t>
      </w:r>
      <w:proofErr w:type="spellEnd"/>
      <w:r>
        <w:t>.</w:t>
      </w:r>
    </w:p>
    <w:p w14:paraId="39C2F430" w14:textId="77777777" w:rsidR="003E3931" w:rsidRDefault="00000000">
      <w:pPr>
        <w:pBdr>
          <w:top w:val="single" w:sz="2" w:space="8" w:color="E5DFD2"/>
          <w:left w:val="single" w:sz="28" w:space="10" w:color="A8681C"/>
          <w:bottom w:val="single" w:sz="2" w:space="8" w:color="E5DFD2"/>
          <w:right w:val="single" w:sz="2" w:space="8" w:color="E5DFD2"/>
        </w:pBdr>
        <w:shd w:val="clear" w:color="auto" w:fill="F4F1EA"/>
        <w:spacing w:before="70" w:after="140"/>
      </w:pPr>
      <w:r>
        <w:rPr>
          <w:b/>
          <w:bCs/>
          <w:i/>
          <w:iCs/>
          <w:color w:val="16283F"/>
        </w:rPr>
        <w:t xml:space="preserve">Research question: can the probability, type and expected cost of these hidden information deficits be estimated before full discovery, by measuring the response — and non-response — generated when the </w:t>
      </w:r>
      <w:proofErr w:type="spellStart"/>
      <w:r>
        <w:rPr>
          <w:b/>
          <w:bCs/>
          <w:i/>
          <w:iCs/>
          <w:color w:val="16283F"/>
        </w:rPr>
        <w:t>organisation</w:t>
      </w:r>
      <w:proofErr w:type="spellEnd"/>
      <w:r>
        <w:rPr>
          <w:b/>
          <w:bCs/>
          <w:i/>
          <w:iCs/>
          <w:color w:val="16283F"/>
        </w:rPr>
        <w:t xml:space="preserve"> is asked to answer critical questions?</w:t>
      </w:r>
    </w:p>
    <w:p w14:paraId="071EA5C4" w14:textId="77777777" w:rsidR="003E3931" w:rsidRDefault="00000000">
      <w:pPr>
        <w:keepNext/>
        <w:spacing w:before="220" w:after="90"/>
      </w:pPr>
      <w:r>
        <w:rPr>
          <w:rFonts w:ascii="IBM Plex Mono" w:eastAsia="IBM Plex Mono" w:hAnsi="IBM Plex Mono" w:cs="IBM Plex Mono"/>
          <w:b/>
          <w:bCs/>
          <w:color w:val="A8681C"/>
        </w:rPr>
        <w:t xml:space="preserve">2   </w:t>
      </w:r>
      <w:r>
        <w:rPr>
          <w:b/>
          <w:bCs/>
          <w:color w:val="16283F"/>
          <w:sz w:val="22"/>
          <w:szCs w:val="22"/>
        </w:rPr>
        <w:t>From practitioner practice to a tested Quality Plan</w:t>
      </w:r>
    </w:p>
    <w:p w14:paraId="3DC9F8E4" w14:textId="7CF79D83" w:rsidR="003E3931" w:rsidRDefault="00000000">
      <w:pPr>
        <w:spacing w:after="120" w:line="276" w:lineRule="auto"/>
        <w:jc w:val="both"/>
      </w:pPr>
      <w:r>
        <w:t xml:space="preserve">The Cost of Clarity, submitted under Enterprise Estonia's RUP applied-research </w:t>
      </w:r>
      <w:proofErr w:type="spellStart"/>
      <w:r>
        <w:t>programme</w:t>
      </w:r>
      <w:proofErr w:type="spellEnd"/>
      <w:r>
        <w:t xml:space="preserve">, tests this beyond our own field case. </w:t>
      </w:r>
      <w:proofErr w:type="spellStart"/>
      <w:r>
        <w:t>TalTech's</w:t>
      </w:r>
      <w:proofErr w:type="spellEnd"/>
      <w:r>
        <w:t xml:space="preserve"> Information Systems and Next Gen Digital State groups support the scientific development; QAVA at the </w:t>
      </w:r>
      <w:proofErr w:type="spellStart"/>
      <w:r>
        <w:t>Universitat</w:t>
      </w:r>
      <w:proofErr w:type="spellEnd"/>
      <w:r>
        <w:t xml:space="preserve"> de València contributes to quantitative dependency and cascading-effects work.</w:t>
      </w:r>
    </w:p>
    <w:p w14:paraId="085E0E82" w14:textId="77777777" w:rsidR="003E3931" w:rsidRDefault="00000000">
      <w:pPr>
        <w:spacing w:after="120" w:line="276" w:lineRule="auto"/>
        <w:jc w:val="both"/>
      </w:pPr>
      <w:r>
        <w:t xml:space="preserve">It collects diagnostic and Quality Plan practices from dozens of practitioners and completed cases across multiple </w:t>
      </w:r>
      <w:proofErr w:type="spellStart"/>
      <w:r>
        <w:t>organisations</w:t>
      </w:r>
      <w:proofErr w:type="spellEnd"/>
      <w:r>
        <w:t xml:space="preserve">: what they </w:t>
      </w:r>
      <w:proofErr w:type="gramStart"/>
      <w:r>
        <w:t>actually asked</w:t>
      </w:r>
      <w:proofErr w:type="gramEnd"/>
      <w:r>
        <w:t>, what evidence they requested, how they handled absent or contradictory answers, and which practices were associated with successful or failed transformations.</w:t>
      </w:r>
    </w:p>
    <w:p w14:paraId="1B5F563D" w14:textId="77777777" w:rsidR="003E3931" w:rsidRDefault="00000000">
      <w:pPr>
        <w:spacing w:after="120" w:line="276" w:lineRule="auto"/>
        <w:jc w:val="both"/>
      </w:pPr>
      <w:r>
        <w:t xml:space="preserve">Completed cases are reconstructed from original decision evidence; candidate criteria are </w:t>
      </w:r>
      <w:proofErr w:type="spellStart"/>
      <w:r>
        <w:t>operationalised</w:t>
      </w:r>
      <w:proofErr w:type="spellEnd"/>
      <w:r>
        <w:t xml:space="preserve"> and culled retrospectively; surviving criteria are used in sealed pre-commitment readings, followed by fuller verification and longitudinal comparison with </w:t>
      </w:r>
      <w:proofErr w:type="spellStart"/>
      <w:r>
        <w:t>realised</w:t>
      </w:r>
      <w:proofErr w:type="spellEnd"/>
      <w:r>
        <w:t xml:space="preserve"> outcomes. The output is a measurable Quality Plan in which practices remain only if they survive evidence.</w:t>
      </w:r>
    </w:p>
    <w:p w14:paraId="337C20CD" w14:textId="199EE65C" w:rsidR="003E3931" w:rsidRDefault="00000000">
      <w:pPr>
        <w:keepNext/>
        <w:spacing w:before="220" w:after="90"/>
      </w:pPr>
      <w:r>
        <w:rPr>
          <w:rFonts w:ascii="IBM Plex Mono" w:eastAsia="IBM Plex Mono" w:hAnsi="IBM Plex Mono" w:cs="IBM Plex Mono"/>
          <w:b/>
          <w:bCs/>
          <w:color w:val="A8681C"/>
        </w:rPr>
        <w:lastRenderedPageBreak/>
        <w:t xml:space="preserve">3   </w:t>
      </w:r>
      <w:r>
        <w:rPr>
          <w:b/>
          <w:bCs/>
          <w:color w:val="16283F"/>
          <w:sz w:val="22"/>
          <w:szCs w:val="22"/>
        </w:rPr>
        <w:t xml:space="preserve"> </w:t>
      </w:r>
      <w:r w:rsidR="00D146E0">
        <w:rPr>
          <w:b/>
          <w:bCs/>
          <w:color w:val="16283F"/>
          <w:sz w:val="22"/>
          <w:szCs w:val="22"/>
        </w:rPr>
        <w:t xml:space="preserve">Examples of </w:t>
      </w:r>
      <w:r>
        <w:rPr>
          <w:b/>
          <w:bCs/>
          <w:color w:val="16283F"/>
          <w:sz w:val="22"/>
          <w:szCs w:val="22"/>
        </w:rPr>
        <w:t>measures now being tested</w:t>
      </w:r>
    </w:p>
    <w:p w14:paraId="3C032C9E" w14:textId="77777777" w:rsidR="003E3931" w:rsidRDefault="00000000">
      <w:pPr>
        <w:spacing w:after="120" w:line="276" w:lineRule="auto"/>
        <w:jc w:val="both"/>
      </w:pPr>
      <w:r>
        <w:t xml:space="preserve">The measures intentionally reuse established constructs </w:t>
      </w:r>
      <w:proofErr w:type="gramStart"/>
      <w:r>
        <w:t>where</w:t>
      </w:r>
      <w:proofErr w:type="gramEnd"/>
      <w:r>
        <w:t xml:space="preserve"> useful. What is being tested is whether their combination can estimate information states outside ordinary readiness sampling — and survive ground-truth verification.</w:t>
      </w:r>
    </w:p>
    <w:tbl>
      <w:tblPr>
        <w:tblW w:w="910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E2E5E9"/>
          <w:insideV w:val="single" w:sz="4" w:space="0" w:color="E2E5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100"/>
      </w:tblGrid>
      <w:tr w:rsidR="003E3931" w14:paraId="626EA1F7" w14:textId="77777777">
        <w:trPr>
          <w:tblHeader/>
        </w:trPr>
        <w:tc>
          <w:tcPr>
            <w:tcW w:w="2600" w:type="dxa"/>
            <w:shd w:val="clear" w:color="auto" w:fill="16283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D38290" w14:textId="77777777" w:rsidR="003E3931" w:rsidRDefault="00000000">
            <w:r>
              <w:rPr>
                <w:rFonts w:ascii="IBM Plex Mono" w:hAnsi="IBM Plex Mono"/>
                <w:b/>
                <w:color w:val="FFFFFF"/>
                <w:sz w:val="17"/>
              </w:rPr>
              <w:t>Candidate measure</w:t>
            </w:r>
          </w:p>
        </w:tc>
        <w:tc>
          <w:tcPr>
            <w:tcW w:w="3400" w:type="dxa"/>
            <w:shd w:val="clear" w:color="auto" w:fill="16283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44ADFF" w14:textId="77777777" w:rsidR="003E3931" w:rsidRDefault="00000000">
            <w:r>
              <w:rPr>
                <w:rFonts w:ascii="IBM Plex Mono" w:hAnsi="IBM Plex Mono"/>
                <w:b/>
                <w:color w:val="FFFFFF"/>
                <w:sz w:val="17"/>
              </w:rPr>
              <w:t>Operational measurement</w:t>
            </w:r>
          </w:p>
        </w:tc>
        <w:tc>
          <w:tcPr>
            <w:tcW w:w="3100" w:type="dxa"/>
            <w:shd w:val="clear" w:color="auto" w:fill="16283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D3E7C1" w14:textId="77777777" w:rsidR="003E3931" w:rsidRDefault="00000000">
            <w:r>
              <w:rPr>
                <w:rFonts w:ascii="IBM Plex Mono" w:hAnsi="IBM Plex Mono"/>
                <w:b/>
                <w:color w:val="FFFFFF"/>
                <w:sz w:val="17"/>
              </w:rPr>
              <w:t>What it tests</w:t>
            </w:r>
          </w:p>
        </w:tc>
      </w:tr>
      <w:tr w:rsidR="003E3931" w14:paraId="46887655" w14:textId="77777777"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BCB1AE" w14:textId="77777777" w:rsidR="003E3931" w:rsidRDefault="00000000">
            <w:r>
              <w:rPr>
                <w:b/>
                <w:color w:val="16283F"/>
                <w:sz w:val="18"/>
              </w:rPr>
              <w:t>Tacit / distributed share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F9510D" w14:textId="77777777" w:rsidR="003E3931" w:rsidRDefault="00000000">
            <w:r>
              <w:rPr>
                <w:sz w:val="18"/>
              </w:rPr>
              <w:t>TD = critical conditions recoverable only through independent elicitation or triangulation / critical conditions verified.</w:t>
            </w:r>
          </w:p>
        </w:tc>
        <w:tc>
          <w:tcPr>
            <w:tcW w:w="3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A74ED7" w14:textId="77777777" w:rsidR="003E3931" w:rsidRDefault="00000000">
            <w:r>
              <w:rPr>
                <w:sz w:val="18"/>
              </w:rPr>
              <w:t>Measures knowledge that exists but is absent from sampled artefacts.</w:t>
            </w:r>
          </w:p>
        </w:tc>
      </w:tr>
      <w:tr w:rsidR="003E3931" w14:paraId="3AB7200F" w14:textId="77777777"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3067D4" w14:textId="77777777" w:rsidR="003E3931" w:rsidRDefault="00000000">
            <w:r>
              <w:rPr>
                <w:b/>
                <w:color w:val="16283F"/>
                <w:sz w:val="18"/>
              </w:rPr>
              <w:t>Declarative burden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C1EC2" w14:textId="77777777" w:rsidR="003E3931" w:rsidRDefault="00000000">
            <w:r>
              <w:rPr>
                <w:sz w:val="18"/>
              </w:rPr>
              <w:t xml:space="preserve">DB = critical conditions requiring an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declaration before an answer exists / critical conditions tested.</w:t>
            </w:r>
          </w:p>
        </w:tc>
        <w:tc>
          <w:tcPr>
            <w:tcW w:w="3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04E44D" w14:textId="77777777" w:rsidR="003E3931" w:rsidRDefault="00000000">
            <w:r>
              <w:rPr>
                <w:sz w:val="18"/>
              </w:rPr>
              <w:t>Separates unfound information from information not yet institutionally created.</w:t>
            </w:r>
          </w:p>
        </w:tc>
      </w:tr>
      <w:tr w:rsidR="003E3931" w14:paraId="7432DF89" w14:textId="77777777"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55C13C" w14:textId="77777777" w:rsidR="003E3931" w:rsidRDefault="00000000">
            <w:r>
              <w:rPr>
                <w:b/>
                <w:color w:val="16283F"/>
                <w:sz w:val="18"/>
              </w:rPr>
              <w:t>Retrieval friction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E2CFD8" w14:textId="77777777" w:rsidR="003E3931" w:rsidRDefault="00000000">
            <w:proofErr w:type="spellStart"/>
            <w:r>
              <w:rPr>
                <w:sz w:val="18"/>
              </w:rPr>
              <w:t>RFh</w:t>
            </w:r>
            <w:proofErr w:type="spellEnd"/>
            <w:r>
              <w:rPr>
                <w:sz w:val="18"/>
              </w:rPr>
              <w:t xml:space="preserve"> = total human acquisition hours / verified critical answers. Contacts/handoffs and elapsed days are recorded alongside the ratio.</w:t>
            </w:r>
          </w:p>
        </w:tc>
        <w:tc>
          <w:tcPr>
            <w:tcW w:w="3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4C8263" w14:textId="77777777" w:rsidR="003E3931" w:rsidRDefault="00000000">
            <w:r>
              <w:rPr>
                <w:sz w:val="18"/>
              </w:rPr>
              <w:t>Uses search effort as a signal of deficit depth and cost.</w:t>
            </w:r>
          </w:p>
        </w:tc>
      </w:tr>
      <w:tr w:rsidR="003E3931" w14:paraId="4CEA3A37" w14:textId="77777777"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B68739" w14:textId="77777777" w:rsidR="003E3931" w:rsidRDefault="00000000">
            <w:r>
              <w:rPr>
                <w:b/>
                <w:color w:val="16283F"/>
                <w:sz w:val="18"/>
              </w:rPr>
              <w:t>Persistent human mediation (HID proxy)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6E8AAC" w14:textId="77777777" w:rsidR="003E3931" w:rsidRDefault="00000000">
            <w:r>
              <w:rPr>
                <w:sz w:val="18"/>
              </w:rPr>
              <w:t>HM = recurring person-hours spent reconciling undocumented definitions, dependencies or exceptions / total governance and coordination hours.</w:t>
            </w:r>
          </w:p>
        </w:tc>
        <w:tc>
          <w:tcPr>
            <w:tcW w:w="3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CAB0B6" w14:textId="77777777" w:rsidR="003E3931" w:rsidRDefault="00000000">
            <w:r>
              <w:rPr>
                <w:sz w:val="18"/>
              </w:rPr>
              <w:t>Measures the hidden human layer sustaining apparent readiness.</w:t>
            </w:r>
          </w:p>
        </w:tc>
      </w:tr>
    </w:tbl>
    <w:p w14:paraId="50C832CF" w14:textId="77777777" w:rsidR="003E3931" w:rsidRDefault="00000000">
      <w:pPr>
        <w:spacing w:after="120" w:line="276" w:lineRule="auto"/>
        <w:jc w:val="both"/>
      </w:pPr>
      <w:r>
        <w:t>Cascading effects are tested downstream: do these signals predict later rework, delay, stalling or value loss, and do modelled dependencies match observed consequences?</w:t>
      </w:r>
    </w:p>
    <w:p w14:paraId="2B521F72" w14:textId="77777777" w:rsidR="003E3931" w:rsidRDefault="00000000">
      <w:pPr>
        <w:keepNext/>
        <w:spacing w:before="220" w:after="90"/>
      </w:pPr>
      <w:r>
        <w:rPr>
          <w:rFonts w:ascii="IBM Plex Mono" w:eastAsia="IBM Plex Mono" w:hAnsi="IBM Plex Mono" w:cs="IBM Plex Mono"/>
          <w:b/>
          <w:bCs/>
          <w:color w:val="A8681C"/>
        </w:rPr>
        <w:t xml:space="preserve">4   </w:t>
      </w:r>
      <w:r>
        <w:rPr>
          <w:b/>
          <w:bCs/>
          <w:color w:val="16283F"/>
          <w:sz w:val="22"/>
          <w:szCs w:val="22"/>
        </w:rPr>
        <w:t xml:space="preserve">Possible </w:t>
      </w:r>
      <w:proofErr w:type="gramStart"/>
      <w:r>
        <w:rPr>
          <w:b/>
          <w:bCs/>
          <w:color w:val="16283F"/>
          <w:sz w:val="22"/>
          <w:szCs w:val="22"/>
        </w:rPr>
        <w:t>use</w:t>
      </w:r>
      <w:proofErr w:type="gramEnd"/>
      <w:r>
        <w:rPr>
          <w:b/>
          <w:bCs/>
          <w:color w:val="16283F"/>
          <w:sz w:val="22"/>
          <w:szCs w:val="22"/>
        </w:rPr>
        <w:t xml:space="preserve"> in CSTD's existing work</w:t>
      </w:r>
    </w:p>
    <w:p w14:paraId="088D0FA4" w14:textId="77777777" w:rsidR="003E3931" w:rsidRDefault="00000000">
      <w:pPr>
        <w:spacing w:after="120" w:line="276" w:lineRule="auto"/>
        <w:jc w:val="both"/>
      </w:pPr>
      <w:r>
        <w:t xml:space="preserve">For CSTD, this is offered as practice and evidence input to existing work. The Secretariat can route the note, measures, case definitions or later findings to whichever current track, stock-taking activity, background material or smaller expert exchange is most relevant. No change to the </w:t>
      </w:r>
      <w:proofErr w:type="gramStart"/>
      <w:r>
        <w:t>7th-meeting</w:t>
      </w:r>
      <w:proofErr w:type="gramEnd"/>
      <w:r>
        <w:t xml:space="preserve"> agenda is requested.</w:t>
      </w:r>
    </w:p>
    <w:p w14:paraId="269DB509" w14:textId="77777777" w:rsidR="003E3931" w:rsidRDefault="00000000">
      <w:pPr>
        <w:spacing w:after="120" w:line="276" w:lineRule="auto"/>
        <w:jc w:val="both"/>
      </w:pPr>
      <w:r>
        <w:t xml:space="preserve">We can share underlying practices and later aggregated findings. Relevant evidence questions identified by the Working Group can still be reflected in the study; comparable practitioner measures would help test what transfers across </w:t>
      </w:r>
      <w:proofErr w:type="spellStart"/>
      <w:r>
        <w:t>organisations</w:t>
      </w:r>
      <w:proofErr w:type="spellEnd"/>
      <w:r>
        <w:t xml:space="preserve"> and jurisdictions.</w:t>
      </w:r>
    </w:p>
    <w:p w14:paraId="0B36E56D" w14:textId="77777777" w:rsidR="003E3931" w:rsidRDefault="00000000">
      <w:pPr>
        <w:pBdr>
          <w:top w:val="single" w:sz="4" w:space="6" w:color="C9CDD3"/>
        </w:pBdr>
        <w:spacing w:before="150" w:after="120"/>
      </w:pPr>
      <w:r>
        <w:rPr>
          <w:i/>
          <w:iCs/>
          <w:color w:val="555555"/>
          <w:sz w:val="17"/>
          <w:szCs w:val="17"/>
        </w:rPr>
        <w:t xml:space="preserve">Field base: more than 50 federated entities and more than 6,000 interconnected systems. Applied-research extension: practitioner evidence across multiple </w:t>
      </w:r>
      <w:proofErr w:type="spellStart"/>
      <w:r>
        <w:rPr>
          <w:i/>
          <w:iCs/>
          <w:color w:val="555555"/>
          <w:sz w:val="17"/>
          <w:szCs w:val="17"/>
        </w:rPr>
        <w:t>organisations</w:t>
      </w:r>
      <w:proofErr w:type="spellEnd"/>
      <w:r>
        <w:rPr>
          <w:i/>
          <w:iCs/>
          <w:color w:val="555555"/>
          <w:sz w:val="17"/>
          <w:szCs w:val="17"/>
        </w:rPr>
        <w:t>, retrospective reconstruction and prospective validation.</w:t>
      </w:r>
    </w:p>
    <w:sectPr w:rsidR="003E3931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t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71C88"/>
    <w:multiLevelType w:val="hybridMultilevel"/>
    <w:tmpl w:val="A3CE8A5C"/>
    <w:lvl w:ilvl="0" w:tplc="700610E4">
      <w:start w:val="1"/>
      <w:numFmt w:val="bullet"/>
      <w:lvlText w:val="●"/>
      <w:lvlJc w:val="left"/>
      <w:pPr>
        <w:ind w:left="720" w:hanging="360"/>
      </w:pPr>
    </w:lvl>
    <w:lvl w:ilvl="1" w:tplc="624A4B9A">
      <w:start w:val="1"/>
      <w:numFmt w:val="bullet"/>
      <w:lvlText w:val="○"/>
      <w:lvlJc w:val="left"/>
      <w:pPr>
        <w:ind w:left="1440" w:hanging="360"/>
      </w:pPr>
    </w:lvl>
    <w:lvl w:ilvl="2" w:tplc="B9D4B05C">
      <w:start w:val="1"/>
      <w:numFmt w:val="bullet"/>
      <w:lvlText w:val="■"/>
      <w:lvlJc w:val="left"/>
      <w:pPr>
        <w:ind w:left="2160" w:hanging="360"/>
      </w:pPr>
    </w:lvl>
    <w:lvl w:ilvl="3" w:tplc="61B012D4">
      <w:start w:val="1"/>
      <w:numFmt w:val="bullet"/>
      <w:lvlText w:val="●"/>
      <w:lvlJc w:val="left"/>
      <w:pPr>
        <w:ind w:left="2880" w:hanging="360"/>
      </w:pPr>
    </w:lvl>
    <w:lvl w:ilvl="4" w:tplc="C50AA0BA">
      <w:start w:val="1"/>
      <w:numFmt w:val="bullet"/>
      <w:lvlText w:val="○"/>
      <w:lvlJc w:val="left"/>
      <w:pPr>
        <w:ind w:left="3600" w:hanging="360"/>
      </w:pPr>
    </w:lvl>
    <w:lvl w:ilvl="5" w:tplc="78640D52">
      <w:start w:val="1"/>
      <w:numFmt w:val="bullet"/>
      <w:lvlText w:val="■"/>
      <w:lvlJc w:val="left"/>
      <w:pPr>
        <w:ind w:left="4320" w:hanging="360"/>
      </w:pPr>
    </w:lvl>
    <w:lvl w:ilvl="6" w:tplc="4AC6E982">
      <w:start w:val="1"/>
      <w:numFmt w:val="bullet"/>
      <w:lvlText w:val="●"/>
      <w:lvlJc w:val="left"/>
      <w:pPr>
        <w:ind w:left="5040" w:hanging="360"/>
      </w:pPr>
    </w:lvl>
    <w:lvl w:ilvl="7" w:tplc="E396B468">
      <w:start w:val="1"/>
      <w:numFmt w:val="bullet"/>
      <w:lvlText w:val="●"/>
      <w:lvlJc w:val="left"/>
      <w:pPr>
        <w:ind w:left="5760" w:hanging="360"/>
      </w:pPr>
    </w:lvl>
    <w:lvl w:ilvl="8" w:tplc="9766C8FE">
      <w:start w:val="1"/>
      <w:numFmt w:val="bullet"/>
      <w:lvlText w:val="●"/>
      <w:lvlJc w:val="left"/>
      <w:pPr>
        <w:ind w:left="6480" w:hanging="360"/>
      </w:pPr>
    </w:lvl>
  </w:abstractNum>
  <w:num w:numId="1" w16cid:durableId="1781290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931"/>
    <w:rsid w:val="001601DB"/>
    <w:rsid w:val="002034AB"/>
    <w:rsid w:val="003E3931"/>
    <w:rsid w:val="00680672"/>
    <w:rsid w:val="00D1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336094"/>
  <w15:docId w15:val="{7371DB34-7087-41F6-8CF2-15C6D010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tter" w:eastAsia="Bitter" w:hAnsi="Bitter" w:cs="Bitter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034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34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34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34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34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Abril Palma</cp:lastModifiedBy>
  <cp:revision>3</cp:revision>
  <dcterms:created xsi:type="dcterms:W3CDTF">2026-08-27T21:53:00Z</dcterms:created>
  <dcterms:modified xsi:type="dcterms:W3CDTF">2026-08-27T22:36:00Z</dcterms:modified>
</cp:coreProperties>
</file>