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F2A4D" w:sz="36" w:space="6"/>
        </w:pBdr>
        <w:spacing w:after="0" w:before="0"/>
      </w:pPr>
    </w:p>
    <w:p>
      <w:pPr>
        <w:spacing w:after="160" w:before="120" w:lineRule="auto" w:line="276"/>
        <w:jc w:val="left"/>
      </w:pPr>
      <w:r>
        <w:rPr>
          <w:rFonts w:ascii="Arial" w:cs="Arial" w:eastAsia="Malgun Gothic" w:hAnsi="Arial"/>
          <w:b/>
          <w:bCs/>
          <w:color w:val="1E5AA8"/>
          <w:sz w:val="22"/>
          <w:szCs w:val="22"/>
        </w:rPr>
        <w:t xml:space="preserve">예비 실사 보고서 · DESKTOP DUE DILIGENCE</w:t>
      </w:r>
    </w:p>
    <w:p>
      <w:pPr>
        <w:spacing w:after="0" w:before="0" w:lineRule="auto" w:line="252"/>
        <w:jc w:val="left"/>
      </w:pPr>
      <w:r>
        <w:rPr>
          <w:rFonts w:ascii="Arial" w:cs="Arial" w:eastAsia="Malgun Gothic" w:hAnsi="Arial"/>
          <w:b/>
          <w:bCs/>
          <w:color w:val="0F2A4D"/>
          <w:sz w:val="44"/>
          <w:szCs w:val="44"/>
        </w:rPr>
        <w:t xml:space="preserve">호찌민시 관리기술대학교</w:t>
      </w:r>
    </w:p>
    <w:p>
      <w:pPr>
        <w:spacing w:after="220" w:before="0" w:lineRule="auto" w:line="252"/>
        <w:jc w:val="left"/>
      </w:pPr>
      <w:r>
        <w:rPr>
          <w:rFonts w:ascii="Arial" w:cs="Arial" w:eastAsia="Malgun Gothic" w:hAnsi="Arial"/>
          <w:b/>
          <w:bCs/>
          <w:color w:val="0F2A4D"/>
          <w:sz w:val="44"/>
          <w:szCs w:val="44"/>
        </w:rPr>
        <w:t xml:space="preserve">(UMT)</w:t>
      </w:r>
    </w:p>
    <w:p>
      <w:pPr>
        <w:spacing w:after="40" w:before="0" w:lineRule="auto" w:line="276"/>
        <w:jc w:val="left"/>
      </w:pPr>
      <w:r>
        <w:rPr>
          <w:rFonts w:ascii="Arial" w:cs="Arial" w:eastAsia="Malgun Gothic" w:hAnsi="Arial"/>
          <w:color w:val="0D1B2E"/>
          <w:sz w:val="26"/>
          <w:szCs w:val="26"/>
        </w:rPr>
        <w:t xml:space="preserve">한국 투자자의 투자 의사결정을 위한 정보 보고서</w:t>
      </w:r>
    </w:p>
    <w:p>
      <w:pPr>
        <w:spacing w:after="240" w:before="0" w:lineRule="auto" w:line="276"/>
        <w:jc w:val="left"/>
      </w:pPr>
      <w:r>
        <w:rPr>
          <w:rFonts w:ascii="Arial" w:cs="Arial" w:eastAsia="Malgun Gothic" w:hAnsi="Arial"/>
          <w:color w:val="435066"/>
          <w:sz w:val="26"/>
          <w:szCs w:val="26"/>
        </w:rPr>
        <w:t xml:space="preserve">학교 공식 자료 기준 표준화본 · 사진 증빙 포함</w:t>
      </w: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cantSplit/>
        </w:trPr>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도서관</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iMac 실습실</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축구장</w:t>
            </w:r>
          </w:p>
        </w:tc>
      </w:tr>
    </w:tbl>
    <w:p>
      <w:pPr>
        <w:spacing w:after="280" w:before="60"/>
        <w:jc w:val="left"/>
      </w:pPr>
      <w:r>
        <w:rPr>
          <w:rFonts w:ascii="Arial" w:cs="Arial" w:eastAsia="Malgun Gothic" w:hAnsi="Arial"/>
          <w:i w:val="false"/>
          <w:iCs w:val="false"/>
          <w:color w:val="435066"/>
          <w:sz w:val="18"/>
          <w:szCs w:val="18"/>
        </w:rPr>
        <w:t xml:space="preserve">사진: 깟라이(Cát Lái) 캠퍼스의 도서관, iMac 실습실, 축구장 — UMT 2026학년도 입학 리플릿 게재 사진.</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81"/>
        <w:gridCol w:w="6690"/>
      </w:tblGrid>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대상</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호찌민시 관리기술대학교(Trường Đại học Quản lý và Công nghệ Thành phố Hồ Chí Minh, University of Management and Technology Ho Chi Minh City, UMT) — 비영리 사립대학</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기초 자료</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UMT 공시보고서 제16/2026/BC-UMT호(2026.5.20, 이하 “공시보고서”); 2026학년도 입학 리플릿(이하 “리플릿”); 웹사이트 umt.edu.vn 화면 녹화(2026.10.27, 이하 “웹사이트”)</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보조 자료</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베트남 법령, 정부 포털, 언론 보도</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기준일</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2026년 10월 27일</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환율</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1 USD = 25,634동(2026.10.21 중앙환율); 1원 ≈ 18.47동(Vietcombank, 2026.10.15). 본문의 원화 환산은 이 환율 기준</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판본</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 한국어판 — 베트남어판 2.0의 번역본(부록 및 참고문헌 제외)</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보안 등급</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대외비 — 투자자 및 자문사 내부용</w:t>
            </w:r>
          </w:p>
        </w:tc>
      </w:tr>
    </w:tbl>
    <w:p>
      <w:pPr>
        <w:spacing w:after="0" w:before="280"/>
      </w:pPr>
      <w:r>
        <w:rPr>
          <w:rFonts w:ascii="Arial" w:cs="Arial" w:eastAsia="Malgun Gothic" w:hAnsi="Arial"/>
          <w:i w:val="false"/>
          <w:iCs w:val="false"/>
          <w:color w:val="6A7487"/>
          <w:sz w:val="18"/>
          <w:szCs w:val="18"/>
        </w:rPr>
        <w:t xml:space="preserve">본 보고서는 학교가 공개한 자료와 공개 정보를 근거로 작성되었으며, 현장에서 수행하는 법률·재무·기술 실사를 대체하지 않습니다. 컨설턴트의 계산과 판단은 “분석”으로 구분하여 표시했습니다.</w:t>
      </w:r>
    </w:p>
    <w:p>
      <w:pPr>
        <w:pageBreakBefore/>
        <w:spacing w:after="240" w:before="0"/>
        <w:jc w:val="center"/>
      </w:pPr>
      <w:r>
        <w:rPr>
          <w:rFonts w:ascii="Arial" w:cs="Arial" w:eastAsia="Malgun Gothic" w:hAnsi="Arial"/>
          <w:b/>
          <w:bCs/>
          <w:color w:val="0F2A4D"/>
          <w:sz w:val="32"/>
          <w:szCs w:val="32"/>
        </w:rPr>
        <w:t xml:space="preserve">목   차</w:t>
      </w:r>
    </w:p>
    <w:p>
      <w:pPr>
        <w:pStyle w:val="TOC1"/>
        <w:tabs>
          <w:tab w:val="right" w:pos="9071" w:leader="dot"/>
        </w:tabs>
      </w:pPr>
      <w:r>
        <w:fldChar w:fldCharType="begin"/>
      </w:r>
      <w:r>
        <w:instrText xml:space="preserve"> TOC \o "1-2" \h \z \u </w:instrText>
      </w:r>
      <w:r>
        <w:fldChar w:fldCharType="separate"/>
      </w:r>
      <w:r>
        <w:rPr>
          <w:rFonts w:ascii="Arial" w:cs="Arial" w:eastAsia="Malgun Gothic" w:hAnsi="Arial"/>
          <w:b/>
          <w:bCs/>
          <w:color w:val="0F2A4D"/>
          <w:sz w:val="23"/>
          <w:szCs w:val="23"/>
        </w:rPr>
        <w:t xml:space="preserve">1. 핵심 요약</w:t>
      </w:r>
      <w:r>
        <w:rPr>
          <w:rFonts w:ascii="Arial" w:cs="Arial" w:eastAsia="Malgun Gothic" w:hAnsi="Arial"/>
          <w:b/>
          <w:bCs/>
          <w:color w:val="0F2A4D"/>
          <w:sz w:val="23"/>
          <w:szCs w:val="23"/>
        </w:rPr>
        <w:t xml:space="preserve">	4</w:t>
      </w:r>
    </w:p>
    <w:p>
      <w:pPr>
        <w:pStyle w:val="TOC2"/>
        <w:tabs>
          <w:tab w:val="right" w:pos="9071" w:leader="dot"/>
        </w:tabs>
      </w:pPr>
      <w:r>
        <w:rPr>
          <w:rFonts w:ascii="Arial" w:cs="Arial" w:eastAsia="Malgun Gothic" w:hAnsi="Arial"/>
          <w:b w:val="false"/>
          <w:bCs w:val="false"/>
          <w:color w:val="0D1B2E"/>
          <w:sz w:val="22"/>
          <w:szCs w:val="22"/>
        </w:rPr>
        <w:t xml:space="preserve">1.1 6대 핵심 발견 사항</w:t>
      </w:r>
      <w:r>
        <w:rPr>
          <w:rFonts w:ascii="Arial" w:cs="Arial" w:eastAsia="Malgun Gothic" w:hAnsi="Arial"/>
          <w:b w:val="false"/>
          <w:bCs w:val="false"/>
          <w:color w:val="0D1B2E"/>
          <w:sz w:val="22"/>
          <w:szCs w:val="22"/>
        </w:rPr>
        <w:t xml:space="preserve">	4</w:t>
      </w:r>
    </w:p>
    <w:p>
      <w:pPr>
        <w:pStyle w:val="TOC2"/>
        <w:tabs>
          <w:tab w:val="right" w:pos="9071" w:leader="dot"/>
        </w:tabs>
      </w:pPr>
      <w:r>
        <w:rPr>
          <w:rFonts w:ascii="Arial" w:cs="Arial" w:eastAsia="Malgun Gothic" w:hAnsi="Arial"/>
          <w:b w:val="false"/>
          <w:bCs w:val="false"/>
          <w:color w:val="0D1B2E"/>
          <w:sz w:val="22"/>
          <w:szCs w:val="22"/>
        </w:rPr>
        <w:t xml:space="preserve">1.2 종합 평가표</w:t>
      </w:r>
      <w:r>
        <w:rPr>
          <w:rFonts w:ascii="Arial" w:cs="Arial" w:eastAsia="Malgun Gothic" w:hAnsi="Arial"/>
          <w:b w:val="false"/>
          <w:bCs w:val="false"/>
          <w:color w:val="0D1B2E"/>
          <w:sz w:val="22"/>
          <w:szCs w:val="22"/>
        </w:rPr>
        <w:t xml:space="preserve">	5</w:t>
      </w:r>
    </w:p>
    <w:p>
      <w:pPr>
        <w:pStyle w:val="TOC1"/>
        <w:tabs>
          <w:tab w:val="right" w:pos="9071" w:leader="dot"/>
        </w:tabs>
      </w:pPr>
      <w:r>
        <w:rPr>
          <w:rFonts w:ascii="Arial" w:cs="Arial" w:eastAsia="Malgun Gothic" w:hAnsi="Arial"/>
          <w:b/>
          <w:bCs/>
          <w:color w:val="0F2A4D"/>
          <w:sz w:val="23"/>
          <w:szCs w:val="23"/>
        </w:rPr>
        <w:t xml:space="preserve">2. 검토 범위·방법 및 표준화 결과</w:t>
      </w:r>
      <w:r>
        <w:rPr>
          <w:rFonts w:ascii="Arial" w:cs="Arial" w:eastAsia="Malgun Gothic" w:hAnsi="Arial"/>
          <w:b/>
          <w:bCs/>
          <w:color w:val="0F2A4D"/>
          <w:sz w:val="23"/>
          <w:szCs w:val="23"/>
        </w:rPr>
        <w:t xml:space="preserve">	6</w:t>
      </w:r>
    </w:p>
    <w:p>
      <w:pPr>
        <w:pStyle w:val="TOC2"/>
        <w:tabs>
          <w:tab w:val="right" w:pos="9071" w:leader="dot"/>
        </w:tabs>
      </w:pPr>
      <w:r>
        <w:rPr>
          <w:rFonts w:ascii="Arial" w:cs="Arial" w:eastAsia="Malgun Gothic" w:hAnsi="Arial"/>
          <w:b w:val="false"/>
          <w:bCs w:val="false"/>
          <w:color w:val="0D1B2E"/>
          <w:sz w:val="22"/>
          <w:szCs w:val="22"/>
        </w:rPr>
        <w:t xml:space="preserve">2.1 표준화에 사용한 기초 자료</w:t>
      </w:r>
      <w:r>
        <w:rPr>
          <w:rFonts w:ascii="Arial" w:cs="Arial" w:eastAsia="Malgun Gothic" w:hAnsi="Arial"/>
          <w:b w:val="false"/>
          <w:bCs w:val="false"/>
          <w:color w:val="0D1B2E"/>
          <w:sz w:val="22"/>
          <w:szCs w:val="22"/>
        </w:rPr>
        <w:t xml:space="preserve">	6</w:t>
      </w:r>
    </w:p>
    <w:p>
      <w:pPr>
        <w:pStyle w:val="TOC2"/>
        <w:tabs>
          <w:tab w:val="right" w:pos="9071" w:leader="dot"/>
        </w:tabs>
      </w:pPr>
      <w:r>
        <w:rPr>
          <w:rFonts w:ascii="Arial" w:cs="Arial" w:eastAsia="Malgun Gothic" w:hAnsi="Arial"/>
          <w:b w:val="false"/>
          <w:bCs w:val="false"/>
          <w:color w:val="0D1B2E"/>
          <w:sz w:val="22"/>
          <w:szCs w:val="22"/>
        </w:rPr>
        <w:t xml:space="preserve">2.2 표준화 원칙</w:t>
      </w:r>
      <w:r>
        <w:rPr>
          <w:rFonts w:ascii="Arial" w:cs="Arial" w:eastAsia="Malgun Gothic" w:hAnsi="Arial"/>
          <w:b w:val="false"/>
          <w:bCs w:val="false"/>
          <w:color w:val="0D1B2E"/>
          <w:sz w:val="22"/>
          <w:szCs w:val="22"/>
        </w:rPr>
        <w:t xml:space="preserve">	7</w:t>
      </w:r>
    </w:p>
    <w:p>
      <w:pPr>
        <w:pStyle w:val="TOC2"/>
        <w:tabs>
          <w:tab w:val="right" w:pos="9071" w:leader="dot"/>
        </w:tabs>
      </w:pPr>
      <w:r>
        <w:rPr>
          <w:rFonts w:ascii="Arial" w:cs="Arial" w:eastAsia="Malgun Gothic" w:hAnsi="Arial"/>
          <w:b w:val="false"/>
          <w:bCs w:val="false"/>
          <w:color w:val="0D1B2E"/>
          <w:sz w:val="22"/>
          <w:szCs w:val="22"/>
        </w:rPr>
        <w:t xml:space="preserve">2.3 검토 결과: 정정 사항</w:t>
      </w:r>
      <w:r>
        <w:rPr>
          <w:rFonts w:ascii="Arial" w:cs="Arial" w:eastAsia="Malgun Gothic" w:hAnsi="Arial"/>
          <w:b w:val="false"/>
          <w:bCs w:val="false"/>
          <w:color w:val="0D1B2E"/>
          <w:sz w:val="22"/>
          <w:szCs w:val="22"/>
        </w:rPr>
        <w:t xml:space="preserve">	7</w:t>
      </w:r>
    </w:p>
    <w:p>
      <w:pPr>
        <w:pStyle w:val="TOC1"/>
        <w:tabs>
          <w:tab w:val="right" w:pos="9071" w:leader="dot"/>
        </w:tabs>
      </w:pPr>
      <w:r>
        <w:rPr>
          <w:rFonts w:ascii="Arial" w:cs="Arial" w:eastAsia="Malgun Gothic" w:hAnsi="Arial"/>
          <w:b/>
          <w:bCs/>
          <w:color w:val="0F2A4D"/>
          <w:sz w:val="23"/>
          <w:szCs w:val="23"/>
        </w:rPr>
        <w:t xml:space="preserve">3. 법적 현황 및 연혁</w:t>
      </w:r>
      <w:r>
        <w:rPr>
          <w:rFonts w:ascii="Arial" w:cs="Arial" w:eastAsia="Malgun Gothic" w:hAnsi="Arial"/>
          <w:b/>
          <w:bCs/>
          <w:color w:val="0F2A4D"/>
          <w:sz w:val="23"/>
          <w:szCs w:val="23"/>
        </w:rPr>
        <w:t xml:space="preserve">	9</w:t>
      </w:r>
    </w:p>
    <w:p>
      <w:pPr>
        <w:pStyle w:val="TOC2"/>
        <w:tabs>
          <w:tab w:val="right" w:pos="9071" w:leader="dot"/>
        </w:tabs>
      </w:pPr>
      <w:r>
        <w:rPr>
          <w:rFonts w:ascii="Arial" w:cs="Arial" w:eastAsia="Malgun Gothic" w:hAnsi="Arial"/>
          <w:b w:val="false"/>
          <w:bCs w:val="false"/>
          <w:color w:val="0D1B2E"/>
          <w:sz w:val="22"/>
          <w:szCs w:val="22"/>
        </w:rPr>
        <w:t xml:space="preserve">3.1 비전, 사명 및 교육철학</w:t>
      </w:r>
      <w:r>
        <w:rPr>
          <w:rFonts w:ascii="Arial" w:cs="Arial" w:eastAsia="Malgun Gothic" w:hAnsi="Arial"/>
          <w:b w:val="false"/>
          <w:bCs w:val="false"/>
          <w:color w:val="0D1B2E"/>
          <w:sz w:val="22"/>
          <w:szCs w:val="22"/>
        </w:rPr>
        <w:t xml:space="preserve">	10</w:t>
      </w:r>
    </w:p>
    <w:p>
      <w:pPr>
        <w:pStyle w:val="TOC2"/>
        <w:tabs>
          <w:tab w:val="right" w:pos="9071" w:leader="dot"/>
        </w:tabs>
      </w:pPr>
      <w:r>
        <w:rPr>
          <w:rFonts w:ascii="Arial" w:cs="Arial" w:eastAsia="Malgun Gothic" w:hAnsi="Arial"/>
          <w:b w:val="false"/>
          <w:bCs w:val="false"/>
          <w:color w:val="0D1B2E"/>
          <w:sz w:val="22"/>
          <w:szCs w:val="22"/>
        </w:rPr>
        <w:t xml:space="preserve">3.2 주요 연혁</w:t>
      </w:r>
      <w:r>
        <w:rPr>
          <w:rFonts w:ascii="Arial" w:cs="Arial" w:eastAsia="Malgun Gothic" w:hAnsi="Arial"/>
          <w:b w:val="false"/>
          <w:bCs w:val="false"/>
          <w:color w:val="0D1B2E"/>
          <w:sz w:val="22"/>
          <w:szCs w:val="22"/>
        </w:rPr>
        <w:t xml:space="preserve">	10</w:t>
      </w:r>
    </w:p>
    <w:p>
      <w:pPr>
        <w:pStyle w:val="TOC1"/>
        <w:tabs>
          <w:tab w:val="right" w:pos="9071" w:leader="dot"/>
        </w:tabs>
      </w:pPr>
      <w:r>
        <w:rPr>
          <w:rFonts w:ascii="Arial" w:cs="Arial" w:eastAsia="Malgun Gothic" w:hAnsi="Arial"/>
          <w:b/>
          <w:bCs/>
          <w:color w:val="0F2A4D"/>
          <w:sz w:val="23"/>
          <w:szCs w:val="23"/>
        </w:rPr>
        <w:t xml:space="preserve">4. 소유 구조, 지배구조 및 조직</w:t>
      </w:r>
      <w:r>
        <w:rPr>
          <w:rFonts w:ascii="Arial" w:cs="Arial" w:eastAsia="Malgun Gothic" w:hAnsi="Arial"/>
          <w:b/>
          <w:bCs/>
          <w:color w:val="0F2A4D"/>
          <w:sz w:val="23"/>
          <w:szCs w:val="23"/>
        </w:rPr>
        <w:t xml:space="preserve">	12</w:t>
      </w:r>
    </w:p>
    <w:p>
      <w:pPr>
        <w:pStyle w:val="TOC2"/>
        <w:tabs>
          <w:tab w:val="right" w:pos="9071" w:leader="dot"/>
        </w:tabs>
      </w:pPr>
      <w:r>
        <w:rPr>
          <w:rFonts w:ascii="Arial" w:cs="Arial" w:eastAsia="Malgun Gothic" w:hAnsi="Arial"/>
          <w:b w:val="false"/>
          <w:bCs w:val="false"/>
          <w:color w:val="0D1B2E"/>
          <w:sz w:val="22"/>
          <w:szCs w:val="22"/>
        </w:rPr>
        <w:t xml:space="preserve">4.1 공식 공시상의 소유주</w:t>
      </w:r>
      <w:r>
        <w:rPr>
          <w:rFonts w:ascii="Arial" w:cs="Arial" w:eastAsia="Malgun Gothic" w:hAnsi="Arial"/>
          <w:b w:val="false"/>
          <w:bCs w:val="false"/>
          <w:color w:val="0D1B2E"/>
          <w:sz w:val="22"/>
          <w:szCs w:val="22"/>
        </w:rPr>
        <w:t xml:space="preserve">	12</w:t>
      </w:r>
    </w:p>
    <w:p>
      <w:pPr>
        <w:pStyle w:val="TOC2"/>
        <w:tabs>
          <w:tab w:val="right" w:pos="9071" w:leader="dot"/>
        </w:tabs>
      </w:pPr>
      <w:r>
        <w:rPr>
          <w:rFonts w:ascii="Arial" w:cs="Arial" w:eastAsia="Malgun Gothic" w:hAnsi="Arial"/>
          <w:b w:val="false"/>
          <w:bCs w:val="false"/>
          <w:color w:val="0D1B2E"/>
          <w:sz w:val="22"/>
          <w:szCs w:val="22"/>
        </w:rPr>
        <w:t xml:space="preserve">4.2 대학이사회(임기 2026–2031)</w:t>
      </w:r>
      <w:r>
        <w:rPr>
          <w:rFonts w:ascii="Arial" w:cs="Arial" w:eastAsia="Malgun Gothic" w:hAnsi="Arial"/>
          <w:b w:val="false"/>
          <w:bCs w:val="false"/>
          <w:color w:val="0D1B2E"/>
          <w:sz w:val="22"/>
          <w:szCs w:val="22"/>
        </w:rPr>
        <w:t xml:space="preserve">	12</w:t>
      </w:r>
    </w:p>
    <w:p>
      <w:pPr>
        <w:pStyle w:val="TOC2"/>
        <w:tabs>
          <w:tab w:val="right" w:pos="9071" w:leader="dot"/>
        </w:tabs>
      </w:pPr>
      <w:r>
        <w:rPr>
          <w:rFonts w:ascii="Arial" w:cs="Arial" w:eastAsia="Malgun Gothic" w:hAnsi="Arial"/>
          <w:b w:val="false"/>
          <w:bCs w:val="false"/>
          <w:color w:val="0D1B2E"/>
          <w:sz w:val="22"/>
          <w:szCs w:val="22"/>
        </w:rPr>
        <w:t xml:space="preserve">4.3 총장단 및 부서장</w:t>
      </w:r>
      <w:r>
        <w:rPr>
          <w:rFonts w:ascii="Arial" w:cs="Arial" w:eastAsia="Malgun Gothic" w:hAnsi="Arial"/>
          <w:b w:val="false"/>
          <w:bCs w:val="false"/>
          <w:color w:val="0D1B2E"/>
          <w:sz w:val="22"/>
          <w:szCs w:val="22"/>
        </w:rPr>
        <w:t xml:space="preserve">	14</w:t>
      </w:r>
    </w:p>
    <w:p>
      <w:pPr>
        <w:pStyle w:val="TOC2"/>
        <w:tabs>
          <w:tab w:val="right" w:pos="9071" w:leader="dot"/>
        </w:tabs>
      </w:pPr>
      <w:r>
        <w:rPr>
          <w:rFonts w:ascii="Arial" w:cs="Arial" w:eastAsia="Malgun Gothic" w:hAnsi="Arial"/>
          <w:b w:val="false"/>
          <w:bCs w:val="false"/>
          <w:color w:val="0D1B2E"/>
          <w:sz w:val="22"/>
          <w:szCs w:val="22"/>
        </w:rPr>
        <w:t xml:space="preserve">4.4 조직 구조</w:t>
      </w:r>
      <w:r>
        <w:rPr>
          <w:rFonts w:ascii="Arial" w:cs="Arial" w:eastAsia="Malgun Gothic" w:hAnsi="Arial"/>
          <w:b w:val="false"/>
          <w:bCs w:val="false"/>
          <w:color w:val="0D1B2E"/>
          <w:sz w:val="22"/>
          <w:szCs w:val="22"/>
        </w:rPr>
        <w:t xml:space="preserve">	14</w:t>
      </w:r>
    </w:p>
    <w:p>
      <w:pPr>
        <w:pStyle w:val="TOC1"/>
        <w:tabs>
          <w:tab w:val="right" w:pos="9071" w:leader="dot"/>
        </w:tabs>
      </w:pPr>
      <w:r>
        <w:rPr>
          <w:rFonts w:ascii="Arial" w:cs="Arial" w:eastAsia="Malgun Gothic" w:hAnsi="Arial"/>
          <w:b/>
          <w:bCs/>
          <w:color w:val="0F2A4D"/>
          <w:sz w:val="23"/>
          <w:szCs w:val="23"/>
        </w:rPr>
        <w:t xml:space="preserve">5. 캠퍼스 및 시설</w:t>
      </w:r>
      <w:r>
        <w:rPr>
          <w:rFonts w:ascii="Arial" w:cs="Arial" w:eastAsia="Malgun Gothic" w:hAnsi="Arial"/>
          <w:b/>
          <w:bCs/>
          <w:color w:val="0F2A4D"/>
          <w:sz w:val="23"/>
          <w:szCs w:val="23"/>
        </w:rPr>
        <w:t xml:space="preserve">	17</w:t>
      </w:r>
    </w:p>
    <w:p>
      <w:pPr>
        <w:pStyle w:val="TOC2"/>
        <w:tabs>
          <w:tab w:val="right" w:pos="9071" w:leader="dot"/>
        </w:tabs>
      </w:pPr>
      <w:r>
        <w:rPr>
          <w:rFonts w:ascii="Arial" w:cs="Arial" w:eastAsia="Malgun Gothic" w:hAnsi="Arial"/>
          <w:b w:val="false"/>
          <w:bCs w:val="false"/>
          <w:color w:val="0D1B2E"/>
          <w:sz w:val="22"/>
          <w:szCs w:val="22"/>
        </w:rPr>
        <w:t xml:space="preserve">5.1 캠퍼스 및 부지</w:t>
      </w:r>
      <w:r>
        <w:rPr>
          <w:rFonts w:ascii="Arial" w:cs="Arial" w:eastAsia="Malgun Gothic" w:hAnsi="Arial"/>
          <w:b w:val="false"/>
          <w:bCs w:val="false"/>
          <w:color w:val="0D1B2E"/>
          <w:sz w:val="22"/>
          <w:szCs w:val="22"/>
        </w:rPr>
        <w:t xml:space="preserve">	17</w:t>
      </w:r>
    </w:p>
    <w:p>
      <w:pPr>
        <w:pStyle w:val="TOC2"/>
        <w:tabs>
          <w:tab w:val="right" w:pos="9071" w:leader="dot"/>
        </w:tabs>
      </w:pPr>
      <w:r>
        <w:rPr>
          <w:rFonts w:ascii="Arial" w:cs="Arial" w:eastAsia="Malgun Gothic" w:hAnsi="Arial"/>
          <w:b w:val="false"/>
          <w:bCs w:val="false"/>
          <w:color w:val="0D1B2E"/>
          <w:sz w:val="22"/>
          <w:szCs w:val="22"/>
        </w:rPr>
        <w:t xml:space="preserve">5.2 건물 및 연면적</w:t>
      </w:r>
      <w:r>
        <w:rPr>
          <w:rFonts w:ascii="Arial" w:cs="Arial" w:eastAsia="Malgun Gothic" w:hAnsi="Arial"/>
          <w:b w:val="false"/>
          <w:bCs w:val="false"/>
          <w:color w:val="0D1B2E"/>
          <w:sz w:val="22"/>
          <w:szCs w:val="22"/>
        </w:rPr>
        <w:t xml:space="preserve">	18</w:t>
      </w:r>
    </w:p>
    <w:p>
      <w:pPr>
        <w:pStyle w:val="TOC2"/>
        <w:tabs>
          <w:tab w:val="right" w:pos="9071" w:leader="dot"/>
        </w:tabs>
      </w:pPr>
      <w:r>
        <w:rPr>
          <w:rFonts w:ascii="Arial" w:cs="Arial" w:eastAsia="Malgun Gothic" w:hAnsi="Arial"/>
          <w:b w:val="false"/>
          <w:bCs w:val="false"/>
          <w:color w:val="0D1B2E"/>
          <w:sz w:val="22"/>
          <w:szCs w:val="22"/>
        </w:rPr>
        <w:t xml:space="preserve">5.3 교육 공간</w:t>
      </w:r>
      <w:r>
        <w:rPr>
          <w:rFonts w:ascii="Arial" w:cs="Arial" w:eastAsia="Malgun Gothic" w:hAnsi="Arial"/>
          <w:b w:val="false"/>
          <w:bCs w:val="false"/>
          <w:color w:val="0D1B2E"/>
          <w:sz w:val="22"/>
          <w:szCs w:val="22"/>
        </w:rPr>
        <w:t xml:space="preserve">	20</w:t>
      </w:r>
    </w:p>
    <w:p>
      <w:pPr>
        <w:pStyle w:val="TOC2"/>
        <w:tabs>
          <w:tab w:val="right" w:pos="9071" w:leader="dot"/>
        </w:tabs>
      </w:pPr>
      <w:r>
        <w:rPr>
          <w:rFonts w:ascii="Arial" w:cs="Arial" w:eastAsia="Malgun Gothic" w:hAnsi="Arial"/>
          <w:b w:val="false"/>
          <w:bCs w:val="false"/>
          <w:color w:val="0D1B2E"/>
          <w:sz w:val="22"/>
          <w:szCs w:val="22"/>
        </w:rPr>
        <w:t xml:space="preserve">5.4 도서관</w:t>
      </w:r>
      <w:r>
        <w:rPr>
          <w:rFonts w:ascii="Arial" w:cs="Arial" w:eastAsia="Malgun Gothic" w:hAnsi="Arial"/>
          <w:b w:val="false"/>
          <w:bCs w:val="false"/>
          <w:color w:val="0D1B2E"/>
          <w:sz w:val="22"/>
          <w:szCs w:val="22"/>
        </w:rPr>
        <w:t xml:space="preserve">	21</w:t>
      </w:r>
    </w:p>
    <w:p>
      <w:pPr>
        <w:pStyle w:val="TOC2"/>
        <w:tabs>
          <w:tab w:val="right" w:pos="9071" w:leader="dot"/>
        </w:tabs>
      </w:pPr>
      <w:r>
        <w:rPr>
          <w:rFonts w:ascii="Arial" w:cs="Arial" w:eastAsia="Malgun Gothic" w:hAnsi="Arial"/>
          <w:b w:val="false"/>
          <w:bCs w:val="false"/>
          <w:color w:val="0D1B2E"/>
          <w:sz w:val="22"/>
          <w:szCs w:val="22"/>
        </w:rPr>
        <w:t xml:space="preserve">5.5 체육·기숙사·편의시설</w:t>
      </w:r>
      <w:r>
        <w:rPr>
          <w:rFonts w:ascii="Arial" w:cs="Arial" w:eastAsia="Malgun Gothic" w:hAnsi="Arial"/>
          <w:b w:val="false"/>
          <w:bCs w:val="false"/>
          <w:color w:val="0D1B2E"/>
          <w:sz w:val="22"/>
          <w:szCs w:val="22"/>
        </w:rPr>
        <w:t xml:space="preserve">	22</w:t>
      </w:r>
    </w:p>
    <w:p>
      <w:pPr>
        <w:pStyle w:val="TOC2"/>
        <w:tabs>
          <w:tab w:val="right" w:pos="9071" w:leader="dot"/>
        </w:tabs>
      </w:pPr>
      <w:r>
        <w:rPr>
          <w:rFonts w:ascii="Arial" w:cs="Arial" w:eastAsia="Malgun Gothic" w:hAnsi="Arial"/>
          <w:b w:val="false"/>
          <w:bCs w:val="false"/>
          <w:color w:val="0D1B2E"/>
          <w:sz w:val="22"/>
          <w:szCs w:val="22"/>
        </w:rPr>
        <w:t xml:space="preserve">5.6 수용 능력 및 시설 기준 충족도</w:t>
      </w:r>
      <w:r>
        <w:rPr>
          <w:rFonts w:ascii="Arial" w:cs="Arial" w:eastAsia="Malgun Gothic" w:hAnsi="Arial"/>
          <w:b w:val="false"/>
          <w:bCs w:val="false"/>
          <w:color w:val="0D1B2E"/>
          <w:sz w:val="22"/>
          <w:szCs w:val="22"/>
        </w:rPr>
        <w:t xml:space="preserve">	23</w:t>
      </w:r>
    </w:p>
    <w:p>
      <w:pPr>
        <w:pStyle w:val="TOC2"/>
        <w:tabs>
          <w:tab w:val="right" w:pos="9071" w:leader="dot"/>
        </w:tabs>
      </w:pPr>
      <w:r>
        <w:rPr>
          <w:rFonts w:ascii="Arial" w:cs="Arial" w:eastAsia="Malgun Gothic" w:hAnsi="Arial"/>
          <w:b w:val="false"/>
          <w:bCs w:val="false"/>
          <w:color w:val="0D1B2E"/>
          <w:sz w:val="22"/>
          <w:szCs w:val="22"/>
        </w:rPr>
        <w:t xml:space="preserve">5.7 사진 증빙의 가치</w:t>
      </w:r>
      <w:r>
        <w:rPr>
          <w:rFonts w:ascii="Arial" w:cs="Arial" w:eastAsia="Malgun Gothic" w:hAnsi="Arial"/>
          <w:b w:val="false"/>
          <w:bCs w:val="false"/>
          <w:color w:val="0D1B2E"/>
          <w:sz w:val="22"/>
          <w:szCs w:val="22"/>
        </w:rPr>
        <w:t xml:space="preserve">	24</w:t>
      </w:r>
    </w:p>
    <w:p>
      <w:pPr>
        <w:pStyle w:val="TOC1"/>
        <w:tabs>
          <w:tab w:val="right" w:pos="9071" w:leader="dot"/>
        </w:tabs>
      </w:pPr>
      <w:r>
        <w:rPr>
          <w:rFonts w:ascii="Arial" w:cs="Arial" w:eastAsia="Malgun Gothic" w:hAnsi="Arial"/>
          <w:b/>
          <w:bCs/>
          <w:color w:val="0F2A4D"/>
          <w:sz w:val="23"/>
          <w:szCs w:val="23"/>
        </w:rPr>
        <w:t xml:space="preserve">6. 교육 과정</w:t>
      </w:r>
      <w:r>
        <w:rPr>
          <w:rFonts w:ascii="Arial" w:cs="Arial" w:eastAsia="Malgun Gothic" w:hAnsi="Arial"/>
          <w:b/>
          <w:bCs/>
          <w:color w:val="0F2A4D"/>
          <w:sz w:val="23"/>
          <w:szCs w:val="23"/>
        </w:rPr>
        <w:t xml:space="preserve">	25</w:t>
      </w:r>
    </w:p>
    <w:p>
      <w:pPr>
        <w:pStyle w:val="TOC2"/>
        <w:tabs>
          <w:tab w:val="right" w:pos="9071" w:leader="dot"/>
        </w:tabs>
      </w:pPr>
      <w:r>
        <w:rPr>
          <w:rFonts w:ascii="Arial" w:cs="Arial" w:eastAsia="Malgun Gothic" w:hAnsi="Arial"/>
          <w:b w:val="false"/>
          <w:bCs w:val="false"/>
          <w:color w:val="0D1B2E"/>
          <w:sz w:val="22"/>
          <w:szCs w:val="22"/>
        </w:rPr>
        <w:t xml:space="preserve">6.1 전공 목록 및 전공별 규모</w:t>
      </w:r>
      <w:r>
        <w:rPr>
          <w:rFonts w:ascii="Arial" w:cs="Arial" w:eastAsia="Malgun Gothic" w:hAnsi="Arial"/>
          <w:b w:val="false"/>
          <w:bCs w:val="false"/>
          <w:color w:val="0D1B2E"/>
          <w:sz w:val="22"/>
          <w:szCs w:val="22"/>
        </w:rPr>
        <w:t xml:space="preserve">	25</w:t>
      </w:r>
    </w:p>
    <w:p>
      <w:pPr>
        <w:pStyle w:val="TOC2"/>
        <w:tabs>
          <w:tab w:val="right" w:pos="9071" w:leader="dot"/>
        </w:tabs>
      </w:pPr>
      <w:r>
        <w:rPr>
          <w:rFonts w:ascii="Arial" w:cs="Arial" w:eastAsia="Malgun Gothic" w:hAnsi="Arial"/>
          <w:b w:val="false"/>
          <w:bCs w:val="false"/>
          <w:color w:val="0D1B2E"/>
          <w:sz w:val="22"/>
          <w:szCs w:val="22"/>
        </w:rPr>
        <w:t xml:space="preserve">6.2 교육 모델</w:t>
      </w:r>
      <w:r>
        <w:rPr>
          <w:rFonts w:ascii="Arial" w:cs="Arial" w:eastAsia="Malgun Gothic" w:hAnsi="Arial"/>
          <w:b w:val="false"/>
          <w:bCs w:val="false"/>
          <w:color w:val="0D1B2E"/>
          <w:sz w:val="22"/>
          <w:szCs w:val="22"/>
        </w:rPr>
        <w:t xml:space="preserve">	26</w:t>
      </w:r>
    </w:p>
    <w:p>
      <w:pPr>
        <w:pStyle w:val="TOC2"/>
        <w:tabs>
          <w:tab w:val="right" w:pos="9071" w:leader="dot"/>
        </w:tabs>
      </w:pPr>
      <w:r>
        <w:rPr>
          <w:rFonts w:ascii="Arial" w:cs="Arial" w:eastAsia="Malgun Gothic" w:hAnsi="Arial"/>
          <w:b w:val="false"/>
          <w:bCs w:val="false"/>
          <w:color w:val="0D1B2E"/>
          <w:sz w:val="22"/>
          <w:szCs w:val="22"/>
        </w:rPr>
        <w:t xml:space="preserve">6.3 품질인증과 웹사이트 표기</w:t>
      </w:r>
      <w:r>
        <w:rPr>
          <w:rFonts w:ascii="Arial" w:cs="Arial" w:eastAsia="Malgun Gothic" w:hAnsi="Arial"/>
          <w:b w:val="false"/>
          <w:bCs w:val="false"/>
          <w:color w:val="0D1B2E"/>
          <w:sz w:val="22"/>
          <w:szCs w:val="22"/>
        </w:rPr>
        <w:t xml:space="preserve">	27</w:t>
      </w:r>
    </w:p>
    <w:p>
      <w:pPr>
        <w:pStyle w:val="TOC1"/>
        <w:tabs>
          <w:tab w:val="right" w:pos="9071" w:leader="dot"/>
        </w:tabs>
      </w:pPr>
      <w:r>
        <w:rPr>
          <w:rFonts w:ascii="Arial" w:cs="Arial" w:eastAsia="Malgun Gothic" w:hAnsi="Arial"/>
          <w:b/>
          <w:bCs/>
          <w:color w:val="0F2A4D"/>
          <w:sz w:val="23"/>
          <w:szCs w:val="23"/>
        </w:rPr>
        <w:t xml:space="preserve">7. 입학 및 재학생</w:t>
      </w:r>
      <w:r>
        <w:rPr>
          <w:rFonts w:ascii="Arial" w:cs="Arial" w:eastAsia="Malgun Gothic" w:hAnsi="Arial"/>
          <w:b/>
          <w:bCs/>
          <w:color w:val="0F2A4D"/>
          <w:sz w:val="23"/>
          <w:szCs w:val="23"/>
        </w:rPr>
        <w:t xml:space="preserve">	29</w:t>
      </w:r>
    </w:p>
    <w:p>
      <w:pPr>
        <w:pStyle w:val="TOC2"/>
        <w:tabs>
          <w:tab w:val="right" w:pos="9071" w:leader="dot"/>
        </w:tabs>
      </w:pPr>
      <w:r>
        <w:rPr>
          <w:rFonts w:ascii="Arial" w:cs="Arial" w:eastAsia="Malgun Gothic" w:hAnsi="Arial"/>
          <w:b w:val="false"/>
          <w:bCs w:val="false"/>
          <w:color w:val="0D1B2E"/>
          <w:sz w:val="22"/>
          <w:szCs w:val="22"/>
        </w:rPr>
        <w:t xml:space="preserve">7.1 재학생 규모 및 구성</w:t>
      </w:r>
      <w:r>
        <w:rPr>
          <w:rFonts w:ascii="Arial" w:cs="Arial" w:eastAsia="Malgun Gothic" w:hAnsi="Arial"/>
          <w:b w:val="false"/>
          <w:bCs w:val="false"/>
          <w:color w:val="0D1B2E"/>
          <w:sz w:val="22"/>
          <w:szCs w:val="22"/>
        </w:rPr>
        <w:t xml:space="preserve">	29</w:t>
      </w:r>
    </w:p>
    <w:p>
      <w:pPr>
        <w:pStyle w:val="TOC2"/>
        <w:tabs>
          <w:tab w:val="right" w:pos="9071" w:leader="dot"/>
        </w:tabs>
      </w:pPr>
      <w:r>
        <w:rPr>
          <w:rFonts w:ascii="Arial" w:cs="Arial" w:eastAsia="Malgun Gothic" w:hAnsi="Arial"/>
          <w:b w:val="false"/>
          <w:bCs w:val="false"/>
          <w:color w:val="0D1B2E"/>
          <w:sz w:val="22"/>
          <w:szCs w:val="22"/>
        </w:rPr>
        <w:t xml:space="preserve">7.2 2026학년도 전형</w:t>
      </w:r>
      <w:r>
        <w:rPr>
          <w:rFonts w:ascii="Arial" w:cs="Arial" w:eastAsia="Malgun Gothic" w:hAnsi="Arial"/>
          <w:b w:val="false"/>
          <w:bCs w:val="false"/>
          <w:color w:val="0D1B2E"/>
          <w:sz w:val="22"/>
          <w:szCs w:val="22"/>
        </w:rPr>
        <w:t xml:space="preserve">	30</w:t>
      </w:r>
    </w:p>
    <w:p>
      <w:pPr>
        <w:pStyle w:val="TOC2"/>
        <w:tabs>
          <w:tab w:val="right" w:pos="9071" w:leader="dot"/>
        </w:tabs>
      </w:pPr>
      <w:r>
        <w:rPr>
          <w:rFonts w:ascii="Arial" w:cs="Arial" w:eastAsia="Malgun Gothic" w:hAnsi="Arial"/>
          <w:b w:val="false"/>
          <w:bCs w:val="false"/>
          <w:color w:val="0D1B2E"/>
          <w:sz w:val="22"/>
          <w:szCs w:val="22"/>
        </w:rPr>
        <w:t xml:space="preserve">7.3 학생 활동</w:t>
      </w:r>
      <w:r>
        <w:rPr>
          <w:rFonts w:ascii="Arial" w:cs="Arial" w:eastAsia="Malgun Gothic" w:hAnsi="Arial"/>
          <w:b w:val="false"/>
          <w:bCs w:val="false"/>
          <w:color w:val="0D1B2E"/>
          <w:sz w:val="22"/>
          <w:szCs w:val="22"/>
        </w:rPr>
        <w:t xml:space="preserve">	31</w:t>
      </w:r>
    </w:p>
    <w:p>
      <w:pPr>
        <w:pStyle w:val="TOC1"/>
        <w:tabs>
          <w:tab w:val="right" w:pos="9071" w:leader="dot"/>
        </w:tabs>
      </w:pPr>
      <w:r>
        <w:rPr>
          <w:rFonts w:ascii="Arial" w:cs="Arial" w:eastAsia="Malgun Gothic" w:hAnsi="Arial"/>
          <w:b/>
          <w:bCs/>
          <w:color w:val="0F2A4D"/>
          <w:sz w:val="23"/>
          <w:szCs w:val="23"/>
        </w:rPr>
        <w:t xml:space="preserve">8. 등록금 및 장학금</w:t>
      </w:r>
      <w:r>
        <w:rPr>
          <w:rFonts w:ascii="Arial" w:cs="Arial" w:eastAsia="Malgun Gothic" w:hAnsi="Arial"/>
          <w:b/>
          <w:bCs/>
          <w:color w:val="0F2A4D"/>
          <w:sz w:val="23"/>
          <w:szCs w:val="23"/>
        </w:rPr>
        <w:t xml:space="preserve">	33</w:t>
      </w:r>
    </w:p>
    <w:p>
      <w:pPr>
        <w:pStyle w:val="TOC2"/>
        <w:tabs>
          <w:tab w:val="right" w:pos="9071" w:leader="dot"/>
        </w:tabs>
      </w:pPr>
      <w:r>
        <w:rPr>
          <w:rFonts w:ascii="Arial" w:cs="Arial" w:eastAsia="Malgun Gothic" w:hAnsi="Arial"/>
          <w:b w:val="false"/>
          <w:bCs w:val="false"/>
          <w:color w:val="0D1B2E"/>
          <w:sz w:val="22"/>
          <w:szCs w:val="22"/>
        </w:rPr>
        <w:t xml:space="preserve">8.1 2026학년도 정책</w:t>
      </w:r>
      <w:r>
        <w:rPr>
          <w:rFonts w:ascii="Arial" w:cs="Arial" w:eastAsia="Malgun Gothic" w:hAnsi="Arial"/>
          <w:b w:val="false"/>
          <w:bCs w:val="false"/>
          <w:color w:val="0D1B2E"/>
          <w:sz w:val="22"/>
          <w:szCs w:val="22"/>
        </w:rPr>
        <w:t xml:space="preserve">	33</w:t>
      </w:r>
    </w:p>
    <w:p>
      <w:pPr>
        <w:pStyle w:val="TOC2"/>
        <w:tabs>
          <w:tab w:val="right" w:pos="9071" w:leader="dot"/>
        </w:tabs>
      </w:pPr>
      <w:r>
        <w:rPr>
          <w:rFonts w:ascii="Arial" w:cs="Arial" w:eastAsia="Malgun Gothic" w:hAnsi="Arial"/>
          <w:b w:val="false"/>
          <w:bCs w:val="false"/>
          <w:color w:val="0D1B2E"/>
          <w:sz w:val="22"/>
          <w:szCs w:val="22"/>
        </w:rPr>
        <w:t xml:space="preserve">8.2 정가 등록금과 실수납 등록금</w:t>
      </w:r>
      <w:r>
        <w:rPr>
          <w:rFonts w:ascii="Arial" w:cs="Arial" w:eastAsia="Malgun Gothic" w:hAnsi="Arial"/>
          <w:b w:val="false"/>
          <w:bCs w:val="false"/>
          <w:color w:val="0D1B2E"/>
          <w:sz w:val="22"/>
          <w:szCs w:val="22"/>
        </w:rPr>
        <w:t xml:space="preserve">	35</w:t>
      </w:r>
    </w:p>
    <w:p>
      <w:pPr>
        <w:pStyle w:val="TOC1"/>
        <w:tabs>
          <w:tab w:val="right" w:pos="9071" w:leader="dot"/>
        </w:tabs>
      </w:pPr>
      <w:r>
        <w:rPr>
          <w:rFonts w:ascii="Arial" w:cs="Arial" w:eastAsia="Malgun Gothic" w:hAnsi="Arial"/>
          <w:b/>
          <w:bCs/>
          <w:color w:val="0F2A4D"/>
          <w:sz w:val="23"/>
          <w:szCs w:val="23"/>
        </w:rPr>
        <w:t xml:space="preserve">9. 교직원 및 급여</w:t>
      </w:r>
      <w:r>
        <w:rPr>
          <w:rFonts w:ascii="Arial" w:cs="Arial" w:eastAsia="Malgun Gothic" w:hAnsi="Arial"/>
          <w:b/>
          <w:bCs/>
          <w:color w:val="0F2A4D"/>
          <w:sz w:val="23"/>
          <w:szCs w:val="23"/>
        </w:rPr>
        <w:t xml:space="preserve">	37</w:t>
      </w:r>
    </w:p>
    <w:p>
      <w:pPr>
        <w:pStyle w:val="TOC2"/>
        <w:tabs>
          <w:tab w:val="right" w:pos="9071" w:leader="dot"/>
        </w:tabs>
      </w:pPr>
      <w:r>
        <w:rPr>
          <w:rFonts w:ascii="Arial" w:cs="Arial" w:eastAsia="Malgun Gothic" w:hAnsi="Arial"/>
          <w:b w:val="false"/>
          <w:bCs w:val="false"/>
          <w:color w:val="0D1B2E"/>
          <w:sz w:val="22"/>
          <w:szCs w:val="22"/>
        </w:rPr>
        <w:t xml:space="preserve">9.1 교원</w:t>
      </w:r>
      <w:r>
        <w:rPr>
          <w:rFonts w:ascii="Arial" w:cs="Arial" w:eastAsia="Malgun Gothic" w:hAnsi="Arial"/>
          <w:b w:val="false"/>
          <w:bCs w:val="false"/>
          <w:color w:val="0D1B2E"/>
          <w:sz w:val="22"/>
          <w:szCs w:val="22"/>
        </w:rPr>
        <w:t xml:space="preserve">	37</w:t>
      </w:r>
    </w:p>
    <w:p>
      <w:pPr>
        <w:pStyle w:val="TOC2"/>
        <w:tabs>
          <w:tab w:val="right" w:pos="9071" w:leader="dot"/>
        </w:tabs>
      </w:pPr>
      <w:r>
        <w:rPr>
          <w:rFonts w:ascii="Arial" w:cs="Arial" w:eastAsia="Malgun Gothic" w:hAnsi="Arial"/>
          <w:b w:val="false"/>
          <w:bCs w:val="false"/>
          <w:color w:val="0D1B2E"/>
          <w:sz w:val="22"/>
          <w:szCs w:val="22"/>
        </w:rPr>
        <w:t xml:space="preserve">9.2 관리자 및 직원</w:t>
      </w:r>
      <w:r>
        <w:rPr>
          <w:rFonts w:ascii="Arial" w:cs="Arial" w:eastAsia="Malgun Gothic" w:hAnsi="Arial"/>
          <w:b w:val="false"/>
          <w:bCs w:val="false"/>
          <w:color w:val="0D1B2E"/>
          <w:sz w:val="22"/>
          <w:szCs w:val="22"/>
        </w:rPr>
        <w:t xml:space="preserve">	38</w:t>
      </w:r>
    </w:p>
    <w:p>
      <w:pPr>
        <w:pStyle w:val="TOC2"/>
        <w:tabs>
          <w:tab w:val="right" w:pos="9071" w:leader="dot"/>
        </w:tabs>
      </w:pPr>
      <w:r>
        <w:rPr>
          <w:rFonts w:ascii="Arial" w:cs="Arial" w:eastAsia="Malgun Gothic" w:hAnsi="Arial"/>
          <w:b w:val="false"/>
          <w:bCs w:val="false"/>
          <w:color w:val="0D1B2E"/>
          <w:sz w:val="22"/>
          <w:szCs w:val="22"/>
        </w:rPr>
        <w:t xml:space="preserve">9.3 인건비와 급여 수준</w:t>
      </w:r>
      <w:r>
        <w:rPr>
          <w:rFonts w:ascii="Arial" w:cs="Arial" w:eastAsia="Malgun Gothic" w:hAnsi="Arial"/>
          <w:b w:val="false"/>
          <w:bCs w:val="false"/>
          <w:color w:val="0D1B2E"/>
          <w:sz w:val="22"/>
          <w:szCs w:val="22"/>
        </w:rPr>
        <w:t xml:space="preserve">	38</w:t>
      </w:r>
    </w:p>
    <w:p>
      <w:pPr>
        <w:pStyle w:val="TOC1"/>
        <w:tabs>
          <w:tab w:val="right" w:pos="9071" w:leader="dot"/>
        </w:tabs>
      </w:pPr>
      <w:r>
        <w:rPr>
          <w:rFonts w:ascii="Arial" w:cs="Arial" w:eastAsia="Malgun Gothic" w:hAnsi="Arial"/>
          <w:b/>
          <w:bCs/>
          <w:color w:val="0F2A4D"/>
          <w:sz w:val="23"/>
          <w:szCs w:val="23"/>
        </w:rPr>
        <w:t xml:space="preserve">10. 재무 및 운영비</w:t>
      </w:r>
      <w:r>
        <w:rPr>
          <w:rFonts w:ascii="Arial" w:cs="Arial" w:eastAsia="Malgun Gothic" w:hAnsi="Arial"/>
          <w:b/>
          <w:bCs/>
          <w:color w:val="0F2A4D"/>
          <w:sz w:val="23"/>
          <w:szCs w:val="23"/>
        </w:rPr>
        <w:t xml:space="preserve">	39</w:t>
      </w:r>
    </w:p>
    <w:p>
      <w:pPr>
        <w:pStyle w:val="TOC2"/>
        <w:tabs>
          <w:tab w:val="right" w:pos="9071" w:leader="dot"/>
        </w:tabs>
      </w:pPr>
      <w:r>
        <w:rPr>
          <w:rFonts w:ascii="Arial" w:cs="Arial" w:eastAsia="Malgun Gothic" w:hAnsi="Arial"/>
          <w:b w:val="false"/>
          <w:bCs w:val="false"/>
          <w:color w:val="0D1B2E"/>
          <w:sz w:val="22"/>
          <w:szCs w:val="22"/>
        </w:rPr>
        <w:t xml:space="preserve">10.1 2024–2025년 수입·지출 실적</w:t>
      </w:r>
      <w:r>
        <w:rPr>
          <w:rFonts w:ascii="Arial" w:cs="Arial" w:eastAsia="Malgun Gothic" w:hAnsi="Arial"/>
          <w:b w:val="false"/>
          <w:bCs w:val="false"/>
          <w:color w:val="0D1B2E"/>
          <w:sz w:val="22"/>
          <w:szCs w:val="22"/>
        </w:rPr>
        <w:t xml:space="preserve">	39</w:t>
      </w:r>
    </w:p>
    <w:p>
      <w:pPr>
        <w:pStyle w:val="TOC2"/>
        <w:tabs>
          <w:tab w:val="right" w:pos="9071" w:leader="dot"/>
        </w:tabs>
      </w:pPr>
      <w:r>
        <w:rPr>
          <w:rFonts w:ascii="Arial" w:cs="Arial" w:eastAsia="Malgun Gothic" w:hAnsi="Arial"/>
          <w:b w:val="false"/>
          <w:bCs w:val="false"/>
          <w:color w:val="0D1B2E"/>
          <w:sz w:val="22"/>
          <w:szCs w:val="22"/>
        </w:rPr>
        <w:t xml:space="preserve">10.2 재무 지표</w:t>
      </w:r>
      <w:r>
        <w:rPr>
          <w:rFonts w:ascii="Arial" w:cs="Arial" w:eastAsia="Malgun Gothic" w:hAnsi="Arial"/>
          <w:b w:val="false"/>
          <w:bCs w:val="false"/>
          <w:color w:val="0D1B2E"/>
          <w:sz w:val="22"/>
          <w:szCs w:val="22"/>
        </w:rPr>
        <w:t xml:space="preserve">	41</w:t>
      </w:r>
    </w:p>
    <w:p>
      <w:pPr>
        <w:pStyle w:val="TOC2"/>
        <w:tabs>
          <w:tab w:val="right" w:pos="9071" w:leader="dot"/>
        </w:tabs>
      </w:pPr>
      <w:r>
        <w:rPr>
          <w:rFonts w:ascii="Arial" w:cs="Arial" w:eastAsia="Malgun Gothic" w:hAnsi="Arial"/>
          <w:b w:val="false"/>
          <w:bCs w:val="false"/>
          <w:color w:val="0D1B2E"/>
          <w:sz w:val="22"/>
          <w:szCs w:val="22"/>
        </w:rPr>
        <w:t xml:space="preserve">10.3 규모별 손익분기점</w:t>
      </w:r>
      <w:r>
        <w:rPr>
          <w:rFonts w:ascii="Arial" w:cs="Arial" w:eastAsia="Malgun Gothic" w:hAnsi="Arial"/>
          <w:b w:val="false"/>
          <w:bCs w:val="false"/>
          <w:color w:val="0D1B2E"/>
          <w:sz w:val="22"/>
          <w:szCs w:val="22"/>
        </w:rPr>
        <w:t xml:space="preserve">	41</w:t>
      </w:r>
    </w:p>
    <w:p>
      <w:pPr>
        <w:pStyle w:val="TOC2"/>
        <w:tabs>
          <w:tab w:val="right" w:pos="9071" w:leader="dot"/>
        </w:tabs>
      </w:pPr>
      <w:r>
        <w:rPr>
          <w:rFonts w:ascii="Arial" w:cs="Arial" w:eastAsia="Malgun Gothic" w:hAnsi="Arial"/>
          <w:b w:val="false"/>
          <w:bCs w:val="false"/>
          <w:color w:val="0D1B2E"/>
          <w:sz w:val="22"/>
          <w:szCs w:val="22"/>
        </w:rPr>
        <w:t xml:space="preserve">10.4 외화 환산</w:t>
      </w:r>
      <w:r>
        <w:rPr>
          <w:rFonts w:ascii="Arial" w:cs="Arial" w:eastAsia="Malgun Gothic" w:hAnsi="Arial"/>
          <w:b w:val="false"/>
          <w:bCs w:val="false"/>
          <w:color w:val="0D1B2E"/>
          <w:sz w:val="22"/>
          <w:szCs w:val="22"/>
        </w:rPr>
        <w:t xml:space="preserve">	42</w:t>
      </w:r>
    </w:p>
    <w:p>
      <w:pPr>
        <w:pStyle w:val="TOC1"/>
        <w:tabs>
          <w:tab w:val="right" w:pos="9071" w:leader="dot"/>
        </w:tabs>
      </w:pPr>
      <w:r>
        <w:rPr>
          <w:rFonts w:ascii="Arial" w:cs="Arial" w:eastAsia="Malgun Gothic" w:hAnsi="Arial"/>
          <w:b/>
          <w:bCs/>
          <w:color w:val="0F2A4D"/>
          <w:sz w:val="23"/>
          <w:szCs w:val="23"/>
        </w:rPr>
        <w:t xml:space="preserve">11. 연구 및 대외 협력</w:t>
      </w:r>
      <w:r>
        <w:rPr>
          <w:rFonts w:ascii="Arial" w:cs="Arial" w:eastAsia="Malgun Gothic" w:hAnsi="Arial"/>
          <w:b/>
          <w:bCs/>
          <w:color w:val="0F2A4D"/>
          <w:sz w:val="23"/>
          <w:szCs w:val="23"/>
        </w:rPr>
        <w:t xml:space="preserve">	43</w:t>
      </w:r>
    </w:p>
    <w:p>
      <w:pPr>
        <w:pStyle w:val="TOC2"/>
        <w:tabs>
          <w:tab w:val="right" w:pos="9071" w:leader="dot"/>
        </w:tabs>
      </w:pPr>
      <w:r>
        <w:rPr>
          <w:rFonts w:ascii="Arial" w:cs="Arial" w:eastAsia="Malgun Gothic" w:hAnsi="Arial"/>
          <w:b w:val="false"/>
          <w:bCs w:val="false"/>
          <w:color w:val="0D1B2E"/>
          <w:sz w:val="22"/>
          <w:szCs w:val="22"/>
        </w:rPr>
        <w:t xml:space="preserve">11.1 연구</w:t>
      </w:r>
      <w:r>
        <w:rPr>
          <w:rFonts w:ascii="Arial" w:cs="Arial" w:eastAsia="Malgun Gothic" w:hAnsi="Arial"/>
          <w:b w:val="false"/>
          <w:bCs w:val="false"/>
          <w:color w:val="0D1B2E"/>
          <w:sz w:val="22"/>
          <w:szCs w:val="22"/>
        </w:rPr>
        <w:t xml:space="preserve">	43</w:t>
      </w:r>
    </w:p>
    <w:p>
      <w:pPr>
        <w:pStyle w:val="TOC2"/>
        <w:tabs>
          <w:tab w:val="right" w:pos="9071" w:leader="dot"/>
        </w:tabs>
      </w:pPr>
      <w:r>
        <w:rPr>
          <w:rFonts w:ascii="Arial" w:cs="Arial" w:eastAsia="Malgun Gothic" w:hAnsi="Arial"/>
          <w:b w:val="false"/>
          <w:bCs w:val="false"/>
          <w:color w:val="0D1B2E"/>
          <w:sz w:val="22"/>
          <w:szCs w:val="22"/>
        </w:rPr>
        <w:t xml:space="preserve">11.2 국내외 협력</w:t>
      </w:r>
      <w:r>
        <w:rPr>
          <w:rFonts w:ascii="Arial" w:cs="Arial" w:eastAsia="Malgun Gothic" w:hAnsi="Arial"/>
          <w:b w:val="false"/>
          <w:bCs w:val="false"/>
          <w:color w:val="0D1B2E"/>
          <w:sz w:val="22"/>
          <w:szCs w:val="22"/>
        </w:rPr>
        <w:t xml:space="preserve">	43</w:t>
      </w:r>
    </w:p>
    <w:p>
      <w:pPr>
        <w:pStyle w:val="TOC1"/>
        <w:tabs>
          <w:tab w:val="right" w:pos="9071" w:leader="dot"/>
        </w:tabs>
      </w:pPr>
      <w:r>
        <w:rPr>
          <w:rFonts w:ascii="Arial" w:cs="Arial" w:eastAsia="Malgun Gothic" w:hAnsi="Arial"/>
          <w:b/>
          <w:bCs/>
          <w:color w:val="0F2A4D"/>
          <w:sz w:val="23"/>
          <w:szCs w:val="23"/>
        </w:rPr>
        <w:t xml:space="preserve">12. 홍보 및 브랜드</w:t>
      </w:r>
      <w:r>
        <w:rPr>
          <w:rFonts w:ascii="Arial" w:cs="Arial" w:eastAsia="Malgun Gothic" w:hAnsi="Arial"/>
          <w:b/>
          <w:bCs/>
          <w:color w:val="0F2A4D"/>
          <w:sz w:val="23"/>
          <w:szCs w:val="23"/>
        </w:rPr>
        <w:t xml:space="preserve">	45</w:t>
      </w:r>
    </w:p>
    <w:p>
      <w:pPr>
        <w:pStyle w:val="TOC2"/>
        <w:tabs>
          <w:tab w:val="right" w:pos="9071" w:leader="dot"/>
        </w:tabs>
      </w:pPr>
      <w:r>
        <w:rPr>
          <w:rFonts w:ascii="Arial" w:cs="Arial" w:eastAsia="Malgun Gothic" w:hAnsi="Arial"/>
          <w:b w:val="false"/>
          <w:bCs w:val="false"/>
          <w:color w:val="0D1B2E"/>
          <w:sz w:val="22"/>
          <w:szCs w:val="22"/>
        </w:rPr>
        <w:t xml:space="preserve">12.1 홍보 채널</w:t>
      </w:r>
      <w:r>
        <w:rPr>
          <w:rFonts w:ascii="Arial" w:cs="Arial" w:eastAsia="Malgun Gothic" w:hAnsi="Arial"/>
          <w:b w:val="false"/>
          <w:bCs w:val="false"/>
          <w:color w:val="0D1B2E"/>
          <w:sz w:val="22"/>
          <w:szCs w:val="22"/>
        </w:rPr>
        <w:t xml:space="preserve">	45</w:t>
      </w:r>
    </w:p>
    <w:p>
      <w:pPr>
        <w:pStyle w:val="TOC2"/>
        <w:tabs>
          <w:tab w:val="right" w:pos="9071" w:leader="dot"/>
        </w:tabs>
      </w:pPr>
      <w:r>
        <w:rPr>
          <w:rFonts w:ascii="Arial" w:cs="Arial" w:eastAsia="Malgun Gothic" w:hAnsi="Arial"/>
          <w:b w:val="false"/>
          <w:bCs w:val="false"/>
          <w:color w:val="0D1B2E"/>
          <w:sz w:val="22"/>
          <w:szCs w:val="22"/>
        </w:rPr>
        <w:t xml:space="preserve">12.2 웹사이트 관찰 사항(2026.10.27)</w:t>
      </w:r>
      <w:r>
        <w:rPr>
          <w:rFonts w:ascii="Arial" w:cs="Arial" w:eastAsia="Malgun Gothic" w:hAnsi="Arial"/>
          <w:b w:val="false"/>
          <w:bCs w:val="false"/>
          <w:color w:val="0D1B2E"/>
          <w:sz w:val="22"/>
          <w:szCs w:val="22"/>
        </w:rPr>
        <w:t xml:space="preserve">	45</w:t>
      </w:r>
    </w:p>
    <w:p>
      <w:pPr>
        <w:pStyle w:val="TOC2"/>
        <w:tabs>
          <w:tab w:val="right" w:pos="9071" w:leader="dot"/>
        </w:tabs>
      </w:pPr>
      <w:r>
        <w:rPr>
          <w:rFonts w:ascii="Arial" w:cs="Arial" w:eastAsia="Malgun Gothic" w:hAnsi="Arial"/>
          <w:b w:val="false"/>
          <w:bCs w:val="false"/>
          <w:color w:val="0D1B2E"/>
          <w:sz w:val="22"/>
          <w:szCs w:val="22"/>
        </w:rPr>
        <w:t xml:space="preserve">12.3 언론 노출</w:t>
      </w:r>
      <w:r>
        <w:rPr>
          <w:rFonts w:ascii="Arial" w:cs="Arial" w:eastAsia="Malgun Gothic" w:hAnsi="Arial"/>
          <w:b w:val="false"/>
          <w:bCs w:val="false"/>
          <w:color w:val="0D1B2E"/>
          <w:sz w:val="22"/>
          <w:szCs w:val="22"/>
        </w:rPr>
        <w:t xml:space="preserve">	46</w:t>
      </w:r>
    </w:p>
    <w:p>
      <w:pPr>
        <w:pStyle w:val="TOC1"/>
        <w:tabs>
          <w:tab w:val="right" w:pos="9071" w:leader="dot"/>
        </w:tabs>
      </w:pPr>
      <w:r>
        <w:rPr>
          <w:rFonts w:ascii="Arial" w:cs="Arial" w:eastAsia="Malgun Gothic" w:hAnsi="Arial"/>
          <w:b/>
          <w:bCs/>
          <w:color w:val="0F2A4D"/>
          <w:sz w:val="23"/>
          <w:szCs w:val="23"/>
        </w:rPr>
        <w:t xml:space="preserve">13. 시장 및 경쟁</w:t>
      </w:r>
      <w:r>
        <w:rPr>
          <w:rFonts w:ascii="Arial" w:cs="Arial" w:eastAsia="Malgun Gothic" w:hAnsi="Arial"/>
          <w:b/>
          <w:bCs/>
          <w:color w:val="0F2A4D"/>
          <w:sz w:val="23"/>
          <w:szCs w:val="23"/>
        </w:rPr>
        <w:t xml:space="preserve">	47</w:t>
      </w:r>
    </w:p>
    <w:p>
      <w:pPr>
        <w:pStyle w:val="TOC1"/>
        <w:tabs>
          <w:tab w:val="right" w:pos="9071" w:leader="dot"/>
        </w:tabs>
      </w:pPr>
      <w:r>
        <w:rPr>
          <w:rFonts w:ascii="Arial" w:cs="Arial" w:eastAsia="Malgun Gothic" w:hAnsi="Arial"/>
          <w:b/>
          <w:bCs/>
          <w:color w:val="0F2A4D"/>
          <w:sz w:val="23"/>
          <w:szCs w:val="23"/>
        </w:rPr>
        <w:t xml:space="preserve">14. 투자자 관련 법규 및 기준 충족도</w:t>
      </w:r>
      <w:r>
        <w:rPr>
          <w:rFonts w:ascii="Arial" w:cs="Arial" w:eastAsia="Malgun Gothic" w:hAnsi="Arial"/>
          <w:b/>
          <w:bCs/>
          <w:color w:val="0F2A4D"/>
          <w:sz w:val="23"/>
          <w:szCs w:val="23"/>
        </w:rPr>
        <w:t xml:space="preserve">	48</w:t>
      </w:r>
    </w:p>
    <w:p>
      <w:pPr>
        <w:pStyle w:val="TOC2"/>
        <w:tabs>
          <w:tab w:val="right" w:pos="9071" w:leader="dot"/>
        </w:tabs>
      </w:pPr>
      <w:r>
        <w:rPr>
          <w:rFonts w:ascii="Arial" w:cs="Arial" w:eastAsia="Malgun Gothic" w:hAnsi="Arial"/>
          <w:b w:val="false"/>
          <w:bCs w:val="false"/>
          <w:color w:val="0D1B2E"/>
          <w:sz w:val="22"/>
          <w:szCs w:val="22"/>
        </w:rPr>
        <w:t xml:space="preserve">14.1 핵심 법령</w:t>
      </w:r>
      <w:r>
        <w:rPr>
          <w:rFonts w:ascii="Arial" w:cs="Arial" w:eastAsia="Malgun Gothic" w:hAnsi="Arial"/>
          <w:b w:val="false"/>
          <w:bCs w:val="false"/>
          <w:color w:val="0D1B2E"/>
          <w:sz w:val="22"/>
          <w:szCs w:val="22"/>
        </w:rPr>
        <w:t xml:space="preserve">	48</w:t>
      </w:r>
    </w:p>
    <w:p>
      <w:pPr>
        <w:pStyle w:val="TOC2"/>
        <w:tabs>
          <w:tab w:val="right" w:pos="9071" w:leader="dot"/>
        </w:tabs>
      </w:pPr>
      <w:r>
        <w:rPr>
          <w:rFonts w:ascii="Arial" w:cs="Arial" w:eastAsia="Malgun Gothic" w:hAnsi="Arial"/>
          <w:b w:val="false"/>
          <w:bCs w:val="false"/>
          <w:color w:val="0D1B2E"/>
          <w:sz w:val="22"/>
          <w:szCs w:val="22"/>
        </w:rPr>
        <w:t xml:space="preserve">14.2 학교 공시 수치 기준 충족도</w:t>
      </w:r>
      <w:r>
        <w:rPr>
          <w:rFonts w:ascii="Arial" w:cs="Arial" w:eastAsia="Malgun Gothic" w:hAnsi="Arial"/>
          <w:b w:val="false"/>
          <w:bCs w:val="false"/>
          <w:color w:val="0D1B2E"/>
          <w:sz w:val="22"/>
          <w:szCs w:val="22"/>
        </w:rPr>
        <w:t xml:space="preserve">	48</w:t>
      </w:r>
    </w:p>
    <w:p>
      <w:pPr>
        <w:pStyle w:val="TOC1"/>
        <w:tabs>
          <w:tab w:val="right" w:pos="9071" w:leader="dot"/>
        </w:tabs>
      </w:pPr>
      <w:r>
        <w:rPr>
          <w:rFonts w:ascii="Arial" w:cs="Arial" w:eastAsia="Malgun Gothic" w:hAnsi="Arial"/>
          <w:b/>
          <w:bCs/>
          <w:color w:val="0F2A4D"/>
          <w:sz w:val="23"/>
          <w:szCs w:val="23"/>
        </w:rPr>
        <w:t xml:space="preserve">15. SWOT 및 리스크 매트릭스</w:t>
      </w:r>
      <w:r>
        <w:rPr>
          <w:rFonts w:ascii="Arial" w:cs="Arial" w:eastAsia="Malgun Gothic" w:hAnsi="Arial"/>
          <w:b/>
          <w:bCs/>
          <w:color w:val="0F2A4D"/>
          <w:sz w:val="23"/>
          <w:szCs w:val="23"/>
        </w:rPr>
        <w:t xml:space="preserve">	50</w:t>
      </w:r>
    </w:p>
    <w:p>
      <w:pPr>
        <w:pStyle w:val="TOC1"/>
        <w:tabs>
          <w:tab w:val="right" w:pos="9071" w:leader="dot"/>
        </w:tabs>
      </w:pPr>
      <w:r>
        <w:rPr>
          <w:rFonts w:ascii="Arial" w:cs="Arial" w:eastAsia="Malgun Gothic" w:hAnsi="Arial"/>
          <w:b/>
          <w:bCs/>
          <w:color w:val="0F2A4D"/>
          <w:sz w:val="23"/>
          <w:szCs w:val="23"/>
        </w:rPr>
        <w:t xml:space="preserve">16. 참여 방안 및 로드맵</w:t>
      </w:r>
      <w:r>
        <w:rPr>
          <w:rFonts w:ascii="Arial" w:cs="Arial" w:eastAsia="Malgun Gothic" w:hAnsi="Arial"/>
          <w:b/>
          <w:bCs/>
          <w:color w:val="0F2A4D"/>
          <w:sz w:val="23"/>
          <w:szCs w:val="23"/>
        </w:rPr>
        <w:t xml:space="preserve">	52</w:t>
      </w:r>
    </w:p>
    <w:p>
      <w:pPr>
        <w:pStyle w:val="TOC1"/>
        <w:tabs>
          <w:tab w:val="right" w:pos="9071" w:leader="dot"/>
        </w:tabs>
      </w:pPr>
      <w:r>
        <w:rPr>
          <w:rFonts w:ascii="Arial" w:cs="Arial" w:eastAsia="Malgun Gothic" w:hAnsi="Arial"/>
          <w:b/>
          <w:bCs/>
          <w:color w:val="0F2A4D"/>
          <w:sz w:val="23"/>
          <w:szCs w:val="23"/>
        </w:rPr>
        <w:t xml:space="preserve">17. 요청 자료 및 현장 실사</w:t>
      </w:r>
      <w:r>
        <w:rPr>
          <w:rFonts w:ascii="Arial" w:cs="Arial" w:eastAsia="Malgun Gothic" w:hAnsi="Arial"/>
          <w:b/>
          <w:bCs/>
          <w:color w:val="0F2A4D"/>
          <w:sz w:val="23"/>
          <w:szCs w:val="23"/>
        </w:rPr>
        <w:t xml:space="preserve">	53</w:t>
      </w:r>
    </w:p>
    <w:p>
      <w:pPr>
        <w:pStyle w:val="TOC2"/>
        <w:tabs>
          <w:tab w:val="right" w:pos="9071" w:leader="dot"/>
        </w:tabs>
      </w:pPr>
      <w:r>
        <w:rPr>
          <w:rFonts w:ascii="Arial" w:cs="Arial" w:eastAsia="Malgun Gothic" w:hAnsi="Arial"/>
          <w:b w:val="false"/>
          <w:bCs w:val="false"/>
          <w:color w:val="0D1B2E"/>
          <w:sz w:val="22"/>
          <w:szCs w:val="22"/>
        </w:rPr>
        <w:t xml:space="preserve">17.1 요청 자료</w:t>
      </w:r>
      <w:r>
        <w:rPr>
          <w:rFonts w:ascii="Arial" w:cs="Arial" w:eastAsia="Malgun Gothic" w:hAnsi="Arial"/>
          <w:b w:val="false"/>
          <w:bCs w:val="false"/>
          <w:color w:val="0D1B2E"/>
          <w:sz w:val="22"/>
          <w:szCs w:val="22"/>
        </w:rPr>
        <w:t xml:space="preserve">	53</w:t>
      </w:r>
    </w:p>
    <w:p>
      <w:pPr>
        <w:pStyle w:val="TOC2"/>
        <w:tabs>
          <w:tab w:val="right" w:pos="9071" w:leader="dot"/>
        </w:tabs>
      </w:pPr>
      <w:r>
        <w:rPr>
          <w:rFonts w:ascii="Arial" w:cs="Arial" w:eastAsia="Malgun Gothic" w:hAnsi="Arial"/>
          <w:b w:val="false"/>
          <w:bCs w:val="false"/>
          <w:color w:val="0D1B2E"/>
          <w:sz w:val="22"/>
          <w:szCs w:val="22"/>
        </w:rPr>
        <w:t xml:space="preserve">17.2 현장 실사</w:t>
      </w:r>
      <w:r>
        <w:rPr>
          <w:rFonts w:ascii="Arial" w:cs="Arial" w:eastAsia="Malgun Gothic" w:hAnsi="Arial"/>
          <w:b w:val="false"/>
          <w:bCs w:val="false"/>
          <w:color w:val="0D1B2E"/>
          <w:sz w:val="22"/>
          <w:szCs w:val="22"/>
        </w:rPr>
        <w:t xml:space="preserve">	53</w:t>
      </w:r>
    </w:p>
    <w:p>
      <w:pPr>
        <w:spacing w:after="0" w:lineRule="auto" w:line="240"/>
      </w:pPr>
      <w:r>
        <w:fldChar w:fldCharType="end"/>
      </w:r>
    </w:p>
    <w:p>
      <w:pPr>
        <w:pStyle w:val="Heading1"/>
        <w:pageBreakBefore/>
      </w:pPr>
      <w:r>
        <w:t xml:space="preserve">1. 핵심 요약</w:t>
      </w:r>
    </w:p>
    <w:p>
      <w:pPr>
        <w:keepNext w:val="false"/>
        <w:spacing w:after="120" w:before="0" w:lineRule="auto" w:line="264"/>
        <w:jc w:val="both"/>
      </w:pPr>
      <w:r>
        <w:rPr>
          <w:rFonts w:ascii="Arial" w:cs="Arial" w:eastAsia="Malgun Gothic" w:hAnsi="Arial"/>
          <w:color w:val="0D1B2E"/>
          <w:sz w:val="24"/>
          <w:szCs w:val="24"/>
        </w:rPr>
        <w:t xml:space="preserve">호찌민시 관리기술대학교(UMT)는 </w:t>
      </w:r>
      <w:r>
        <w:rPr>
          <w:rFonts w:ascii="Arial" w:cs="Arial" w:eastAsia="Malgun Gothic" w:hAnsi="Arial"/>
          <w:b/>
          <w:bCs/>
          <w:color w:val="0D1B2E"/>
          <w:sz w:val="24"/>
          <w:szCs w:val="24"/>
        </w:rPr>
        <w:t xml:space="preserve">비영리로 운영되는 사립대학</w:t>
      </w:r>
      <w:r>
        <w:rPr>
          <w:rFonts w:ascii="Arial" w:cs="Arial" w:eastAsia="Malgun Gothic" w:hAnsi="Arial"/>
          <w:color w:val="0D1B2E"/>
          <w:sz w:val="24"/>
          <w:szCs w:val="24"/>
        </w:rPr>
        <w:t xml:space="preserve">으로, 2021년 3월 27일 베트남 총리 결정 제467/QĐ-TTg호로 설립되었고 2021년 6월 2일 교육훈련부 결정 제1676/QĐ-BGDĐT호로 교육 활동 허가를 받았습니다. 학교의 공시보고서에 따르면 </w:t>
      </w:r>
      <w:r>
        <w:rPr>
          <w:rFonts w:ascii="Arial" w:cs="Arial" w:eastAsia="Malgun Gothic" w:hAnsi="Arial"/>
          <w:b/>
          <w:bCs/>
          <w:color w:val="0D1B2E"/>
          <w:sz w:val="24"/>
          <w:szCs w:val="24"/>
        </w:rPr>
        <w:t xml:space="preserve">소유주이자 유일한 출자 법인은 UMT 교육투자개발그룹 주식회사(CTCP Tập đoàn Đầu tư và Phát triển Giáo dục UMT)</w:t>
      </w:r>
      <w:r>
        <w:rPr>
          <w:rFonts w:ascii="Arial" w:cs="Arial" w:eastAsia="Malgun Gothic" w:hAnsi="Arial"/>
          <w:color w:val="0D1B2E"/>
          <w:sz w:val="24"/>
          <w:szCs w:val="24"/>
        </w:rPr>
        <w:t xml:space="preserve">입니다. 본교는 호찌민시 깟라이 동(phường Cát Lái) 60CL로 2번지에 있습니다.</w:t>
      </w:r>
    </w:p>
    <w:p>
      <w:pPr>
        <w:keepNext w:val="false"/>
        <w:spacing w:after="120" w:before="0" w:lineRule="auto" w:line="264"/>
        <w:jc w:val="both"/>
      </w:pPr>
      <w:r>
        <w:rPr>
          <w:rFonts w:ascii="Arial" w:cs="Arial" w:eastAsia="Malgun Gothic" w:hAnsi="Arial"/>
          <w:color w:val="0D1B2E"/>
          <w:sz w:val="24"/>
          <w:szCs w:val="24"/>
        </w:rPr>
        <w:t xml:space="preserve">본 판은 2026년 10월 27일자 1.0판을 고객이 제공한 세 가지 기초 자료, 즉 공시보고서, 리플릿, 웹사이트 화면 녹화에 따라 전면 재검토한 것입니다. UMT 관련 수치는 이 자료들을 기준으로 표준화했고, 시설·인력·학생 활동에 관한 내용에는 학교가 직접 공개한 사진을 함께 제시했습니다.</w:t>
      </w:r>
    </w:p>
    <w:tbl>
      <w:tblPr>
        <w:tblW w:type="dxa" w:w="9068"/>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cantSplit/>
        </w:trPr>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Arial" w:cs="Arial" w:eastAsia="Malgun Gothic" w:hAnsi="Arial"/>
                <w:b/>
                <w:bCs/>
                <w:color w:val="0F2A4D"/>
                <w:sz w:val="32"/>
                <w:szCs w:val="32"/>
              </w:rPr>
              <w:t xml:space="preserve">727명</w:t>
            </w:r>
          </w:p>
          <w:p>
            <w:pPr>
              <w:spacing w:after="0" w:before="0" w:lineRule="auto" w:line="240"/>
            </w:pPr>
            <w:r>
              <w:rPr>
                <w:rFonts w:ascii="Arial" w:cs="Arial" w:eastAsia="Malgun Gothic" w:hAnsi="Arial"/>
                <w:color w:val="435066"/>
                <w:sz w:val="18"/>
                <w:szCs w:val="18"/>
              </w:rPr>
              <w:t xml:space="preserve">재학생(2026.5.31); 2025년 입학 336명</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Arial" w:cs="Arial" w:eastAsia="Malgun Gothic" w:hAnsi="Arial"/>
                <w:b/>
                <w:bCs/>
                <w:color w:val="0F2A4D"/>
                <w:sz w:val="32"/>
                <w:szCs w:val="32"/>
              </w:rPr>
              <w:t xml:space="preserve">182명</w:t>
            </w:r>
          </w:p>
          <w:p>
            <w:pPr>
              <w:spacing w:after="0" w:before="0" w:lineRule="auto" w:line="240"/>
            </w:pPr>
            <w:r>
              <w:rPr>
                <w:rFonts w:ascii="Arial" w:cs="Arial" w:eastAsia="Malgun Gothic" w:hAnsi="Arial"/>
                <w:color w:val="435066"/>
                <w:sz w:val="18"/>
                <w:szCs w:val="18"/>
              </w:rPr>
              <w:t xml:space="preserve">전임교원; 박사학위 비율 23.17%</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Arial" w:cs="Arial" w:eastAsia="Malgun Gothic" w:hAnsi="Arial"/>
                <w:b/>
                <w:bCs/>
                <w:color w:val="0F2A4D"/>
                <w:sz w:val="32"/>
                <w:szCs w:val="32"/>
              </w:rPr>
              <w:t xml:space="preserve">7.42 ha</w:t>
            </w:r>
          </w:p>
          <w:p>
            <w:pPr>
              <w:spacing w:after="0" w:before="0" w:lineRule="auto" w:line="240"/>
            </w:pPr>
            <w:r>
              <w:rPr>
                <w:rFonts w:ascii="Arial" w:cs="Arial" w:eastAsia="Malgun Gothic" w:hAnsi="Arial"/>
                <w:color w:val="435066"/>
                <w:sz w:val="18"/>
                <w:szCs w:val="18"/>
              </w:rPr>
              <w:t xml:space="preserve">3개 캠퍼스 부지(74,241.8 m²); 본교 7.19 ha</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Arial" w:cs="Arial" w:eastAsia="Malgun Gothic" w:hAnsi="Arial"/>
                <w:b/>
                <w:bCs/>
                <w:color w:val="0F2A4D"/>
                <w:sz w:val="32"/>
                <w:szCs w:val="32"/>
              </w:rPr>
              <w:t xml:space="preserve">22,369 m²</w:t>
            </w:r>
          </w:p>
          <w:p>
            <w:pPr>
              <w:spacing w:after="0" w:before="0" w:lineRule="auto" w:line="240"/>
            </w:pPr>
            <w:r>
              <w:rPr>
                <w:rFonts w:ascii="Arial" w:cs="Arial" w:eastAsia="Malgun Gothic" w:hAnsi="Arial"/>
                <w:color w:val="435066"/>
                <w:sz w:val="18"/>
                <w:szCs w:val="18"/>
              </w:rPr>
              <w:t xml:space="preserve">건축 연면적; 교육용 연면적 13,685 m²</w:t>
            </w:r>
          </w:p>
        </w:tc>
      </w:tr>
      <w:tr>
        <w:trPr>
          <w:cantSplit/>
        </w:trPr>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Arial" w:cs="Arial" w:eastAsia="Malgun Gothic" w:hAnsi="Arial"/>
                <w:b/>
                <w:bCs/>
                <w:color w:val="0F2A4D"/>
                <w:sz w:val="32"/>
                <w:szCs w:val="32"/>
              </w:rPr>
              <w:t xml:space="preserve">850.6억 동</w:t>
            </w:r>
          </w:p>
          <w:p>
            <w:pPr>
              <w:spacing w:after="0" w:before="0" w:lineRule="auto" w:line="240"/>
            </w:pPr>
            <w:r>
              <w:rPr>
                <w:rFonts w:ascii="Arial" w:cs="Arial" w:eastAsia="Malgun Gothic" w:hAnsi="Arial"/>
                <w:color w:val="435066"/>
                <w:sz w:val="18"/>
                <w:szCs w:val="18"/>
              </w:rPr>
              <w:t xml:space="preserve">2025년 총수입(약 46.1억 원); 63.5%가 투자자 지원금</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Arial" w:cs="Arial" w:eastAsia="Malgun Gothic" w:hAnsi="Arial"/>
                <w:b/>
                <w:bCs/>
                <w:color w:val="0F2A4D"/>
                <w:sz w:val="32"/>
                <w:szCs w:val="32"/>
              </w:rPr>
              <w:t xml:space="preserve">+44.0억 동</w:t>
            </w:r>
          </w:p>
          <w:p>
            <w:pPr>
              <w:spacing w:after="0" w:before="0" w:lineRule="auto" w:line="240"/>
            </w:pPr>
            <w:r>
              <w:rPr>
                <w:rFonts w:ascii="Arial" w:cs="Arial" w:eastAsia="Malgun Gothic" w:hAnsi="Arial"/>
                <w:color w:val="435066"/>
                <w:sz w:val="18"/>
                <w:szCs w:val="18"/>
              </w:rPr>
              <w:t xml:space="preserve">2025년 수지차; 투자자 지원 제외 시 −496억 동</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Arial" w:cs="Arial" w:eastAsia="Malgun Gothic" w:hAnsi="Arial"/>
                <w:b/>
                <w:bCs/>
                <w:color w:val="0F2A4D"/>
                <w:sz w:val="32"/>
                <w:szCs w:val="32"/>
              </w:rPr>
              <w:t xml:space="preserve">35.2%</w:t>
            </w:r>
          </w:p>
          <w:p>
            <w:pPr>
              <w:spacing w:after="0" w:before="0" w:lineRule="auto" w:line="240"/>
            </w:pPr>
            <w:r>
              <w:rPr>
                <w:rFonts w:ascii="Arial" w:cs="Arial" w:eastAsia="Malgun Gothic" w:hAnsi="Arial"/>
                <w:color w:val="435066"/>
                <w:sz w:val="18"/>
                <w:szCs w:val="18"/>
              </w:rPr>
              <w:t xml:space="preserve">최근 3년 평균 계획 대비 입학률</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Arial" w:cs="Arial" w:eastAsia="Malgun Gothic" w:hAnsi="Arial"/>
                <w:b/>
                <w:bCs/>
                <w:color w:val="0F2A4D"/>
                <w:sz w:val="32"/>
                <w:szCs w:val="32"/>
              </w:rPr>
              <w:t xml:space="preserve">8 / 10</w:t>
            </w:r>
          </w:p>
          <w:p>
            <w:pPr>
              <w:spacing w:after="0" w:before="0" w:lineRule="auto" w:line="240"/>
            </w:pPr>
            <w:r>
              <w:rPr>
                <w:rFonts w:ascii="Arial" w:cs="Arial" w:eastAsia="Malgun Gothic" w:hAnsi="Arial"/>
                <w:color w:val="435066"/>
                <w:sz w:val="18"/>
                <w:szCs w:val="18"/>
              </w:rPr>
              <w:t xml:space="preserve">재학생이 있는 전공(2026.5.31) / 2026년 모집 전공</w:t>
            </w:r>
          </w:p>
        </w:tc>
      </w:tr>
    </w:tbl>
    <w:p>
      <w:pPr>
        <w:spacing w:after="120" w:before="0"/>
      </w:pPr>
    </w:p>
    <w:p>
      <w:pPr>
        <w:pStyle w:val="Heading2"/>
        <w:keepNext/>
      </w:pPr>
      <w:r>
        <w:t xml:space="preserve">1.1 6대 핵심 발견 사항</w:t>
      </w:r>
    </w:p>
    <w:p>
      <w:pPr>
        <w:keepNext/>
        <w:spacing w:after="80" w:before="120" w:lineRule="auto" w:line="240"/>
        <w:jc w:val="center"/>
      </w:pPr>
      <w:r>
        <w:rPr>
          <w:rFonts w:ascii="Arial" w:cs="Arial" w:eastAsia="Malgun Gothic" w:hAnsi="Arial"/>
          <w:b/>
          <w:bCs/>
          <w:color w:val="0F2A4D"/>
          <w:sz w:val="22"/>
          <w:szCs w:val="22"/>
        </w:rPr>
        <w:t xml:space="preserve">표 1.1. </w:t>
      </w:r>
      <w:r>
        <w:rPr>
          <w:rFonts w:ascii="Arial" w:cs="Arial" w:eastAsia="Malgun Gothic" w:hAnsi="Arial"/>
          <w:i w:val="false"/>
          <w:iCs w:val="false"/>
          <w:color w:val="0D1B2E"/>
          <w:sz w:val="22"/>
          <w:szCs w:val="22"/>
        </w:rPr>
        <w:t xml:space="preserve">수치 표준화 후 6대 핵심 발견 사항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1"/>
        <w:gridCol w:w="5896"/>
        <w:gridCol w:w="1474"/>
      </w:tblGrid>
      <w:tr>
        <w:trPr>
          <w:cantSplit/>
          <w:tblHeader/>
        </w:trPr>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주제</w:t>
            </w:r>
          </w:p>
        </w:tc>
        <w:tc>
          <w:tcPr>
            <w:tcW w:type="dxa" w:w="5896"/>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발견 사항</w:t>
            </w:r>
          </w:p>
        </w:tc>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수준</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법적 구조</w:t>
            </w:r>
          </w:p>
        </w:tc>
        <w:tc>
          <w:tcPr>
            <w:tcW w:type="dxa" w:w="589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비영리 대학: 투자자는 출자금을 회수하지 않고 배당을 받지 않겠다고 약정하며, 누적 수지차는 분할할 수 없는 학교의 공동 자산입니다. UMT로부터 배당이나 차익을 기대할 수 없습니다.</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20"/>
                <w:szCs w:val="20"/>
              </w:rPr>
              <w:t xml:space="preserve">● </w:t>
            </w:r>
            <w:r>
              <w:rPr>
                <w:rFonts w:ascii="Arial" w:cs="Arial" w:eastAsia="Malgun Gothic" w:hAnsi="Arial"/>
                <w:b/>
                <w:bCs/>
                <w:color w:val="B42318"/>
                <w:sz w:val="20"/>
                <w:szCs w:val="20"/>
              </w:rPr>
              <w:t xml:space="preserve">고위험</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재무 의존도</w:t>
            </w:r>
          </w:p>
        </w:tc>
        <w:tc>
          <w:tcPr>
            <w:tcW w:type="dxa" w:w="589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2025년 투자자의 경상비 지원금은 540억 동(약 29.2억 원)으로 총수입의 63.5%입니다. 등록금·수수료(308.6억 동)는 총지출의 38.3%, 인건비의 56.1%만 충당합니다.</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20"/>
                <w:szCs w:val="20"/>
              </w:rPr>
              <w:t xml:space="preserve">● </w:t>
            </w:r>
            <w:r>
              <w:rPr>
                <w:rFonts w:ascii="Arial" w:cs="Arial" w:eastAsia="Malgun Gothic" w:hAnsi="Arial"/>
                <w:b/>
                <w:bCs/>
                <w:color w:val="B42318"/>
                <w:sz w:val="20"/>
                <w:szCs w:val="20"/>
              </w:rPr>
              <w:t xml:space="preserve">고위험</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재학생 규모</w:t>
            </w:r>
          </w:p>
        </w:tc>
        <w:tc>
          <w:tcPr>
            <w:tcW w:type="dxa" w:w="589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2026년 5월 31일 기준 재학생 727명. 최근 3년 평균 입학률은 계획 대비 35.2%. 교원 1인당 학생 수는 약 4명으로, 기준 상한(40명)에 크게 못 미칩니다.</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20"/>
                <w:szCs w:val="20"/>
              </w:rPr>
              <w:t xml:space="preserve">● </w:t>
            </w:r>
            <w:r>
              <w:rPr>
                <w:rFonts w:ascii="Arial" w:cs="Arial" w:eastAsia="Malgun Gothic" w:hAnsi="Arial"/>
                <w:b/>
                <w:bCs/>
                <w:color w:val="B42318"/>
                <w:sz w:val="20"/>
                <w:szCs w:val="20"/>
              </w:rPr>
              <w:t xml:space="preserve">고위험</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시설</w:t>
            </w:r>
          </w:p>
        </w:tc>
        <w:tc>
          <w:tcPr>
            <w:tcW w:type="dxa" w:w="589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실재하며 사진 증빙이 있음: 본교 부지 71,854 m², 연면적 22,369 m², 약 300석 규모 도서관, 기숙사 30실, 실외 체육시설 3곳(6,490 m²), iMac 실습실, 스튜디오. 다만 공시 연면적의 49.7%는 실외 체육시설과 주차장입니다.</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20"/>
                <w:szCs w:val="20"/>
              </w:rPr>
              <w:t xml:space="preserve">● </w:t>
            </w:r>
            <w:r>
              <w:rPr>
                <w:rFonts w:ascii="Arial" w:cs="Arial" w:eastAsia="Malgun Gothic" w:hAnsi="Arial"/>
                <w:b/>
                <w:bCs/>
                <w:color w:val="006300"/>
                <w:sz w:val="20"/>
                <w:szCs w:val="20"/>
              </w:rPr>
              <w:t xml:space="preserve">양호</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기준 충족</w:t>
            </w:r>
          </w:p>
        </w:tc>
        <w:tc>
          <w:tcPr>
            <w:tcW w:type="dxa" w:w="589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신설 대학에 적용되는 고등교육기관 기준 14개 지표 중 13개 충족(12개는 학교 공시 수치, 공란인 1개는 컨설턴트 재계산). HEMIS 데이터 갱신 지표(84.6%)는 미충족입니다. 박사 비율 23.17%는 기준선 20%에 근접하며 2030년부터 적용되는 30%에는 못 미칩니다. 품질인증과 공동학위(연계) 과정은 아직 없습니다.</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20"/>
                <w:szCs w:val="20"/>
              </w:rPr>
              <w:t xml:space="preserve">● </w:t>
            </w:r>
            <w:r>
              <w:rPr>
                <w:rFonts w:ascii="Arial" w:cs="Arial" w:eastAsia="Malgun Gothic" w:hAnsi="Arial"/>
                <w:b/>
                <w:bCs/>
                <w:color w:val="8A5A00"/>
                <w:sz w:val="20"/>
                <w:szCs w:val="20"/>
              </w:rPr>
              <w:t xml:space="preserve">모니터링</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정보 일관성</w:t>
            </w:r>
          </w:p>
        </w:tc>
        <w:tc>
          <w:tcPr>
            <w:tcW w:type="dxa" w:w="589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웹사이트, 리플릿, 공시보고서 간 수치가 다릅니다: 장학기금 1,110억 동 대 1,140억 동, 최소 장학금 9,000만 동 대 9,500만 동, “8+ha” 대 공시 부지 7.42 ha, 대학이사회 8명 대 9명 등.</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20"/>
                <w:szCs w:val="20"/>
              </w:rPr>
              <w:t xml:space="preserve">● </w:t>
            </w:r>
            <w:r>
              <w:rPr>
                <w:rFonts w:ascii="Arial" w:cs="Arial" w:eastAsia="Malgun Gothic" w:hAnsi="Arial"/>
                <w:b/>
                <w:bCs/>
                <w:color w:val="8A5A00"/>
                <w:sz w:val="20"/>
                <w:szCs w:val="20"/>
              </w:rPr>
              <w:t xml:space="preserve">모니터링</w:t>
            </w:r>
          </w:p>
        </w:tc>
      </w:tr>
    </w:tbl>
    <w:p>
      <w:pPr>
        <w:spacing w:after="200" w:before="20" w:lineRule="auto" w:line="240"/>
        <w:jc w:val="left"/>
      </w:pPr>
      <w:r>
        <w:rPr>
          <w:rFonts w:ascii="Arial" w:cs="Arial" w:eastAsia="Malgun Gothic" w:hAnsi="Arial"/>
          <w:i w:val="false"/>
          <w:iCs w:val="false"/>
          <w:color w:val="435066"/>
          <w:sz w:val="19"/>
          <w:szCs w:val="19"/>
        </w:rPr>
        <w:t xml:space="preserve">출처: 각 셀에 언급된 자료를 바탕으로 컨설턴트 정리.</w:t>
      </w:r>
    </w:p>
    <w:p>
      <w:pPr>
        <w:pStyle w:val="Heading2"/>
        <w:keepNext/>
      </w:pPr>
      <w:r>
        <w:t xml:space="preserve">1.2 종합 평가표</w:t>
      </w:r>
    </w:p>
    <w:p>
      <w:pPr>
        <w:keepNext/>
        <w:spacing w:after="80" w:before="120" w:lineRule="auto" w:line="240"/>
        <w:jc w:val="center"/>
      </w:pPr>
      <w:r>
        <w:rPr>
          <w:rFonts w:ascii="Arial" w:cs="Arial" w:eastAsia="Malgun Gothic" w:hAnsi="Arial"/>
          <w:b/>
          <w:bCs/>
          <w:color w:val="0F2A4D"/>
          <w:sz w:val="22"/>
          <w:szCs w:val="22"/>
        </w:rPr>
        <w:t xml:space="preserve">표 1.2. </w:t>
      </w:r>
      <w:r>
        <w:rPr>
          <w:rFonts w:ascii="Arial" w:cs="Arial" w:eastAsia="Malgun Gothic" w:hAnsi="Arial"/>
          <w:i w:val="false"/>
          <w:iCs w:val="false"/>
          <w:color w:val="0D1B2E"/>
          <w:sz w:val="22"/>
          <w:szCs w:val="22"/>
        </w:rPr>
        <w:t xml:space="preserve">분야별 종합 평가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41"/>
        <w:gridCol w:w="5329"/>
        <w:gridCol w:w="1701"/>
      </w:tblGrid>
      <w:tr>
        <w:trPr>
          <w:cantSplit/>
          <w:tblHeader/>
        </w:trPr>
        <w:tc>
          <w:tcPr>
            <w:tcW w:type="dxa" w:w="204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분야</w:t>
            </w:r>
          </w:p>
        </w:tc>
        <w:tc>
          <w:tcPr>
            <w:tcW w:type="dxa" w:w="532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표준화된 현황</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예비 평가</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설립·운영의 법적 근거</w:t>
            </w:r>
          </w:p>
        </w:tc>
        <w:tc>
          <w:tcPr>
            <w:tcW w:type="dxa" w:w="532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총리 결정 제467/QĐ-TTg호(2021); 교육훈련부 결정 제1676/QĐ-BGDĐT호(2021); 조직·운영 규정 2021.4.9 제정, 2026.2.27 개정</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20"/>
                <w:szCs w:val="20"/>
              </w:rPr>
              <w:t xml:space="preserve">● </w:t>
            </w:r>
            <w:r>
              <w:rPr>
                <w:rFonts w:ascii="Arial" w:cs="Arial" w:eastAsia="Malgun Gothic" w:hAnsi="Arial"/>
                <w:b/>
                <w:bCs/>
                <w:color w:val="006300"/>
                <w:sz w:val="20"/>
                <w:szCs w:val="20"/>
              </w:rPr>
              <w:t xml:space="preserve">양호</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투자자의 경제적 이익</w:t>
            </w:r>
          </w:p>
        </w:tc>
        <w:tc>
          <w:tcPr>
            <w:tcW w:type="dxa" w:w="532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출자금 회수 불가, 배당 불가; 누적 자산은 분할 불가</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20"/>
                <w:szCs w:val="20"/>
              </w:rPr>
              <w:t xml:space="preserve">● </w:t>
            </w:r>
            <w:r>
              <w:rPr>
                <w:rFonts w:ascii="Arial" w:cs="Arial" w:eastAsia="Malgun Gothic" w:hAnsi="Arial"/>
                <w:b/>
                <w:bCs/>
                <w:color w:val="B42318"/>
                <w:sz w:val="20"/>
                <w:szCs w:val="20"/>
              </w:rPr>
              <w:t xml:space="preserve">제한적</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시설</w:t>
            </w:r>
          </w:p>
        </w:tc>
        <w:tc>
          <w:tcPr>
            <w:tcW w:type="dxa" w:w="532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3개 캠퍼스 부지 74,241.8 m²; 연면적 22,369 m²; 제5장에 사진 증빙</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20"/>
                <w:szCs w:val="20"/>
              </w:rPr>
              <w:t xml:space="preserve">● </w:t>
            </w:r>
            <w:r>
              <w:rPr>
                <w:rFonts w:ascii="Arial" w:cs="Arial" w:eastAsia="Malgun Gothic" w:hAnsi="Arial"/>
                <w:b/>
                <w:bCs/>
                <w:color w:val="006300"/>
                <w:sz w:val="20"/>
                <w:szCs w:val="20"/>
              </w:rPr>
              <w:t xml:space="preserve">양호</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규모·입학</w:t>
            </w:r>
          </w:p>
        </w:tc>
        <w:tc>
          <w:tcPr>
            <w:tcW w:type="dxa" w:w="532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재학생 727명; 입학률 계획 대비 35.2%(3년 평균)</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20"/>
                <w:szCs w:val="20"/>
              </w:rPr>
              <w:t xml:space="preserve">● </w:t>
            </w:r>
            <w:r>
              <w:rPr>
                <w:rFonts w:ascii="Arial" w:cs="Arial" w:eastAsia="Malgun Gothic" w:hAnsi="Arial"/>
                <w:b/>
                <w:bCs/>
                <w:color w:val="B42318"/>
                <w:sz w:val="20"/>
                <w:szCs w:val="20"/>
              </w:rPr>
              <w:t xml:space="preserve">취약</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교원</w:t>
            </w:r>
          </w:p>
        </w:tc>
        <w:tc>
          <w:tcPr>
            <w:tcW w:type="dxa" w:w="532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전임교원 182명; 박사 23.17%; 생산가능연령 교원 96.95%</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20"/>
                <w:szCs w:val="20"/>
              </w:rPr>
              <w:t xml:space="preserve">● </w:t>
            </w:r>
            <w:r>
              <w:rPr>
                <w:rFonts w:ascii="Arial" w:cs="Arial" w:eastAsia="Malgun Gothic" w:hAnsi="Arial"/>
                <w:b/>
                <w:bCs/>
                <w:color w:val="8A5A00"/>
                <w:sz w:val="20"/>
                <w:szCs w:val="20"/>
              </w:rPr>
              <w:t xml:space="preserve">충족, 여유 적음</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재무</w:t>
            </w:r>
          </w:p>
        </w:tc>
        <w:tc>
          <w:tcPr>
            <w:tcW w:type="dxa" w:w="532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최근 3년 평균 운영수지율 3.11% — 투자자의 연간 540억 동 지원으로 달성</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20"/>
                <w:szCs w:val="20"/>
              </w:rPr>
              <w:t xml:space="preserve">● </w:t>
            </w:r>
            <w:r>
              <w:rPr>
                <w:rFonts w:ascii="Arial" w:cs="Arial" w:eastAsia="Malgun Gothic" w:hAnsi="Arial"/>
                <w:b/>
                <w:bCs/>
                <w:color w:val="B42318"/>
                <w:sz w:val="20"/>
                <w:szCs w:val="20"/>
              </w:rPr>
              <w:t xml:space="preserve">투자자 의존</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품질·인증</w:t>
            </w:r>
          </w:p>
        </w:tc>
        <w:tc>
          <w:tcPr>
            <w:tcW w:type="dxa" w:w="532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자체평가·인증 결과 없음; 1기 졸업식 2026.8.22</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1E5AA8"/>
                <w:sz w:val="20"/>
                <w:szCs w:val="20"/>
              </w:rPr>
              <w:t xml:space="preserve">● </w:t>
            </w:r>
            <w:r>
              <w:rPr>
                <w:rFonts w:ascii="Arial" w:cs="Arial" w:eastAsia="Malgun Gothic" w:hAnsi="Arial"/>
                <w:b/>
                <w:bCs/>
                <w:color w:val="1E5AA8"/>
                <w:sz w:val="20"/>
                <w:szCs w:val="20"/>
              </w:rPr>
              <w:t xml:space="preserve">결과 없음</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연구</w:t>
            </w:r>
          </w:p>
        </w:tc>
        <w:tc>
          <w:tcPr>
            <w:tcW w:type="dxa" w:w="532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교내 연구과제 13건; 연구성과 19건(학술지 논문 4편 포함)</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20"/>
                <w:szCs w:val="20"/>
              </w:rPr>
              <w:t xml:space="preserve">● </w:t>
            </w:r>
            <w:r>
              <w:rPr>
                <w:rFonts w:ascii="Arial" w:cs="Arial" w:eastAsia="Malgun Gothic" w:hAnsi="Arial"/>
                <w:b/>
                <w:bCs/>
                <w:color w:val="8A5A00"/>
                <w:sz w:val="20"/>
                <w:szCs w:val="20"/>
              </w:rPr>
              <w:t xml:space="preserve">초기 단계</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한국과의 연계</w:t>
            </w:r>
          </w:p>
        </w:tc>
        <w:tc>
          <w:tcPr>
            <w:tcW w:type="dxa" w:w="532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EasyCS, UR Planner와 협력; 신한은행과 등록금 분할납부 제휴</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20"/>
                <w:szCs w:val="20"/>
              </w:rPr>
              <w:t xml:space="preserve">● </w:t>
            </w:r>
            <w:r>
              <w:rPr>
                <w:rFonts w:ascii="Arial" w:cs="Arial" w:eastAsia="Malgun Gothic" w:hAnsi="Arial"/>
                <w:b/>
                <w:bCs/>
                <w:color w:val="006300"/>
                <w:sz w:val="20"/>
                <w:szCs w:val="20"/>
              </w:rPr>
              <w:t xml:space="preserve">기반 있음</w:t>
            </w:r>
          </w:p>
        </w:tc>
      </w:tr>
    </w:tbl>
    <w:p>
      <w:pPr>
        <w:spacing w:after="200" w:before="20" w:lineRule="auto" w:line="240"/>
        <w:jc w:val="left"/>
      </w:pPr>
      <w:r>
        <w:rPr>
          <w:rFonts w:ascii="Arial" w:cs="Arial" w:eastAsia="Malgun Gothic" w:hAnsi="Arial"/>
          <w:i w:val="false"/>
          <w:iCs w:val="false"/>
          <w:color w:val="435066"/>
          <w:sz w:val="19"/>
          <w:szCs w:val="19"/>
        </w:rPr>
        <w:t xml:space="preserve">“예비 평가”는 인용 자료를 바탕으로 한 컨설턴트의 판단입니다.</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Arial" w:cs="Arial" w:eastAsia="Malgun Gothic" w:hAnsi="Arial"/>
                <w:b/>
                <w:bCs/>
                <w:color w:val="0F2A4D"/>
                <w:sz w:val="22"/>
                <w:szCs w:val="22"/>
              </w:rPr>
              <w:t xml:space="preserve">컨설턴트 권고</w:t>
            </w:r>
          </w:p>
          <w:p>
            <w:pPr>
              <w:spacing w:after="80" w:before="0" w:lineRule="auto" w:line="253"/>
              <w:jc w:val="both"/>
            </w:pPr>
            <w:r>
              <w:rPr>
                <w:rFonts w:ascii="Arial" w:cs="Arial" w:eastAsia="Malgun Gothic" w:hAnsi="Arial"/>
                <w:color w:val="0D1B2E"/>
                <w:sz w:val="22"/>
                <w:szCs w:val="22"/>
              </w:rPr>
              <w:t xml:space="preserve">UMT는 재무적 투자보다 </w:t>
            </w:r>
            <w:r>
              <w:rPr>
                <w:rFonts w:ascii="Arial" w:cs="Arial" w:eastAsia="Malgun Gothic" w:hAnsi="Arial"/>
                <w:b/>
                <w:bCs/>
                <w:color w:val="0D1B2E"/>
                <w:sz w:val="22"/>
                <w:szCs w:val="22"/>
              </w:rPr>
              <w:t xml:space="preserve">전략적 협력</w:t>
            </w:r>
            <w:r>
              <w:rPr>
                <w:rFonts w:ascii="Arial" w:cs="Arial" w:eastAsia="Malgun Gothic" w:hAnsi="Arial"/>
                <w:color w:val="0D1B2E"/>
                <w:sz w:val="22"/>
                <w:szCs w:val="22"/>
              </w:rPr>
              <w:t xml:space="preserve"> 대상에 가깝습니다. 공식 수치에 따르면 학교는 소유주가 매년 지원하는 약 540억 동(약 29억 원)에 의존해 운영되고 있으며, 재학생 727명 규모에서는 등록금만으로 비용을 충당하지 못합니다.</w:t>
            </w:r>
          </w:p>
          <w:p>
            <w:pPr>
              <w:spacing w:after="80" w:before="0" w:lineRule="auto" w:line="253"/>
              <w:jc w:val="both"/>
            </w:pPr>
            <w:r>
              <w:rPr>
                <w:rFonts w:ascii="Arial" w:cs="Arial" w:eastAsia="Malgun Gothic" w:hAnsi="Arial"/>
                <w:color w:val="0D1B2E"/>
                <w:sz w:val="22"/>
                <w:szCs w:val="22"/>
              </w:rPr>
              <w:t xml:space="preserve">권장 우선순위: (1) 한국 측과의 학술·산학 협력(장학금, 인턴십, 채용, 공동 과정); (2) 시장가격 기반의 서비스·인프라 계약; (3) UMT 교육투자개발그룹 주식회사의 지분 구조, 부지의 법적 상태, 감사받은 재무제표를 확인한 뒤에만 출자 검토(제16장, 제17장).</w:t>
            </w:r>
          </w:p>
        </w:tc>
      </w:tr>
    </w:tbl>
    <w:p>
      <w:pPr>
        <w:spacing w:after="120" w:before="0"/>
      </w:pPr>
    </w:p>
    <w:p>
      <w:pPr>
        <w:pStyle w:val="Heading1"/>
        <w:pageBreakBefore/>
      </w:pPr>
      <w:r>
        <w:t xml:space="preserve">2. 검토 범위·방법 및 표준화 결과</w:t>
      </w:r>
    </w:p>
    <w:p>
      <w:pPr>
        <w:keepNext w:val="false"/>
        <w:spacing w:after="120" w:before="0" w:lineRule="auto" w:line="264"/>
        <w:jc w:val="both"/>
      </w:pPr>
      <w:r>
        <w:rPr>
          <w:rFonts w:ascii="Arial" w:cs="Arial" w:eastAsia="Malgun Gothic" w:hAnsi="Arial"/>
          <w:color w:val="0D1B2E"/>
          <w:sz w:val="24"/>
          <w:szCs w:val="24"/>
        </w:rPr>
        <w:t xml:space="preserve">본 보고서는 문서 기반 예비 실사(desktop due diligence)입니다. 경영진 인터뷰, 현장 조사, 내부 데이터 열람, 회계감사는 포함하지 않았습니다. 조사 환경에서는 학교 웹사이트에 직접 접속할 수 없었으므로, 웹사이트 내용은 고객이 제공한 화면 녹화 영상에서 확인했습니다.</w:t>
      </w:r>
    </w:p>
    <w:p>
      <w:pPr>
        <w:pStyle w:val="Heading2"/>
        <w:keepNext/>
      </w:pPr>
      <w:r>
        <w:t xml:space="preserve">2.1 표준화에 사용한 기초 자료</w:t>
      </w: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cantSplit/>
        </w:trPr>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5811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81150" cy="223837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(a) 공시보고서 제16/2026/BC-UMT호, 1쪽</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5811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81150" cy="223837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(b) 2026학년도 입학 리플릿 표지</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0287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28700" cy="2247900"/>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(c) 웹사이트 첫 화면(2026.10.27)</w:t>
            </w:r>
          </w:p>
        </w:tc>
      </w:tr>
    </w:tbl>
    <w:p>
      <w:pPr>
        <w:keepNext/>
        <w:spacing w:after="40" w:before="60" w:lineRule="auto" w:line="240"/>
        <w:jc w:val="center"/>
      </w:pPr>
      <w:r>
        <w:rPr>
          <w:rFonts w:ascii="Arial" w:cs="Arial" w:eastAsia="Malgun Gothic" w:hAnsi="Arial"/>
          <w:b/>
          <w:bCs/>
          <w:color w:val="0F2A4D"/>
          <w:sz w:val="22"/>
          <w:szCs w:val="22"/>
        </w:rPr>
        <w:t xml:space="preserve">그림 2.1. </w:t>
      </w:r>
      <w:r>
        <w:rPr>
          <w:rFonts w:ascii="Arial" w:cs="Arial" w:eastAsia="Malgun Gothic" w:hAnsi="Arial"/>
          <w:i w:val="false"/>
          <w:iCs w:val="false"/>
          <w:color w:val="0D1B2E"/>
          <w:sz w:val="22"/>
          <w:szCs w:val="22"/>
        </w:rPr>
        <w:t xml:space="preserve">고객이 제공한 세 가지 기초 자료</w:t>
      </w:r>
    </w:p>
    <w:p>
      <w:pPr>
        <w:spacing w:after="200" w:before="20" w:lineRule="auto" w:line="240"/>
        <w:jc w:val="left"/>
      </w:pPr>
      <w:r>
        <w:rPr>
          <w:rFonts w:ascii="Arial" w:cs="Arial" w:eastAsia="Malgun Gothic" w:hAnsi="Arial"/>
          <w:i w:val="false"/>
          <w:iCs w:val="false"/>
          <w:color w:val="435066"/>
          <w:sz w:val="19"/>
          <w:szCs w:val="19"/>
        </w:rPr>
        <w:t xml:space="preserve">출처: 공시보고서, 리플릿, 웹사이트.</w:t>
      </w:r>
    </w:p>
    <w:p>
      <w:pPr>
        <w:keepNext/>
        <w:spacing w:after="80" w:before="120" w:lineRule="auto" w:line="240"/>
        <w:jc w:val="center"/>
      </w:pPr>
      <w:r>
        <w:rPr>
          <w:rFonts w:ascii="Arial" w:cs="Arial" w:eastAsia="Malgun Gothic" w:hAnsi="Arial"/>
          <w:b/>
          <w:bCs/>
          <w:color w:val="0F2A4D"/>
          <w:sz w:val="22"/>
          <w:szCs w:val="22"/>
        </w:rPr>
        <w:t xml:space="preserve">표 2.1. </w:t>
      </w:r>
      <w:r>
        <w:rPr>
          <w:rFonts w:ascii="Arial" w:cs="Arial" w:eastAsia="Malgun Gothic" w:hAnsi="Arial"/>
          <w:i w:val="false"/>
          <w:iCs w:val="false"/>
          <w:color w:val="0D1B2E"/>
          <w:sz w:val="22"/>
          <w:szCs w:val="22"/>
        </w:rPr>
        <w:t xml:space="preserve">기초 자료의 내용과 활용</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28"/>
        <w:gridCol w:w="3515"/>
        <w:gridCol w:w="1871"/>
        <w:gridCol w:w="1757"/>
      </w:tblGrid>
      <w:tr>
        <w:trPr>
          <w:cantSplit/>
          <w:tblHeader/>
        </w:trPr>
        <w:tc>
          <w:tcPr>
            <w:tcW w:type="dxa" w:w="192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자료</w:t>
            </w:r>
          </w:p>
        </w:tc>
        <w:tc>
          <w:tcPr>
            <w:tcW w:type="dxa" w:w="351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주요 내용</w:t>
            </w:r>
          </w:p>
        </w:tc>
        <w:tc>
          <w:tcPr>
            <w:tcW w:type="dxa" w:w="187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수치 기준 시점</w:t>
            </w:r>
          </w:p>
        </w:tc>
        <w:tc>
          <w:tcPr>
            <w:tcW w:type="dxa" w:w="175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활용</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공시보고서(제16/2026/BC-UMT호)</w:t>
            </w:r>
          </w:p>
        </w:tc>
        <w:tc>
          <w:tcPr>
            <w:tcW w:type="dxa" w:w="35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일반 정보, 조직, 대학이사회; 2024–2025년 수입·지출; 기준 충족도; 전공, 교직원; 부지, 연면적, 도서관; 입학, 연구</w:t>
            </w:r>
          </w:p>
        </w:tc>
        <w:tc>
          <w:tcPr>
            <w:tcW w:type="dxa" w:w="187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2026.5.20 서명; 재학생·도서관은 2026.5.31 기준; 재무는 2025년 및 2024년</w:t>
            </w:r>
          </w:p>
        </w:tc>
        <w:tc>
          <w:tcPr>
            <w:tcW w:type="dxa" w:w="175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보고서 전체의 기준 수치</w:t>
            </w:r>
          </w:p>
        </w:tc>
      </w:tr>
      <w:tr>
        <w:trPr>
          <w:cantSplit/>
        </w:trPr>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2026학년도 입학 리플릿</w:t>
            </w:r>
          </w:p>
        </w:tc>
        <w:tc>
          <w:tcPr>
            <w:tcW w:type="dxa" w:w="35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10개 전공, 22개 세부전공; 5가지 전형; 장학금, 등록금; 캠퍼스·도서관·강의실·체육시설·해외 연수 사진 약 50장</w:t>
            </w:r>
          </w:p>
        </w:tc>
        <w:tc>
          <w:tcPr>
            <w:tcW w:type="dxa" w:w="187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2026학년도 모집 시즌</w:t>
            </w:r>
          </w:p>
        </w:tc>
        <w:tc>
          <w:tcPr>
            <w:tcW w:type="dxa" w:w="175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사진 증빙; 입학·장학 정책</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웹사이트(화면 녹화)</w:t>
            </w:r>
          </w:p>
        </w:tc>
        <w:tc>
          <w:tcPr>
            <w:tcW w:type="dxa" w:w="35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첫 화면; 학교 소개(경영진, 조직도, 연혁, 공시); 교육과정; One UMT 센터</w:t>
            </w:r>
          </w:p>
        </w:tc>
        <w:tc>
          <w:tcPr>
            <w:tcW w:type="dxa" w:w="187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2026.10.27 14:45–14:50</w:t>
            </w:r>
          </w:p>
        </w:tc>
        <w:tc>
          <w:tcPr>
            <w:tcW w:type="dxa" w:w="175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현 경영진; 홍보 메시지·수치; 화면 캡처</w:t>
            </w:r>
          </w:p>
        </w:tc>
      </w:tr>
      <w:tr>
        <w:trPr>
          <w:cantSplit/>
        </w:trPr>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1.0판 보고서(2026.10.27)</w:t>
            </w:r>
          </w:p>
        </w:tc>
        <w:tc>
          <w:tcPr>
            <w:tcW w:type="dxa" w:w="35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법령, 언론 보도, UMT 자료 등 공개 자료 105건</w:t>
            </w:r>
          </w:p>
        </w:tc>
        <w:tc>
          <w:tcPr>
            <w:tcW w:type="dxa" w:w="187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2026년 10월</w:t>
            </w:r>
          </w:p>
        </w:tc>
        <w:tc>
          <w:tcPr>
            <w:tcW w:type="dxa" w:w="175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법적·시장 배경, 연혁, 이해관계자</w:t>
            </w:r>
          </w:p>
        </w:tc>
      </w:tr>
    </w:tbl>
    <w:p>
      <w:pPr>
        <w:spacing w:after="200" w:before="20" w:lineRule="auto" w:line="240"/>
        <w:jc w:val="left"/>
      </w:pPr>
      <w:r>
        <w:rPr>
          <w:rFonts w:ascii="Arial" w:cs="Arial" w:eastAsia="Malgun Gothic" w:hAnsi="Arial"/>
          <w:i w:val="false"/>
          <w:iCs w:val="false"/>
          <w:color w:val="435066"/>
          <w:sz w:val="19"/>
          <w:szCs w:val="19"/>
        </w:rPr>
        <w:t xml:space="preserve">출처: 컨설턴트 정리.</w:t>
      </w:r>
    </w:p>
    <w:p>
      <w:pPr>
        <w:pStyle w:val="Heading2"/>
        <w:keepNext/>
      </w:pPr>
      <w:r>
        <w:t xml:space="preserve">2.2 표준화 원칙</w:t>
      </w:r>
    </w:p>
    <w:p>
      <w:pPr>
        <w:pStyle w:val="ListParagraph"/>
        <w:numPr>
          <w:ilvl w:val="0"/>
          <w:numId w:val="2"/>
        </w:numPr>
        <w:spacing w:after="80" w:before="0" w:lineRule="auto" w:line="255"/>
        <w:jc w:val="both"/>
      </w:pPr>
      <w:r>
        <w:rPr>
          <w:rFonts w:ascii="Arial" w:cs="Arial" w:eastAsia="Malgun Gothic" w:hAnsi="Arial"/>
          <w:color w:val="0D1B2E"/>
          <w:sz w:val="24"/>
          <w:szCs w:val="24"/>
        </w:rPr>
        <w:t xml:space="preserve">수치가 서로 다를 경우 우선순위는 다음과 같습니다: 시행규칙 제09/2024호에 따른 공시보고서(서명 문서로 감독기관에 책임을 짐) → 웹사이트 → 리플릿 → 언론 보도. 차이가 있는 항목은 본문에 병기했습니다.</w:t>
      </w:r>
    </w:p>
    <w:p>
      <w:pPr>
        <w:pStyle w:val="ListParagraph"/>
        <w:numPr>
          <w:ilvl w:val="0"/>
          <w:numId w:val="2"/>
        </w:numPr>
        <w:spacing w:after="80" w:before="0" w:lineRule="auto" w:line="255"/>
        <w:jc w:val="both"/>
      </w:pPr>
      <w:r>
        <w:rPr>
          <w:rFonts w:ascii="Arial" w:cs="Arial" w:eastAsia="Malgun Gothic" w:hAnsi="Arial"/>
          <w:color w:val="0D1B2E"/>
          <w:sz w:val="24"/>
          <w:szCs w:val="24"/>
        </w:rPr>
        <w:t xml:space="preserve">컨설턴트의 계산과 판단은 “분석” 상자에 넣고 산식과 가정을 밝혔습니다.</w:t>
      </w:r>
    </w:p>
    <w:p>
      <w:pPr>
        <w:pStyle w:val="ListParagraph"/>
        <w:numPr>
          <w:ilvl w:val="0"/>
          <w:numId w:val="2"/>
        </w:numPr>
        <w:spacing w:after="80" w:before="0" w:lineRule="auto" w:line="255"/>
        <w:jc w:val="both"/>
      </w:pPr>
      <w:r>
        <w:rPr>
          <w:rFonts w:ascii="Arial" w:cs="Arial" w:eastAsia="Malgun Gothic" w:hAnsi="Arial"/>
          <w:color w:val="0D1B2E"/>
          <w:sz w:val="24"/>
          <w:szCs w:val="24"/>
        </w:rPr>
        <w:t xml:space="preserve">사진은 UMT 공식 인쇄물과 웹사이트에서만 가져왔습니다. 조감도(렌더링)는 별도로 표시했습니다. 학교가 공개한 사진은 현장 조사를 대체하지 못합니다.</w:t>
      </w:r>
    </w:p>
    <w:p>
      <w:pPr>
        <w:pStyle w:val="ListParagraph"/>
        <w:numPr>
          <w:ilvl w:val="0"/>
          <w:numId w:val="2"/>
        </w:numPr>
        <w:spacing w:after="80" w:before="0" w:lineRule="auto" w:line="255"/>
        <w:jc w:val="both"/>
      </w:pPr>
      <w:r>
        <w:rPr>
          <w:rFonts w:ascii="Arial" w:cs="Arial" w:eastAsia="Malgun Gothic" w:hAnsi="Arial"/>
          <w:color w:val="0D1B2E"/>
          <w:sz w:val="24"/>
          <w:szCs w:val="24"/>
        </w:rPr>
        <w:t xml:space="preserve">화폐 단위: 백만 동, 억 동. 원화 환산은 1원 ≈ 18.47동 기준. 숫자는 천 단위 쉼표, 소수점 마침표로 표기했습니다.</w:t>
      </w:r>
    </w:p>
    <w:p>
      <w:pPr>
        <w:pStyle w:val="Heading2"/>
        <w:keepNext/>
      </w:pPr>
      <w:r>
        <w:t xml:space="preserve">2.3 검토 결과: 정정 사항</w:t>
      </w:r>
    </w:p>
    <w:p>
      <w:pPr>
        <w:keepNext w:val="false"/>
        <w:spacing w:after="120" w:before="0" w:lineRule="auto" w:line="264"/>
        <w:jc w:val="both"/>
      </w:pPr>
      <w:r>
        <w:rPr>
          <w:rFonts w:ascii="Arial" w:cs="Arial" w:eastAsia="Malgun Gothic" w:hAnsi="Arial"/>
          <w:color w:val="0D1B2E"/>
          <w:sz w:val="24"/>
          <w:szCs w:val="24"/>
        </w:rPr>
        <w:t xml:space="preserve">2026년 10월 27일자 1.0판 대비 19개 항목을 갱신·정정했습니다. “표준화” 열의 수치가 이전 HTML/PDF판의 해당 수치를 대체합니다.</w:t>
      </w:r>
    </w:p>
    <w:p>
      <w:pPr>
        <w:keepNext/>
        <w:spacing w:after="80" w:before="120" w:lineRule="auto" w:line="240"/>
        <w:jc w:val="center"/>
      </w:pPr>
      <w:r>
        <w:rPr>
          <w:rFonts w:ascii="Arial" w:cs="Arial" w:eastAsia="Malgun Gothic" w:hAnsi="Arial"/>
          <w:b/>
          <w:bCs/>
          <w:color w:val="0F2A4D"/>
          <w:sz w:val="22"/>
          <w:szCs w:val="22"/>
        </w:rPr>
        <w:t xml:space="preserve">표 2.2. </w:t>
      </w:r>
      <w:r>
        <w:rPr>
          <w:rFonts w:ascii="Arial" w:cs="Arial" w:eastAsia="Malgun Gothic" w:hAnsi="Arial"/>
          <w:i w:val="false"/>
          <w:iCs w:val="false"/>
          <w:color w:val="0D1B2E"/>
          <w:sz w:val="22"/>
          <w:szCs w:val="22"/>
        </w:rPr>
        <w:t xml:space="preserve">1.0판 대비 정정 및 갱신 사항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7"/>
        <w:gridCol w:w="1474"/>
        <w:gridCol w:w="2211"/>
        <w:gridCol w:w="3685"/>
        <w:gridCol w:w="1134"/>
      </w:tblGrid>
      <w:tr>
        <w:trPr>
          <w:cantSplit/>
          <w:tblHeader/>
        </w:trPr>
        <w:tc>
          <w:tcPr>
            <w:tcW w:type="dxa" w:w="56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19"/>
                <w:szCs w:val="19"/>
              </w:rPr>
              <w:t xml:space="preserve">번호</w:t>
            </w:r>
          </w:p>
        </w:tc>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항목</w:t>
            </w:r>
          </w:p>
        </w:tc>
        <w:tc>
          <w:tcPr>
            <w:tcW w:type="dxa" w:w="221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1.0판</w:t>
            </w:r>
          </w:p>
        </w:tc>
        <w:tc>
          <w:tcPr>
            <w:tcW w:type="dxa" w:w="368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표준화</w:t>
            </w:r>
          </w:p>
        </w:tc>
        <w:tc>
          <w:tcPr>
            <w:tcW w:type="dxa" w:w="113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근거</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소유주</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투자자는 끼엔아 주식회사(Kiến Á Group)</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소유주이자 유일한 출자 법인: UMT 교육투자개발그룹 주식회사. 끼엔아와의 관계는 공개되지 않아 확인 필요</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I.3</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2</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부지 면적</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80,092 m²(약 8 ha)</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본교 71,854 m²; 3개 캠퍼스 합계 74,241.8 m²</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III.4a</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3</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연면적</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창조관(Tòa nhà Sáng tạo) 16,884 m²</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건축 연면적 합계 22,369.03 m²; 교육용 연면적 13,684.54 m²(실외 체육시설, 주차장 포함 19개 항목)</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III.4b</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4</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재학생</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약 700명(2025.11)</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727명(2026.5.31): 정규 726명, 편입 1명. 2025년 입학: 정규 335명, 편입 1명</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IV.2a</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5</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인력</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교원·직원 259명</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전임교원 182명(부교수 2, 박사 38, 석사 141, 학사 1); 관리자 14명; 전문직·일반직 67명</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III.3</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6</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박사 비율</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13.0%(기술학부만)</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대학 전체 23.17%, 기준선 20% 충족</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III.1</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7</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재무</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비공개</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2025년 수입 85,062백만 동; 지출 80,660백만 동; 수지차 4,402백만 동; 3년 평균 운영수지율 3.11%</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II</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8</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기숙사</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규모 미공개</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30실, 연면적 1,536.69 m²</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III.4b</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9</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체육시설</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농구장 2면 1,200 m²(전공 개설안 기준)</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실외 체육시설 3곳, 6,490 m²; 축구장·피클볼장 사진</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리플릿</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10</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도서관</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포털, 오픈소스 DB</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약 300석; 1,454종 4,822권; ProQuest Central; SLSU, RMIT, 달랏대학교와 자원 공유</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III.4c</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11</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연계(공동) 교육</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말레이시아 커틴대학교와 3+2 경로</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“연계 교육 활동을 아직 시행하지 않음”; 커틴대와의 합의는 승인된 연계 과정이 아님</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III.2b</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12</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전공</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9개(2025), 10개(2026)</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운영 중인 전공 목록 7개; 스포츠경영은 재학생 22명이나 2025년 입학 0명; 부동산 0명; 정보보안·컴퓨터과학은 2026년 개설</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III.2a, IV.2a</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13</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대학이사회</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부의장: 레 반 남, 응우옌 까인 뚜언; 쩐 르우 끄엉은 운영이사</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임기 2026–2031, 9명. 부의장: 후인 바 런, 레 반 남, 쩐 르우 끄엉. 운영이사: 부이 뜨엉 투이</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웹사이트</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14</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학부장</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경영: 쩐 남 꾸옥(2022); 미디어: 레 티 응옥 뚜</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기술: 쩐 단 트 부교수; 경영: 레 티 응옥 뚜 박사; 미디어·응용예술: 리 레 뜨엉 민 박사</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웹사이트</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15</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대표 전화</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(028) 3636 9119</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학교: (028) 3636 9119; 입학 상담: (028) 3535 9119(둘 다 유효)</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웹사이트; 리플릿</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16</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전형</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5가지: 고교 졸업시험, 내신, 역량평가, V-SAT, 동등 학력</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웹사이트는 동일; 리플릿은 V-SAT과 “동등 학력” 대신 UMT 규정 및 교육훈련부 규정에 따른 특별전형(무시험) — 확인 필요</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웹사이트; 리플릿</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17</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입학률·중도탈락률</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자료 없음</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3년 평균 입학률 35.2%; 중도탈락률 2.3%; 1학년 중도탈락률 0.6%</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IV.2b</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18</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연구</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자료 없음</w:t>
            </w:r>
          </w:p>
        </w:tc>
        <w:tc>
          <w:tcPr>
            <w:tcW w:type="dxa" w:w="368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교내 과제 13건; 성과 19건(논문 4, 학술대회 논문집 14, 저서 1)</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공시보고서 IV.3</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center"/>
            </w:pPr>
            <w:r>
              <w:rPr>
                <w:rFonts w:ascii="Arial" w:cs="Arial" w:eastAsia="Malgun Gothic" w:hAnsi="Arial"/>
                <w:color w:val="0D1B2E"/>
                <w:sz w:val="19"/>
                <w:szCs w:val="19"/>
              </w:rPr>
              <w:t xml:space="preserve">19</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19"/>
                <w:szCs w:val="19"/>
              </w:rPr>
              <w:t xml:space="preserve">기준 충족도</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19"/>
                <w:szCs w:val="19"/>
              </w:rPr>
              <w:t xml:space="preserve">대부분 “자료 없음”</w:t>
            </w:r>
          </w:p>
        </w:tc>
        <w:tc>
          <w:tcPr>
            <w:tcW w:type="dxa" w:w="368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19"/>
                <w:szCs w:val="19"/>
              </w:rPr>
              <w:t xml:space="preserve">14개 지표 중 13개 충족(공란 1개는 컨설턴트 재계산); HEMIS 갱신 지표(84.6%) 미충족</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19"/>
                <w:szCs w:val="19"/>
              </w:rPr>
              <w:t xml:space="preserve">공시보고서 III.1</w:t>
            </w:r>
          </w:p>
        </w:tc>
      </w:tr>
    </w:tbl>
    <w:p>
      <w:pPr>
        <w:spacing w:after="200" w:before="20" w:lineRule="auto" w:line="240"/>
        <w:jc w:val="left"/>
      </w:pPr>
      <w:r>
        <w:rPr>
          <w:rFonts w:ascii="Arial" w:cs="Arial" w:eastAsia="Malgun Gothic" w:hAnsi="Arial"/>
          <w:i w:val="false"/>
          <w:iCs w:val="false"/>
          <w:color w:val="435066"/>
          <w:sz w:val="19"/>
          <w:szCs w:val="19"/>
        </w:rPr>
        <w:t xml:space="preserve">출처: 컨설턴트 대조.</w:t>
      </w:r>
    </w:p>
    <w:p>
      <w:pPr>
        <w:pStyle w:val="Heading1"/>
        <w:pageBreakBefore/>
      </w:pPr>
      <w:r>
        <w:t xml:space="preserve">3. 법적 현황 및 연혁</w:t>
      </w:r>
    </w:p>
    <w:p>
      <w:pPr>
        <w:keepNext/>
        <w:spacing w:after="80" w:before="120" w:lineRule="auto" w:line="240"/>
        <w:jc w:val="center"/>
      </w:pPr>
      <w:r>
        <w:rPr>
          <w:rFonts w:ascii="Arial" w:cs="Arial" w:eastAsia="Malgun Gothic" w:hAnsi="Arial"/>
          <w:b/>
          <w:bCs/>
          <w:color w:val="0F2A4D"/>
          <w:sz w:val="22"/>
          <w:szCs w:val="22"/>
        </w:rPr>
        <w:t xml:space="preserve">표 3.1. </w:t>
      </w:r>
      <w:r>
        <w:rPr>
          <w:rFonts w:ascii="Arial" w:cs="Arial" w:eastAsia="Malgun Gothic" w:hAnsi="Arial"/>
          <w:i w:val="false"/>
          <w:iCs w:val="false"/>
          <w:color w:val="0D1B2E"/>
          <w:sz w:val="22"/>
          <w:szCs w:val="22"/>
        </w:rPr>
        <w:t xml:space="preserve">기본 정보</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81"/>
        <w:gridCol w:w="6690"/>
      </w:tblGrid>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베트남어 명칭</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Trường Đại học Quản lý và Công nghệ Thành phố Hồ Chí Minh</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영문 명칭·약칭</w:t>
            </w:r>
          </w:p>
        </w:tc>
        <w:tc>
          <w:tcPr>
            <w:tcW w:type="dxa" w:w="669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University of Management and Technology Ho Chi Minh City · UMT(입학 시 학교 코드로도 사용)</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유형</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비영리 사립대학; 직접 관리기관: 교육훈련부</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소유주·출자 법인</w:t>
            </w:r>
          </w:p>
        </w:tc>
        <w:tc>
          <w:tcPr>
            <w:tcW w:type="dxa" w:w="669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UMT 교육투자개발그룹 주식회사(CTCP Tập đoàn Đầu tư và Phát triển Giáo dục UMT)</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설립 결정</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총리 결정 제467/QĐ-TTg호(2021.3.27)</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교육 활동 허가</w:t>
            </w:r>
          </w:p>
        </w:tc>
        <w:tc>
          <w:tcPr>
            <w:tcW w:type="dxa" w:w="669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교육훈련부 장관 결정 제1676/QĐ-BGDĐT호(2021.6.2)</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조직·운영 규정</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결의 제03/2021/NQ-HĐT호(2021.4.9) 제정; 결의 제05/2026/NQ-UMT호(2026.2.27) 개정</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법정 대표자</w:t>
            </w:r>
          </w:p>
        </w:tc>
        <w:tc>
          <w:tcPr>
            <w:tcW w:type="dxa" w:w="669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총장 후인 바 런(Huỳnh Bá Lân) 박사(결정 제03/2024/QĐ-HĐTV호, 2024.4.10 승인)</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본교(제1캠퍼스)</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Số 2 Đường số 60CL, Khu phố 9, phường Cát Lái, TP.HCM; 부지 71,854 m²(웹사이트에는 “Khu phố 19”로 표기)</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제2캠퍼스</w:t>
            </w:r>
          </w:p>
        </w:tc>
        <w:tc>
          <w:tcPr>
            <w:tcW w:type="dxa" w:w="669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Số 11 Đường số 35, Khu phố 3, phường Cát Lái, TP.HCM; 부지 1,310.40 m²; 교육·서비스</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제3캠퍼스</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Số 311–319 Đường Gia Phú, phường Bình Tiên, TP.HCM; 부지 1,077.40 m²; 교육</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입학상담 사무소</w:t>
            </w:r>
          </w:p>
        </w:tc>
        <w:tc>
          <w:tcPr>
            <w:tcW w:type="dxa" w:w="669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Số 3 Công Trường Quốc Tế, phường Xuân Hòa, TP.HCM(“호꼰루어 지점”)</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연락처</w:t>
            </w:r>
          </w:p>
        </w:tc>
        <w:tc>
          <w:tcPr>
            <w:tcW w:type="dxa" w:w="669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학교: (028) 3636 9119, info@umt.edu.vn(웹사이트 표기: oaa.info@umt.edu.vn); 입학 상담: (028) 3535 9119, tuyensinh@umt.edu.vn</w:t>
            </w: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리플릿, 웹사이트. 주소는 현지 표기를 그대로 적었습니다.</w:t>
      </w:r>
    </w:p>
    <w:p>
      <w:pPr>
        <w:keepNext/>
        <w:spacing w:after="40" w:before="120"/>
        <w:jc w:val="center"/>
      </w:pPr>
      <w:r>
        <w:drawing>
          <wp:inline distT="0" distB="0" distL="0" distR="0">
            <wp:extent cx="44958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95800" cy="3114675"/>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3.1. </w:t>
      </w:r>
      <w:r>
        <w:rPr>
          <w:rFonts w:ascii="Arial" w:cs="Arial" w:eastAsia="Malgun Gothic" w:hAnsi="Arial"/>
          <w:i w:val="false"/>
          <w:iCs w:val="false"/>
          <w:color w:val="0D1B2E"/>
          <w:sz w:val="22"/>
          <w:szCs w:val="22"/>
        </w:rPr>
        <w:t xml:space="preserve">2026학년도 입학 리플릿에 실린 깟라이 캠퍼스 본관(그래픽 합성 이미지)</w:t>
      </w:r>
    </w:p>
    <w:p>
      <w:pPr>
        <w:spacing w:after="200" w:before="20" w:lineRule="auto" w:line="240"/>
        <w:jc w:val="left"/>
      </w:pPr>
      <w:r>
        <w:rPr>
          <w:rFonts w:ascii="Arial" w:cs="Arial" w:eastAsia="Malgun Gothic" w:hAnsi="Arial"/>
          <w:i w:val="false"/>
          <w:iCs w:val="false"/>
          <w:color w:val="435066"/>
          <w:sz w:val="19"/>
          <w:szCs w:val="19"/>
        </w:rPr>
        <w:t xml:space="preserve">출처: 리플릿 2쪽. 실제 캠퍼스 사진은 제5장에 수록했습니다.</w:t>
      </w:r>
    </w:p>
    <w:p>
      <w:pPr>
        <w:pStyle w:val="Heading2"/>
        <w:keepNext/>
      </w:pPr>
      <w:r>
        <w:t xml:space="preserve">3.1 비전, 사명 및 교육철학</w:t>
      </w:r>
    </w:p>
    <w:p>
      <w:pPr>
        <w:keepNext/>
        <w:spacing w:after="80" w:before="120" w:lineRule="auto" w:line="240"/>
        <w:jc w:val="center"/>
      </w:pPr>
      <w:r>
        <w:rPr>
          <w:rFonts w:ascii="Arial" w:cs="Arial" w:eastAsia="Malgun Gothic" w:hAnsi="Arial"/>
          <w:b/>
          <w:bCs/>
          <w:color w:val="0F2A4D"/>
          <w:sz w:val="22"/>
          <w:szCs w:val="22"/>
        </w:rPr>
        <w:t xml:space="preserve">표 3.2. </w:t>
      </w:r>
      <w:r>
        <w:rPr>
          <w:rFonts w:ascii="Arial" w:cs="Arial" w:eastAsia="Malgun Gothic" w:hAnsi="Arial"/>
          <w:i w:val="false"/>
          <w:iCs w:val="false"/>
          <w:color w:val="0D1B2E"/>
          <w:sz w:val="22"/>
          <w:szCs w:val="22"/>
        </w:rPr>
        <w:t xml:space="preserve">학교가 공표한 방향</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41"/>
        <w:gridCol w:w="7030"/>
      </w:tblGrid>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비전</w:t>
            </w:r>
          </w:p>
        </w:tc>
        <w:tc>
          <w:tcPr>
            <w:tcW w:type="dxa" w:w="703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교육, 연구, 경영에서 선도적이고 창의적인 대학</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사명</w:t>
            </w:r>
          </w:p>
        </w:tc>
        <w:tc>
          <w:tcPr>
            <w:tcW w:type="dxa" w:w="703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행복하고 성공하는 세계 시민을 양성; 실학·실업을 중시하는 교양(liberal) 교육 정신 확립; 학생과 파트너에게 성장 기회를 주는 효율적 생태계 구축</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교육철학</w:t>
            </w:r>
          </w:p>
        </w:tc>
        <w:tc>
          <w:tcPr>
            <w:tcW w:type="dxa" w:w="703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교양적 사고와 결합된 지식 개발로 모든 학생이 스스로를 주도하고 성공을 만들며 지속적으로 행복하게 살도록 함(결의 제01/2026/NQ-UMT호, 2026.1.2)</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핵심 가치</w:t>
            </w:r>
          </w:p>
        </w:tc>
        <w:tc>
          <w:tcPr>
            <w:tcW w:type="dxa" w:w="703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전문성 – 조화 – 개방(Chuyên nghiệp – Hòa hợp – Khai phóng)</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메시지</w:t>
            </w:r>
          </w:p>
        </w:tc>
        <w:tc>
          <w:tcPr>
            <w:tcW w:type="dxa" w:w="703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“행복과 성공의 대학”; “You Make Tomorrow”; 교양 교육 “5T”: 사고(Tư duy) – 공감(Thấu cảm) – 책임(Trách nhiệm) – 통합(Tích hợp) – 숙련(Thành thục)</w:t>
            </w: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웹사이트, 리플릿.</w:t>
      </w:r>
    </w:p>
    <w:p>
      <w:pPr>
        <w:pStyle w:val="Heading2"/>
        <w:keepNext/>
      </w:pPr>
      <w:r>
        <w:t xml:space="preserve">3.2 주요 연혁</w:t>
      </w:r>
    </w:p>
    <w:p>
      <w:pPr>
        <w:keepNext/>
        <w:spacing w:after="80" w:before="120" w:lineRule="auto" w:line="240"/>
        <w:jc w:val="center"/>
      </w:pPr>
      <w:r>
        <w:rPr>
          <w:rFonts w:ascii="Arial" w:cs="Arial" w:eastAsia="Malgun Gothic" w:hAnsi="Arial"/>
          <w:b/>
          <w:bCs/>
          <w:color w:val="0F2A4D"/>
          <w:sz w:val="22"/>
          <w:szCs w:val="22"/>
        </w:rPr>
        <w:t xml:space="preserve">표 3.3. </w:t>
      </w:r>
      <w:r>
        <w:rPr>
          <w:rFonts w:ascii="Arial" w:cs="Arial" w:eastAsia="Malgun Gothic" w:hAnsi="Arial"/>
          <w:i w:val="false"/>
          <w:iCs w:val="false"/>
          <w:color w:val="0D1B2E"/>
          <w:sz w:val="22"/>
          <w:szCs w:val="22"/>
        </w:rPr>
        <w:t xml:space="preserve">2013–2026년 주요 연혁</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74"/>
        <w:gridCol w:w="6236"/>
        <w:gridCol w:w="1361"/>
      </w:tblGrid>
      <w:tr>
        <w:trPr>
          <w:cantSplit/>
          <w:tblHeader/>
        </w:trPr>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시기</w:t>
            </w:r>
          </w:p>
        </w:tc>
        <w:tc>
          <w:tcPr>
            <w:tcW w:type="dxa" w:w="6236"/>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내용</w:t>
            </w:r>
          </w:p>
        </w:tc>
        <w:tc>
          <w:tcPr>
            <w:tcW w:type="dxa" w:w="13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근거</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2013</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대학 설립 사업 방침 승인</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UMT, 언론</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2020.11.16</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깟라이 신도시에서 착공</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UMT</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2021.3.27</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총리 결정 제467/QĐ-TTg호로 설립</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공시보고서</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2021.6.2</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교육훈련부의 교육 활동 허가(결정 제1676/QĐ-BGDĐT호); 같은 해 경영학, 그래픽디자인, 부동산, 정보기술, 마케팅, 국제경영 6개 전공 개설</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공시보고서</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2021.11.24</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개교 발표; 2030년까지 학생 1만 명 이상 목표 제시</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정부 포털, 언론</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2022</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스포츠경영, 멀티미디어커뮤니케이션 전공 개설</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공시보고서</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2022.9.26–10.8</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창조관 사용 개시; 캠퍼스 준공 및 1기 입학식</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UMT, 호찌민시 포털</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2023</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물류·공급망관리 전공 개설</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공시보고서</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2024.4.10</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후인 바 런 박사 총장 승인(결정 제03/2024/QĐ-HĐTV호)</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공시보고서</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2025.7.1</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학생서비스센터를 학생처에 통합; 스포츠과학·경영연구원 해산; 새 조직도 공포</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공시보고서</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2025.8.25</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전기버스 154번 노선으로 UMT와 메트로 타오디엔역 연결</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UMT</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2025.11.1</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입학처와 홍보처 분리 신설</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공시보고서</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2026.1.15</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혁신창업센터 설립</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공시보고서</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2026.3.6</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제2회 UMT 국제학술대회(DCEST 2026) 개최</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웹사이트</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2026.3.27</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대학이사회(임기 2026–2031) 승인; 대학원(Viện Sau đại học) 설립</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공시보고서</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2026</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정보보안, 컴퓨터과학 전공 개설</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공시보고서</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2026.5.20</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공시보고서 제16/2026/BC-UMT호 서명</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공시보고서</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2026.8.22</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1기 학생 대상 첫 졸업식</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웹사이트</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2026</w:t>
            </w:r>
          </w:p>
        </w:tc>
        <w:tc>
          <w:tcPr>
            <w:tcW w:type="dxa" w:w="62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2026–2030학번(5기, K5) 입학식</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웹사이트</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2026.11.15</w:t>
            </w:r>
          </w:p>
        </w:tc>
        <w:tc>
          <w:tcPr>
            <w:tcW w:type="dxa" w:w="62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고등교육기관 기준 시행규칙 제83/2026/TT-BGDĐT호 시행</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법령</w:t>
            </w:r>
          </w:p>
        </w:tc>
      </w:tr>
    </w:tbl>
    <w:p>
      <w:pPr>
        <w:spacing w:after="200" w:before="20" w:lineRule="auto" w:line="240"/>
        <w:jc w:val="left"/>
      </w:pPr>
      <w:r>
        <w:rPr>
          <w:rFonts w:ascii="Arial" w:cs="Arial" w:eastAsia="Malgun Gothic" w:hAnsi="Arial"/>
          <w:i w:val="false"/>
          <w:iCs w:val="false"/>
          <w:color w:val="435066"/>
          <w:sz w:val="19"/>
          <w:szCs w:val="19"/>
        </w:rPr>
        <w:t xml:space="preserve">출처: 각 행에 기재.</w:t>
      </w:r>
    </w:p>
    <w:p>
      <w:pPr>
        <w:pStyle w:val="Heading1"/>
        <w:pageBreakBefore/>
      </w:pPr>
      <w:r>
        <w:t xml:space="preserve">4. 소유 구조, 지배구조 및 조직</w:t>
      </w:r>
    </w:p>
    <w:p>
      <w:pPr>
        <w:pStyle w:val="Heading2"/>
        <w:keepNext/>
      </w:pPr>
      <w:r>
        <w:t xml:space="preserve">4.1 공식 공시상의 소유주</w:t>
      </w:r>
    </w:p>
    <w:p>
      <w:pPr>
        <w:keepNext w:val="false"/>
        <w:spacing w:after="120" w:before="0" w:lineRule="auto" w:line="264"/>
        <w:jc w:val="both"/>
      </w:pPr>
      <w:r>
        <w:rPr>
          <w:rFonts w:ascii="Arial" w:cs="Arial" w:eastAsia="Malgun Gothic" w:hAnsi="Arial"/>
          <w:color w:val="0D1B2E"/>
          <w:sz w:val="24"/>
          <w:szCs w:val="24"/>
        </w:rPr>
        <w:t xml:space="preserve">공시보고서는 학교의 </w:t>
      </w:r>
      <w:r>
        <w:rPr>
          <w:rFonts w:ascii="Arial" w:cs="Arial" w:eastAsia="Malgun Gothic" w:hAnsi="Arial"/>
          <w:b/>
          <w:bCs/>
          <w:color w:val="0D1B2E"/>
          <w:sz w:val="24"/>
          <w:szCs w:val="24"/>
        </w:rPr>
        <w:t xml:space="preserve">소유주</w:t>
      </w:r>
      <w:r>
        <w:rPr>
          <w:rFonts w:ascii="Arial" w:cs="Arial" w:eastAsia="Malgun Gothic" w:hAnsi="Arial"/>
          <w:color w:val="0D1B2E"/>
          <w:sz w:val="24"/>
          <w:szCs w:val="24"/>
        </w:rPr>
        <w:t xml:space="preserve">와 </w:t>
      </w:r>
      <w:r>
        <w:rPr>
          <w:rFonts w:ascii="Arial" w:cs="Arial" w:eastAsia="Malgun Gothic" w:hAnsi="Arial"/>
          <w:b/>
          <w:bCs/>
          <w:color w:val="0D1B2E"/>
          <w:sz w:val="24"/>
          <w:szCs w:val="24"/>
        </w:rPr>
        <w:t xml:space="preserve">출자 법인 명단</w:t>
      </w:r>
      <w:r>
        <w:rPr>
          <w:rFonts w:ascii="Arial" w:cs="Arial" w:eastAsia="Malgun Gothic" w:hAnsi="Arial"/>
          <w:color w:val="0D1B2E"/>
          <w:sz w:val="24"/>
          <w:szCs w:val="24"/>
        </w:rPr>
        <w:t xml:space="preserve">을 모두 UMT 교육투자개발그룹 주식회사로 기재하고 있습니다. 이 회사의 이사회는 2026년 3월 27일 결의 제08/2026/NQ-HĐQT호로 임기 2026–2031년의 대학이사회와 의장을 승인했습니다.</w:t>
      </w:r>
    </w:p>
    <w:p>
      <w:pPr>
        <w:keepNext w:val="false"/>
        <w:spacing w:after="120" w:before="0" w:lineRule="auto" w:line="264"/>
        <w:jc w:val="both"/>
      </w:pPr>
      <w:r>
        <w:rPr>
          <w:rFonts w:ascii="Arial" w:cs="Arial" w:eastAsia="Malgun Gothic" w:hAnsi="Arial"/>
          <w:color w:val="0D1B2E"/>
          <w:sz w:val="24"/>
          <w:szCs w:val="24"/>
        </w:rPr>
        <w:t xml:space="preserve">2020–2021년 언론 보도는 UMT를 후인 바 런 박사가 창업한 끼엔아 주식회사(Kiến Á Group)의 사업으로 소개했습니다. 공시보고서에는 끼엔아가 언급되지 않습니다. UMT 교육투자개발그룹 주식회사와 끼엔아 및 창업자 가족 간의 소유 관계는 컨설턴트가 확인할 수 있었던 어떤 자료에도 공개되어 있지 않습니다.</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C98500" w:sz="24"/>
              <w:bottom w:val="none" w:color="FFFFFF" w:sz="0"/>
              <w:right w:val="none" w:color="FFFFFF" w:sz="0"/>
            </w:tcBorders>
            <w:shd w:fill="FDF3E3" w:color="auto" w:val="clear"/>
            <w:tcMar>
              <w:top w:type="dxa" w:w="120"/>
              <w:left w:type="dxa" w:w="200"/>
              <w:bottom w:type="dxa" w:w="80"/>
              <w:right w:type="dxa" w:w="200"/>
            </w:tcMar>
          </w:tcPr>
          <w:p>
            <w:pPr>
              <w:keepNext/>
              <w:spacing w:after="80" w:before="0"/>
            </w:pPr>
            <w:r>
              <w:rPr>
                <w:rFonts w:ascii="Arial" w:cs="Arial" w:eastAsia="Malgun Gothic" w:hAnsi="Arial"/>
                <w:b/>
                <w:bCs/>
                <w:color w:val="0F2A4D"/>
                <w:sz w:val="22"/>
                <w:szCs w:val="22"/>
              </w:rPr>
              <w:t xml:space="preserve">분석 · 확인 필요 사항 1순위</w:t>
            </w:r>
          </w:p>
          <w:p>
            <w:pPr>
              <w:spacing w:after="80" w:before="0" w:lineRule="auto" w:line="253"/>
              <w:jc w:val="both"/>
            </w:pPr>
            <w:r>
              <w:rPr>
                <w:rFonts w:ascii="Arial" w:cs="Arial" w:eastAsia="Malgun Gothic" w:hAnsi="Arial"/>
                <w:color w:val="0D1B2E"/>
                <w:sz w:val="22"/>
                <w:szCs w:val="22"/>
              </w:rPr>
              <w:t xml:space="preserve">어떤 합의에 앞서서도 다음이 필요합니다: UMT 교육투자개발그룹 주식회사의 사업자등록증, 정관, 주주명부; 비영리 운영 약정서; 경상비 지원(2025년 540억 동)에 관한 소유주 결의; 학교와 소유주 및 관계회사 간 계약(토지·자산 임대, 서비스, 차입).</w:t>
            </w:r>
          </w:p>
        </w:tc>
      </w:tr>
    </w:tbl>
    <w:p>
      <w:pPr>
        <w:spacing w:after="120" w:before="0"/>
      </w:pPr>
    </w:p>
    <w:p>
      <w:pPr>
        <w:keepNext/>
        <w:spacing w:after="80" w:before="120" w:lineRule="auto" w:line="240"/>
        <w:jc w:val="center"/>
      </w:pPr>
      <w:r>
        <w:rPr>
          <w:rFonts w:ascii="Arial" w:cs="Arial" w:eastAsia="Malgun Gothic" w:hAnsi="Arial"/>
          <w:b/>
          <w:bCs/>
          <w:color w:val="0F2A4D"/>
          <w:sz w:val="22"/>
          <w:szCs w:val="22"/>
        </w:rPr>
        <w:t xml:space="preserve">표 4.1. </w:t>
      </w:r>
      <w:r>
        <w:rPr>
          <w:rFonts w:ascii="Arial" w:cs="Arial" w:eastAsia="Malgun Gothic" w:hAnsi="Arial"/>
          <w:i w:val="false"/>
          <w:iCs w:val="false"/>
          <w:color w:val="0D1B2E"/>
          <w:sz w:val="22"/>
          <w:szCs w:val="22"/>
        </w:rPr>
        <w:t xml:space="preserve">언론 보도상의 이해관계자(UMT 공시 자료 아님)</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81"/>
        <w:gridCol w:w="1701"/>
        <w:gridCol w:w="4989"/>
      </w:tblGrid>
      <w:tr>
        <w:trPr>
          <w:cantSplit/>
          <w:tblHeader/>
        </w:trPr>
        <w:tc>
          <w:tcPr>
            <w:tcW w:type="dxa" w:w="238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이해관계자</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관계</w:t>
            </w:r>
          </w:p>
        </w:tc>
        <w:tc>
          <w:tcPr>
            <w:tcW w:type="dxa" w:w="498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공개된 정보</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끼엔아 주식회사(Kiến Á Group)</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사업 개발 주체(2020–2021년 언론)</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1994년 설립; 2018.12 변경등록 기준 자본금 1조 3,680억 동; UMT 본교가 위치한 깟라이 신도시(152 ha) 개발</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후인 바 런 박사(1956년생)</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끼엔아 창업자</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UMT 총장, 대학이사회 부의장; 2008–2013년 끼엔롱은행(Kienlongbank) 이사 역임</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후인 투이 프엉 석사</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후인 바 런 박사의 장녀</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UMT 대학이사회 의장, 상임부총장; 끼엔아 부사장</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후인 바 시 하오 석사</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후인 바 런 박사의 아들</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UMT 대학이사회 위원</w:t>
            </w:r>
          </w:p>
        </w:tc>
      </w:tr>
      <w:tr>
        <w:trPr>
          <w:cantSplit/>
        </w:trPr>
        <w:tc>
          <w:tcPr>
            <w:tcW w:type="dxa" w:w="238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사이공푸민 주식회사(CTCP Sài Gòn Phú Minh)</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설립 시 끼엔아 지분 60%</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2026년 상반기 회사채 4,910억 동 전액 상환; 담보에 그룹 계열사의 깟라이·프억끼엔 토지 포함; 이후 관계자로부터 장기 차입·금융리스 4,000억 동 발생; 3년 연속 적자</w:t>
            </w:r>
          </w:p>
        </w:tc>
      </w:tr>
      <w:tr>
        <w:trPr>
          <w:cantSplit/>
        </w:trPr>
        <w:tc>
          <w:tcPr>
            <w:tcW w:type="dxa" w:w="238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주이떤 중고등학교(푸옌성)</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같은 생태계의 학교</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UMT의 전략적 파트너; 주이떤 학생에게 2026년 UMT 장학금 지급; 웹사이트 파트너 목록에 로고 게재</w:t>
            </w:r>
          </w:p>
        </w:tc>
      </w:tr>
    </w:tbl>
    <w:p>
      <w:pPr>
        <w:spacing w:after="200" w:before="20" w:lineRule="auto" w:line="240"/>
        <w:jc w:val="left"/>
      </w:pPr>
      <w:r>
        <w:rPr>
          <w:rFonts w:ascii="Arial" w:cs="Arial" w:eastAsia="Malgun Gothic" w:hAnsi="Arial"/>
          <w:i w:val="false"/>
          <w:iCs w:val="false"/>
          <w:color w:val="435066"/>
          <w:sz w:val="19"/>
          <w:szCs w:val="19"/>
        </w:rPr>
        <w:t xml:space="preserve">출처: 언론 보도(2020–2026), 공시보고서, 웹사이트. UMT 부지가 담보로 제공되었다는 자료는 없으나, 반드시 확인해야 할 항목입니다.</w:t>
      </w:r>
    </w:p>
    <w:p>
      <w:pPr>
        <w:pStyle w:val="Heading2"/>
        <w:keepNext/>
      </w:pPr>
      <w:r>
        <w:t xml:space="preserve">4.2 대학이사회(임기 2026–2031)</w:t>
      </w:r>
    </w:p>
    <w:p>
      <w:pPr>
        <w:keepNext w:val="false"/>
        <w:spacing w:after="120" w:before="0" w:lineRule="auto" w:line="264"/>
        <w:jc w:val="both"/>
      </w:pPr>
      <w:r>
        <w:rPr>
          <w:rFonts w:ascii="Arial" w:cs="Arial" w:eastAsia="Malgun Gothic" w:hAnsi="Arial"/>
          <w:color w:val="0D1B2E"/>
          <w:sz w:val="24"/>
          <w:szCs w:val="24"/>
        </w:rPr>
        <w:t xml:space="preserve">결의 제08/2026/NQ-HĐQT호는 9명으로 구성된 대학이사회를 승인했습니다. 웹사이트 학교 소개 페이지(2026.10.27)에는 8명만 게재되어 있으며 부 뜨엉 투이(Vũ Tường Thụy)가 없습니다. “Vũ Tường Thụy”와 “Bùi Tường Thụy”는 이름의 중간·끝 부분이 같으므로 결의 원본과 대조하여 오기 여부를 확인해야 합니다.</w:t>
      </w:r>
    </w:p>
    <w:p>
      <w:pPr>
        <w:keepNext/>
        <w:spacing w:after="80" w:before="120" w:lineRule="auto" w:line="240"/>
        <w:jc w:val="center"/>
      </w:pPr>
      <w:r>
        <w:rPr>
          <w:rFonts w:ascii="Arial" w:cs="Arial" w:eastAsia="Malgun Gothic" w:hAnsi="Arial"/>
          <w:b/>
          <w:bCs/>
          <w:color w:val="0F2A4D"/>
          <w:sz w:val="22"/>
          <w:szCs w:val="22"/>
        </w:rPr>
        <w:t xml:space="preserve">표 4.2. </w:t>
      </w:r>
      <w:r>
        <w:rPr>
          <w:rFonts w:ascii="Arial" w:cs="Arial" w:eastAsia="Malgun Gothic" w:hAnsi="Arial"/>
          <w:i w:val="false"/>
          <w:iCs w:val="false"/>
          <w:color w:val="0D1B2E"/>
          <w:sz w:val="22"/>
          <w:szCs w:val="22"/>
        </w:rPr>
        <w:t xml:space="preserve">대학이사회 위원 및 집행 직위</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7"/>
        <w:gridCol w:w="2495"/>
        <w:gridCol w:w="1814"/>
        <w:gridCol w:w="4195"/>
      </w:tblGrid>
      <w:tr>
        <w:trPr>
          <w:cantSplit/>
          <w:tblHeader/>
        </w:trPr>
        <w:tc>
          <w:tcPr>
            <w:tcW w:type="dxa" w:w="56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20"/>
                <w:szCs w:val="20"/>
              </w:rPr>
              <w:t xml:space="preserve">번호</w:t>
            </w:r>
          </w:p>
        </w:tc>
        <w:tc>
          <w:tcPr>
            <w:tcW w:type="dxa" w:w="249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위원</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이사회 내 직위</w:t>
            </w:r>
          </w:p>
        </w:tc>
        <w:tc>
          <w:tcPr>
            <w:tcW w:type="dxa" w:w="419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집행 직위, 근거 문서</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1</w:t>
            </w:r>
          </w:p>
        </w:tc>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후인 투이 프엉 석사(Huỳnh Thúy Phương)</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의장</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상임부총장; 결의 제06/2025/NQ-HĐT호(2025.7.14)로 부총장 재임명; 총장을 대리하여 공시보고서 서명</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2</w:t>
            </w:r>
          </w:p>
        </w:tc>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후인 바 런 박사(Huỳnh Bá Lân)</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부의장</w:t>
            </w:r>
          </w:p>
        </w:tc>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총장, 법정 대표자(결정 제03/2024/QĐ-HĐTV호, 2024.4.10)</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3</w:t>
            </w:r>
          </w:p>
        </w:tc>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레 반 남 부교수·박사(Lê Văn Nam)</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부의장</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부총장; 결의 제12/2025/NQ-UMT호(2025.9.30)로 재임명</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4</w:t>
            </w:r>
          </w:p>
        </w:tc>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쩐 르우 끄엉 박사(Trần Lưu Cường)</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부의장</w:t>
            </w:r>
          </w:p>
        </w:tc>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5</w:t>
            </w:r>
          </w:p>
        </w:tc>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응우옌 까인 뚜언 박사(Nguyễn Cảnh Tuấn)</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위원</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부총장; 결의 제09/2025/NQ-UMT호(2025.8.29)로 임명</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6</w:t>
            </w:r>
          </w:p>
        </w:tc>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부 뜨엉 투이(Vũ Tường Thụy)</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위원(공시보고서만)</w:t>
            </w:r>
          </w:p>
        </w:tc>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웹사이트에 없음; 확인 필요</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7</w:t>
            </w:r>
          </w:p>
        </w:tc>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부이 뜨엉 투이 석사(Bùi Tường Thụy)</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위원</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운영이사(COO); 결의 제10/2026/NQ-UMT호(2026.4.3)로 재임명</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8</w:t>
            </w:r>
          </w:p>
        </w:tc>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후인 바 시 하오 석사(Huỳnh Bá Sĩ Hào)</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위원</w:t>
            </w:r>
          </w:p>
        </w:tc>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center"/>
            </w:pPr>
            <w:r>
              <w:rPr>
                <w:rFonts w:ascii="Arial" w:cs="Arial" w:eastAsia="Malgun Gothic" w:hAnsi="Arial"/>
                <w:color w:val="0D1B2E"/>
                <w:sz w:val="20"/>
                <w:szCs w:val="20"/>
              </w:rPr>
              <w:t xml:space="preserve">9</w:t>
            </w:r>
          </w:p>
        </w:tc>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보 호 툭 도안(Võ Hồ Thục Đoan)</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위원</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w:t>
            </w: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I.7; 이사회 내 직위와 학위는 웹사이트 기준.</w:t>
      </w:r>
    </w:p>
    <w:p>
      <w:pPr>
        <w:keepNext/>
        <w:spacing w:after="40" w:before="120"/>
        <w:jc w:val="center"/>
      </w:pPr>
      <w:r>
        <w:drawing>
          <wp:inline distT="0" distB="0" distL="0" distR="0">
            <wp:extent cx="52197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19700" cy="2924175"/>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4.1. </w:t>
      </w:r>
      <w:r>
        <w:rPr>
          <w:rFonts w:ascii="Arial" w:cs="Arial" w:eastAsia="Malgun Gothic" w:hAnsi="Arial"/>
          <w:i w:val="false"/>
          <w:iCs w:val="false"/>
          <w:color w:val="0D1B2E"/>
          <w:sz w:val="22"/>
          <w:szCs w:val="22"/>
        </w:rPr>
        <w:t xml:space="preserve">웹사이트의 UMT 경영진: (a) 대학이사회 의장; (b) 부의장 및 이사회 위원; (c) 총장단; (d) 학부 경영진</w:t>
      </w:r>
    </w:p>
    <w:p>
      <w:pPr>
        <w:spacing w:after="200" w:before="20" w:lineRule="auto" w:line="240"/>
        <w:jc w:val="left"/>
      </w:pPr>
      <w:r>
        <w:rPr>
          <w:rFonts w:ascii="Arial" w:cs="Arial" w:eastAsia="Malgun Gothic" w:hAnsi="Arial"/>
          <w:i w:val="false"/>
          <w:iCs w:val="false"/>
          <w:color w:val="435066"/>
          <w:sz w:val="19"/>
          <w:szCs w:val="19"/>
        </w:rPr>
        <w:t xml:space="preserve">출처: 웹사이트, 2026.10.27 14:47–14:48 화면 캡처.</w:t>
      </w:r>
    </w:p>
    <w:p>
      <w:pPr>
        <w:pStyle w:val="Heading2"/>
        <w:keepNext/>
      </w:pPr>
      <w:r>
        <w:t xml:space="preserve">4.3 총장단 및 부서장</w:t>
      </w:r>
    </w:p>
    <w:p>
      <w:pPr>
        <w:keepNext/>
        <w:spacing w:after="80" w:before="120" w:lineRule="auto" w:line="240"/>
        <w:jc w:val="center"/>
      </w:pPr>
      <w:r>
        <w:rPr>
          <w:rFonts w:ascii="Arial" w:cs="Arial" w:eastAsia="Malgun Gothic" w:hAnsi="Arial"/>
          <w:b/>
          <w:bCs/>
          <w:color w:val="0F2A4D"/>
          <w:sz w:val="22"/>
          <w:szCs w:val="22"/>
        </w:rPr>
        <w:t xml:space="preserve">표 4.3. </w:t>
      </w:r>
      <w:r>
        <w:rPr>
          <w:rFonts w:ascii="Arial" w:cs="Arial" w:eastAsia="Malgun Gothic" w:hAnsi="Arial"/>
          <w:i w:val="false"/>
          <w:iCs w:val="false"/>
          <w:color w:val="0D1B2E"/>
          <w:sz w:val="22"/>
          <w:szCs w:val="22"/>
        </w:rPr>
        <w:t xml:space="preserve">총장단 및 학부·센터 책임자</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61"/>
        <w:gridCol w:w="3061"/>
        <w:gridCol w:w="2949"/>
      </w:tblGrid>
      <w:tr>
        <w:trPr>
          <w:cantSplit/>
          <w:tblHeader/>
        </w:trPr>
        <w:tc>
          <w:tcPr>
            <w:tcW w:type="dxa" w:w="30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조직</w:t>
            </w:r>
          </w:p>
        </w:tc>
        <w:tc>
          <w:tcPr>
            <w:tcW w:type="dxa" w:w="30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책임자</w:t>
            </w:r>
          </w:p>
        </w:tc>
        <w:tc>
          <w:tcPr>
            <w:tcW w:type="dxa" w:w="294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부책임자</w:t>
            </w:r>
          </w:p>
        </w:tc>
      </w:tr>
      <w:tr>
        <w:trPr>
          <w:cantSplit/>
        </w:trPr>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총장단</w:t>
            </w:r>
          </w:p>
        </w:tc>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총장: 후인 바 런 박사</w:t>
            </w:r>
          </w:p>
        </w:tc>
        <w:tc>
          <w:tcPr>
            <w:tcW w:type="dxa" w:w="294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상임부총장: 후인 투이 프엉 석사; 부총장: 레 반 남 부교수·박사, 응우옌 까인 뚜언 박사; 운영이사: 부이 뜨엉 투이 석사</w:t>
            </w:r>
          </w:p>
        </w:tc>
      </w:tr>
      <w:tr>
        <w:trPr>
          <w:cantSplit/>
        </w:trPr>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기술학부</w:t>
            </w:r>
          </w:p>
        </w:tc>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쩐 단 트 부교수·박사(Trần Đan Thư)</w:t>
            </w:r>
          </w:p>
        </w:tc>
        <w:tc>
          <w:tcPr>
            <w:tcW w:type="dxa" w:w="294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팜 반 후이 박사(Phạm Văn Huy)</w:t>
            </w:r>
          </w:p>
        </w:tc>
      </w:tr>
      <w:tr>
        <w:trPr>
          <w:cantSplit/>
        </w:trPr>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경영학부</w:t>
            </w:r>
          </w:p>
        </w:tc>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레 티 응옥 뚜 박사(Lê Thị Ngọc Tú)</w:t>
            </w:r>
          </w:p>
        </w:tc>
        <w:tc>
          <w:tcPr>
            <w:tcW w:type="dxa" w:w="294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응우옌 티 뉴 투언 박사(Nguyễn Thị Như Thuận)</w:t>
            </w:r>
          </w:p>
        </w:tc>
      </w:tr>
      <w:tr>
        <w:trPr>
          <w:cantSplit/>
        </w:trPr>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미디어·응용예술학부</w:t>
            </w:r>
          </w:p>
        </w:tc>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리 레 뜨엉 민 박사(Lý Lê Tường Minh)</w:t>
            </w:r>
          </w:p>
        </w:tc>
        <w:tc>
          <w:tcPr>
            <w:tcW w:type="dxa" w:w="294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응우옌 당 쯔엉 후이 석사(Nguyễn Đặng Trường Huy)</w:t>
            </w:r>
          </w:p>
        </w:tc>
      </w:tr>
      <w:tr>
        <w:trPr>
          <w:cantSplit/>
        </w:trPr>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One UMT 센터</w:t>
            </w:r>
          </w:p>
        </w:tc>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보 딘 반 석사(Võ Đình Văn), 센터장</w:t>
            </w:r>
          </w:p>
        </w:tc>
        <w:tc>
          <w:tcPr>
            <w:tcW w:type="dxa" w:w="294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w:t>
            </w:r>
          </w:p>
        </w:tc>
      </w:tr>
    </w:tbl>
    <w:p>
      <w:pPr>
        <w:spacing w:after="200" w:before="20" w:lineRule="auto" w:line="240"/>
        <w:jc w:val="left"/>
      </w:pPr>
      <w:r>
        <w:rPr>
          <w:rFonts w:ascii="Arial" w:cs="Arial" w:eastAsia="Malgun Gothic" w:hAnsi="Arial"/>
          <w:i w:val="false"/>
          <w:iCs w:val="false"/>
          <w:color w:val="435066"/>
          <w:sz w:val="19"/>
          <w:szCs w:val="19"/>
        </w:rPr>
        <w:t xml:space="preserve">출처: 웹사이트; 공시보고서 I.7.</w:t>
      </w:r>
    </w:p>
    <w:p>
      <w:pPr>
        <w:pStyle w:val="Heading2"/>
        <w:keepNext/>
      </w:pPr>
      <w:r>
        <w:t xml:space="preserve">4.4 조직 구조</w:t>
      </w:r>
    </w:p>
    <w:p>
      <w:pPr>
        <w:keepNext w:val="false"/>
        <w:spacing w:after="120" w:before="0" w:lineRule="auto" w:line="264"/>
        <w:jc w:val="both"/>
      </w:pPr>
      <w:r>
        <w:rPr>
          <w:rFonts w:ascii="Arial" w:cs="Arial" w:eastAsia="Malgun Gothic" w:hAnsi="Arial"/>
          <w:color w:val="0D1B2E"/>
          <w:sz w:val="24"/>
          <w:szCs w:val="24"/>
        </w:rPr>
        <w:t xml:space="preserve">공시보고서에 따르면 학교 조직은 대학이사회, 총장단, 학부 4개, 센터 6개, 원(院) 3개, 처(실) 12개, 팀 2개, 비서팀 1개, 공산당 지부 1개, 청년단, 노동조합으로 구성됩니다. 조직도는 결정 제135/2025/QĐ-UMT호(2025.7.1)와 제236/2025/QĐ-UMT호(2025.11.3)로 공포되었습니다. 웹사이트에도 조직도가 게시되어 있으나 화면 녹화의 해상도로는 부서명을 읽을 수 없어, 아래 도표는 공개 문서를 바탕으로 재구성했습니다.</w:t>
      </w:r>
    </w:p>
    <w:p>
      <w:pPr>
        <w:keepNext/>
        <w:spacing w:after="40" w:before="120"/>
        <w:jc w:val="center"/>
      </w:pPr>
      <w:r>
        <w:drawing>
          <wp:inline distT="0" distB="0" distL="0" distR="0">
            <wp:extent cx="5762625"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4667250"/>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4.2. </w:t>
      </w:r>
      <w:r>
        <w:rPr>
          <w:rFonts w:ascii="Arial" w:cs="Arial" w:eastAsia="Malgun Gothic" w:hAnsi="Arial"/>
          <w:i w:val="false"/>
          <w:iCs w:val="false"/>
          <w:color w:val="0D1B2E"/>
          <w:sz w:val="22"/>
          <w:szCs w:val="22"/>
        </w:rPr>
        <w:t xml:space="preserve">공개 자료를 바탕으로 재구성한 UMT 조직 구조</w:t>
      </w:r>
    </w:p>
    <w:p>
      <w:pPr>
        <w:spacing w:after="200" w:before="20" w:lineRule="auto" w:line="240"/>
        <w:jc w:val="left"/>
      </w:pPr>
      <w:r>
        <w:rPr>
          <w:rFonts w:ascii="Arial" w:cs="Arial" w:eastAsia="Malgun Gothic" w:hAnsi="Arial"/>
          <w:i w:val="false"/>
          <w:iCs w:val="false"/>
          <w:color w:val="435066"/>
          <w:sz w:val="19"/>
          <w:szCs w:val="19"/>
        </w:rPr>
        <w:t xml:space="preserve">출처: 공시보고서와 웹사이트를 바탕으로 컨설턴트 작성. (*) 4개 센터 명칭은 정보보안 전공 개설안(2025.11) 기준이며, 공시보고서에는 수량만 기재.</w:t>
      </w:r>
    </w:p>
    <w:p>
      <w:pPr>
        <w:keepNext/>
        <w:spacing w:after="80" w:before="120" w:lineRule="auto" w:line="240"/>
        <w:jc w:val="center"/>
      </w:pPr>
      <w:r>
        <w:rPr>
          <w:rFonts w:ascii="Arial" w:cs="Arial" w:eastAsia="Malgun Gothic" w:hAnsi="Arial"/>
          <w:b/>
          <w:bCs/>
          <w:color w:val="0F2A4D"/>
          <w:sz w:val="22"/>
          <w:szCs w:val="22"/>
        </w:rPr>
        <w:t xml:space="preserve">표 4.4. </w:t>
      </w:r>
      <w:r>
        <w:rPr>
          <w:rFonts w:ascii="Arial" w:cs="Arial" w:eastAsia="Malgun Gothic" w:hAnsi="Arial"/>
          <w:i w:val="false"/>
          <w:iCs w:val="false"/>
          <w:color w:val="0D1B2E"/>
          <w:sz w:val="22"/>
          <w:szCs w:val="22"/>
        </w:rPr>
        <w:t xml:space="preserve">공개된 내부 지배구조 문서</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8"/>
        <w:gridCol w:w="1474"/>
        <w:gridCol w:w="4989"/>
      </w:tblGrid>
      <w:tr>
        <w:trPr>
          <w:cantSplit/>
          <w:tblHeader/>
        </w:trPr>
        <w:tc>
          <w:tcPr>
            <w:tcW w:type="dxa" w:w="260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문서</w:t>
            </w:r>
          </w:p>
        </w:tc>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일자</w:t>
            </w:r>
          </w:p>
        </w:tc>
        <w:tc>
          <w:tcPr>
            <w:tcW w:type="dxa" w:w="498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내용</w:t>
            </w:r>
          </w:p>
        </w:tc>
      </w:tr>
      <w:tr>
        <w:trPr>
          <w:cantSplit/>
        </w:trPr>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결의 제11/2024/NQ-UMT호</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2024.12.18</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학교 운영의 민주주의 실행 규정 제정</w:t>
            </w:r>
          </w:p>
        </w:tc>
      </w:tr>
      <w:tr>
        <w:trPr>
          <w:cantSplit/>
        </w:trPr>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결의 제05/2025/NQ-UMT호</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2025.7.1</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학생서비스센터를 학생처에 통합; 스포츠과학·경영연구원 해산</w:t>
            </w:r>
          </w:p>
        </w:tc>
      </w:tr>
      <w:tr>
        <w:trPr>
          <w:cantSplit/>
        </w:trPr>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결정 제135/2025, 136/2025/QĐ-UMT호</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2025.7.1</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조직도 공포; 총장단 업무 분장</w:t>
            </w:r>
          </w:p>
        </w:tc>
      </w:tr>
      <w:tr>
        <w:trPr>
          <w:cantSplit/>
        </w:trPr>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결의 제11/2025/NQ-UMT호</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2025.9.10</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대학이사회(임기 2021–2026) 위원 업무 분장</w:t>
            </w:r>
          </w:p>
        </w:tc>
      </w:tr>
      <w:tr>
        <w:trPr>
          <w:cantSplit/>
        </w:trPr>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결의 제13/2025/NQ-UMT호</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2025.11.1</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입학처, 홍보처 분리 신설</w:t>
            </w:r>
          </w:p>
        </w:tc>
      </w:tr>
      <w:tr>
        <w:trPr>
          <w:cantSplit/>
        </w:trPr>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결정 제236/2025, 245/2025/QĐ-UMT호</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2025.11.3 및 11.14</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조직도 공포; 총장단 업무 분장(공시보고서에는 제245호의 요지가 “조직도 공포”로 기재)</w:t>
            </w:r>
          </w:p>
        </w:tc>
      </w:tr>
      <w:tr>
        <w:trPr>
          <w:cantSplit/>
        </w:trPr>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결의 제01/2026/NQ-UMT호</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2026.1.2</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교육철학 및 졸업생 역량 체계 공포</w:t>
            </w:r>
          </w:p>
        </w:tc>
      </w:tr>
      <w:tr>
        <w:trPr>
          <w:cantSplit/>
        </w:trPr>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결의 제02/2026/NQ-UMT호</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2026.1.15</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혁신창업센터 설립</w:t>
            </w:r>
          </w:p>
        </w:tc>
      </w:tr>
      <w:tr>
        <w:trPr>
          <w:cantSplit/>
        </w:trPr>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결의 제05/2026/NQ-UMT호</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2026.2.27</w:t>
            </w:r>
          </w:p>
        </w:tc>
        <w:tc>
          <w:tcPr>
            <w:tcW w:type="dxa" w:w="498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조직·운영 규정 개정</w:t>
            </w:r>
          </w:p>
        </w:tc>
      </w:tr>
      <w:tr>
        <w:trPr>
          <w:cantSplit/>
        </w:trPr>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결의 제07/2026, 08/2026/NQ-UMT호</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2026.3.27</w:t>
            </w:r>
          </w:p>
        </w:tc>
        <w:tc>
          <w:tcPr>
            <w:tcW w:type="dxa" w:w="498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대학이사회(임기 2026–2031) 업무 분장; 대학원 설립</w:t>
            </w: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I.7–I.8.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Arial" w:cs="Arial" w:eastAsia="Malgun Gothic" w:hAnsi="Arial"/>
                <w:b/>
                <w:bCs/>
                <w:color w:val="0F2A4D"/>
                <w:sz w:val="22"/>
                <w:szCs w:val="22"/>
              </w:rPr>
              <w:t xml:space="preserve">분석 · 지배구조</w:t>
            </w:r>
          </w:p>
          <w:p>
            <w:pPr>
              <w:spacing w:after="60" w:before="0" w:lineRule="auto" w:line="253"/>
              <w:ind w:left="300" w:hanging="220"/>
              <w:jc w:val="both"/>
            </w:pPr>
            <w:r>
              <w:rPr>
                <w:rFonts w:ascii="Arial" w:cs="Arial" w:eastAsia="Malgun Gothic" w:hAnsi="Arial"/>
                <w:color w:val="0D1B2E"/>
                <w:sz w:val="22"/>
                <w:szCs w:val="22"/>
              </w:rPr>
              <w:t xml:space="preserve">• 의사결정 집중: 단일 소유주가 대학이사회를 승인하며, 언론에 따르면 이사회 9명 중 3명이 창업자 가족이고 이사회 의장이 상임부총장을 겸합니다.</w:t>
            </w:r>
          </w:p>
          <w:p>
            <w:pPr>
              <w:spacing w:after="60" w:before="0" w:lineRule="auto" w:line="253"/>
              <w:ind w:left="300" w:hanging="220"/>
              <w:jc w:val="both"/>
            </w:pPr>
            <w:r>
              <w:rPr>
                <w:rFonts w:ascii="Arial" w:cs="Arial" w:eastAsia="Malgun Gothic" w:hAnsi="Arial"/>
                <w:color w:val="0D1B2E"/>
                <w:sz w:val="22"/>
                <w:szCs w:val="22"/>
              </w:rPr>
              <w:t xml:space="preserve">• 2025–2026년 조직 변경이 잦았습니다(통합, 해산, 분리 신설, 4개 조직 신설, 4개월 사이 조직도 2회 공포). 비용 절감과 대학원 과정 준비를 위한 구조조정으로 보입니다.</w:t>
            </w:r>
          </w:p>
          <w:p>
            <w:pPr>
              <w:spacing w:after="60" w:before="0" w:lineRule="auto" w:line="253"/>
              <w:ind w:left="300" w:hanging="220"/>
              <w:jc w:val="both"/>
            </w:pPr>
            <w:r>
              <w:rPr>
                <w:rFonts w:ascii="Arial" w:cs="Arial" w:eastAsia="Malgun Gothic" w:hAnsi="Arial"/>
                <w:color w:val="0D1B2E"/>
                <w:sz w:val="22"/>
                <w:szCs w:val="22"/>
              </w:rPr>
              <w:t xml:space="preserve">• 소수 투자자로 참여한다면 정보 접근권, 대학이사회 의석, 관계자 거래에 대한 거부권이 필요합니다.</w:t>
            </w:r>
          </w:p>
        </w:tc>
      </w:tr>
    </w:tbl>
    <w:p>
      <w:pPr>
        <w:spacing w:after="120" w:before="0"/>
      </w:pPr>
    </w:p>
    <w:p>
      <w:pPr>
        <w:pStyle w:val="Heading1"/>
        <w:pageBreakBefore/>
      </w:pPr>
      <w:r>
        <w:t xml:space="preserve">5. 캠퍼스 및 시설</w:t>
      </w:r>
    </w:p>
    <w:p>
      <w:pPr>
        <w:keepNext w:val="false"/>
        <w:spacing w:after="120" w:before="0" w:lineRule="auto" w:line="264"/>
        <w:jc w:val="both"/>
      </w:pPr>
      <w:r>
        <w:rPr>
          <w:rFonts w:ascii="Arial" w:cs="Arial" w:eastAsia="Malgun Gothic" w:hAnsi="Arial"/>
          <w:color w:val="0D1B2E"/>
          <w:sz w:val="24"/>
          <w:szCs w:val="24"/>
        </w:rPr>
        <w:t xml:space="preserve">이 장은 공시보고서의 시설 수치를 학교가 리플릿과 웹사이트에 공개한 사진과 대조합니다. 각 항목군에 사진 증빙을 붙였으며, 사진이 없는 항목은 5.7절에 명시했습니다.</w:t>
      </w:r>
    </w:p>
    <w:tbl>
      <w:tblPr>
        <w:tblW w:type="dxa" w:w="9068"/>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7"/>
      </w:tblGrid>
      <w:tr>
        <w:trPr>
          <w:cantSplit/>
        </w:trPr>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Arial" w:cs="Arial" w:eastAsia="Malgun Gothic" w:hAnsi="Arial"/>
                <w:b/>
                <w:bCs/>
                <w:color w:val="0F2A4D"/>
                <w:sz w:val="32"/>
                <w:szCs w:val="32"/>
              </w:rPr>
              <w:t xml:space="preserve">71,854 m²</w:t>
            </w:r>
          </w:p>
          <w:p>
            <w:pPr>
              <w:spacing w:after="0" w:before="0" w:lineRule="auto" w:line="240"/>
            </w:pPr>
            <w:r>
              <w:rPr>
                <w:rFonts w:ascii="Arial" w:cs="Arial" w:eastAsia="Malgun Gothic" w:hAnsi="Arial"/>
                <w:color w:val="435066"/>
                <w:sz w:val="18"/>
                <w:szCs w:val="18"/>
              </w:rPr>
              <w:t xml:space="preserve">깟라이 본교 부지(전체 부지의 96.8%)</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Arial" w:cs="Arial" w:eastAsia="Malgun Gothic" w:hAnsi="Arial"/>
                <w:b/>
                <w:bCs/>
                <w:color w:val="0F2A4D"/>
                <w:sz w:val="32"/>
                <w:szCs w:val="32"/>
              </w:rPr>
              <w:t xml:space="preserve">22,369 m²</w:t>
            </w:r>
          </w:p>
          <w:p>
            <w:pPr>
              <w:spacing w:after="0" w:before="0" w:lineRule="auto" w:line="240"/>
            </w:pPr>
            <w:r>
              <w:rPr>
                <w:rFonts w:ascii="Arial" w:cs="Arial" w:eastAsia="Malgun Gothic" w:hAnsi="Arial"/>
                <w:color w:val="435066"/>
                <w:sz w:val="18"/>
                <w:szCs w:val="18"/>
              </w:rPr>
              <w:t xml:space="preserve">19개 항목군의 건축 연면적 합계</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Arial" w:cs="Arial" w:eastAsia="Malgun Gothic" w:hAnsi="Arial"/>
                <w:b/>
                <w:bCs/>
                <w:color w:val="0F2A4D"/>
                <w:sz w:val="32"/>
                <w:szCs w:val="32"/>
              </w:rPr>
              <w:t xml:space="preserve">약 300석</w:t>
            </w:r>
          </w:p>
          <w:p>
            <w:pPr>
              <w:spacing w:after="0" w:before="0" w:lineRule="auto" w:line="240"/>
            </w:pPr>
            <w:r>
              <w:rPr>
                <w:rFonts w:ascii="Arial" w:cs="Arial" w:eastAsia="Malgun Gothic" w:hAnsi="Arial"/>
                <w:color w:val="435066"/>
                <w:sz w:val="18"/>
                <w:szCs w:val="18"/>
              </w:rPr>
              <w:t xml:space="preserve">도서관; 1,454종 4,822권</w:t>
            </w:r>
          </w:p>
        </w:tc>
        <w:tc>
          <w:tcPr>
            <w:tcW w:type="dxa" w:w="2267"/>
            <w:tcBorders>
              <w:top w:val="single" w:color="1E5AA8" w:sz="18"/>
              <w:left w:val="single" w:color="FFFFFF" w:sz="12"/>
              <w:bottom w:val="single" w:color="FFFFFF" w:sz="12"/>
              <w:right w:val="single" w:color="FFFFFF" w:sz="12"/>
            </w:tcBorders>
            <w:shd w:fill="F2F5FA" w:color="auto" w:val="clear"/>
            <w:tcMar>
              <w:top w:type="dxa" w:w="110"/>
              <w:left w:type="dxa" w:w="120"/>
              <w:bottom w:type="dxa" w:w="100"/>
              <w:right w:type="dxa" w:w="100"/>
            </w:tcMar>
          </w:tcPr>
          <w:p>
            <w:pPr>
              <w:spacing w:after="20" w:before="0" w:lineRule="auto" w:line="240"/>
            </w:pPr>
            <w:r>
              <w:rPr>
                <w:rFonts w:ascii="Arial" w:cs="Arial" w:eastAsia="Malgun Gothic" w:hAnsi="Arial"/>
                <w:b/>
                <w:bCs/>
                <w:color w:val="0F2A4D"/>
                <w:sz w:val="32"/>
                <w:szCs w:val="32"/>
              </w:rPr>
              <w:t xml:space="preserve">30실</w:t>
            </w:r>
          </w:p>
          <w:p>
            <w:pPr>
              <w:spacing w:after="0" w:before="0" w:lineRule="auto" w:line="240"/>
            </w:pPr>
            <w:r>
              <w:rPr>
                <w:rFonts w:ascii="Arial" w:cs="Arial" w:eastAsia="Malgun Gothic" w:hAnsi="Arial"/>
                <w:color w:val="435066"/>
                <w:sz w:val="18"/>
                <w:szCs w:val="18"/>
              </w:rPr>
              <w:t xml:space="preserve">기숙사, 연면적 1,536.69 m²</w:t>
            </w:r>
          </w:p>
        </w:tc>
      </w:tr>
    </w:tbl>
    <w:p>
      <w:pPr>
        <w:spacing w:after="120" w:before="0"/>
      </w:pPr>
    </w:p>
    <w:p>
      <w:pPr>
        <w:pStyle w:val="Heading2"/>
        <w:keepNext/>
      </w:pPr>
      <w:r>
        <w:t xml:space="preserve">5.1 캠퍼스 및 부지</w:t>
      </w:r>
    </w:p>
    <w:p>
      <w:pPr>
        <w:keepNext w:val="false"/>
        <w:spacing w:after="120" w:before="0" w:lineRule="auto" w:line="264"/>
        <w:jc w:val="both"/>
      </w:pPr>
      <w:r>
        <w:rPr>
          <w:rFonts w:ascii="Arial" w:cs="Arial" w:eastAsia="Malgun Gothic" w:hAnsi="Arial"/>
          <w:color w:val="0D1B2E"/>
          <w:sz w:val="24"/>
          <w:szCs w:val="24"/>
        </w:rPr>
        <w:t xml:space="preserve">학교는 3개 캠퍼스, 총 부지 74,241.8 m²(7.42 ha)를 사용합니다. 깟라이 동의 본교가 96.8%를 차지하며 나머지 두 캠퍼스는 소규모입니다.</w:t>
      </w:r>
    </w:p>
    <w:p>
      <w:pPr>
        <w:keepNext/>
        <w:spacing w:after="80" w:before="120" w:lineRule="auto" w:line="240"/>
        <w:jc w:val="center"/>
      </w:pPr>
      <w:r>
        <w:rPr>
          <w:rFonts w:ascii="Arial" w:cs="Arial" w:eastAsia="Malgun Gothic" w:hAnsi="Arial"/>
          <w:b/>
          <w:bCs/>
          <w:color w:val="0F2A4D"/>
          <w:sz w:val="22"/>
          <w:szCs w:val="22"/>
        </w:rPr>
        <w:t xml:space="preserve">표 5.1. </w:t>
      </w:r>
      <w:r>
        <w:rPr>
          <w:rFonts w:ascii="Arial" w:cs="Arial" w:eastAsia="Malgun Gothic" w:hAnsi="Arial"/>
          <w:i w:val="false"/>
          <w:iCs w:val="false"/>
          <w:color w:val="0D1B2E"/>
          <w:sz w:val="22"/>
          <w:szCs w:val="22"/>
        </w:rPr>
        <w:t xml:space="preserve">캠퍼스별 부지 면적</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61"/>
        <w:gridCol w:w="1644"/>
        <w:gridCol w:w="1814"/>
        <w:gridCol w:w="4252"/>
      </w:tblGrid>
      <w:tr>
        <w:trPr>
          <w:cantSplit/>
          <w:tblHeader/>
        </w:trPr>
        <w:tc>
          <w:tcPr>
            <w:tcW w:type="dxa" w:w="13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캠퍼스</w:t>
            </w:r>
          </w:p>
        </w:tc>
        <w:tc>
          <w:tcPr>
            <w:tcW w:type="dxa" w:w="164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부지 면적(m²)</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용도</w:t>
            </w:r>
          </w:p>
        </w:tc>
        <w:tc>
          <w:tcPr>
            <w:tcW w:type="dxa" w:w="425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주소</w:t>
            </w:r>
          </w:p>
        </w:tc>
      </w:tr>
      <w:tr>
        <w:trPr>
          <w:cantSplit/>
        </w:trPr>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제1캠퍼스(본교)</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71,854.00</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교육, 연구, 서비스</w:t>
            </w:r>
          </w:p>
        </w:tc>
        <w:tc>
          <w:tcPr>
            <w:tcW w:type="dxa" w:w="425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Số 2 Đường số 60CL, Khu phố 9, phường Cát Lái, TP.HCM</w:t>
            </w:r>
          </w:p>
        </w:tc>
      </w:tr>
      <w:tr>
        <w:trPr>
          <w:cantSplit/>
        </w:trPr>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제2캠퍼스</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1,310.40</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교육, 서비스</w:t>
            </w:r>
          </w:p>
        </w:tc>
        <w:tc>
          <w:tcPr>
            <w:tcW w:type="dxa" w:w="425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Số 11 Đường số 35, Khu phố 3, phường Cát Lái, TP.HCM</w:t>
            </w:r>
          </w:p>
        </w:tc>
      </w:tr>
      <w:tr>
        <w:trPr>
          <w:cantSplit/>
        </w:trPr>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제3캠퍼스</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1,077.40</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교육</w:t>
            </w:r>
          </w:p>
        </w:tc>
        <w:tc>
          <w:tcPr>
            <w:tcW w:type="dxa" w:w="425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Số 311–319 Đường Gia Phú, phường Bình Tiên, TP.HCM</w:t>
            </w:r>
          </w:p>
        </w:tc>
      </w:tr>
      <w:tr>
        <w:trPr>
          <w:cantSplit/>
        </w:trPr>
        <w:tc>
          <w:tcPr>
            <w:tcW w:type="dxa" w:w="1361"/>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합계</w:t>
            </w:r>
          </w:p>
        </w:tc>
        <w:tc>
          <w:tcPr>
            <w:tcW w:type="dxa" w:w="1644"/>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b/>
                <w:bCs/>
                <w:color w:val="0D1B2E"/>
                <w:sz w:val="20"/>
                <w:szCs w:val="20"/>
              </w:rPr>
              <w:t xml:space="preserve">74,241.80</w:t>
            </w:r>
          </w:p>
        </w:tc>
        <w:tc>
          <w:tcPr>
            <w:tcW w:type="dxa" w:w="1814"/>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left"/>
            </w:pPr>
          </w:p>
        </w:tc>
        <w:tc>
          <w:tcPr>
            <w:tcW w:type="dxa" w:w="4252"/>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left"/>
            </w:pP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III.4a.</w:t>
      </w:r>
    </w:p>
    <w:p>
      <w:pPr>
        <w:keepNext w:val="false"/>
        <w:spacing w:after="120" w:before="0" w:lineRule="auto" w:line="264"/>
        <w:jc w:val="both"/>
      </w:pPr>
      <w:r>
        <w:rPr>
          <w:rFonts w:ascii="Arial" w:cs="Arial" w:eastAsia="Malgun Gothic" w:hAnsi="Arial"/>
          <w:color w:val="0D1B2E"/>
          <w:sz w:val="24"/>
          <w:szCs w:val="24"/>
        </w:rPr>
        <w:t xml:space="preserve">UMT 자료마다 면적이 다릅니다. 정보보안 전공 개설안(2025.11)은 부지를 80,092 m²로, 웹사이트는 “8+ha 그린 캠퍼스”로 소개하는 반면, 공시보고서는 본교 부지를 71,854 m²로 기재합니다. 본 보고서는 공시보고서 수치를 사용합니다. 개설안과의 차이 8,238 m²는 토지사용권 증서로 확인해야 합니다.</w:t>
      </w:r>
    </w:p>
    <w:p>
      <w:pPr>
        <w:keepNext/>
        <w:spacing w:after="40" w:before="120"/>
        <w:jc w:val="center"/>
      </w:pPr>
      <w:r>
        <w:drawing>
          <wp:inline distT="0" distB="0" distL="0" distR="0">
            <wp:extent cx="5762625"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114550"/>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5.1. </w:t>
      </w:r>
      <w:r>
        <w:rPr>
          <w:rFonts w:ascii="Arial" w:cs="Arial" w:eastAsia="Malgun Gothic" w:hAnsi="Arial"/>
          <w:i w:val="false"/>
          <w:iCs w:val="false"/>
          <w:color w:val="0D1B2E"/>
          <w:sz w:val="22"/>
          <w:szCs w:val="22"/>
        </w:rPr>
        <w:t xml:space="preserve">2026학년도 리플릿에 실린 깟라이 캠퍼스 마스터플랜 조감도</w:t>
      </w:r>
    </w:p>
    <w:p>
      <w:pPr>
        <w:spacing w:after="200" w:before="20" w:lineRule="auto" w:line="240"/>
        <w:jc w:val="left"/>
      </w:pPr>
      <w:r>
        <w:rPr>
          <w:rFonts w:ascii="Arial" w:cs="Arial" w:eastAsia="Malgun Gothic" w:hAnsi="Arial"/>
          <w:i w:val="false"/>
          <w:iCs w:val="false"/>
          <w:color w:val="435066"/>
          <w:sz w:val="19"/>
          <w:szCs w:val="19"/>
        </w:rPr>
        <w:t xml:space="preserve">출처: 리플릿 5쪽. 주의: 이 이미지는 조감도(렌더링)입니다. 그림 속 건물, 수영장, 경기장이 실제로 건설되었음을 증명하지 않으며, 공시 연면적 22,369 m²(5.2절)로 볼 때 현황은 이 계획보다 작습니다.</w:t>
      </w: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cantSplit/>
        </w:trPr>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790700" cy="1343025"/>
                          </a:xfrm>
                          <a:prstGeom prst="rect">
                            <a:avLst/>
                          </a:prstGeom>
                        </pic:spPr>
                      </pic:pic>
                    </a:graphicData>
                  </a:graphic>
                </wp:inline>
              </w:drawing>
            </w:r>
          </w:p>
          <w:p>
            <w:pPr>
              <w:keepNext w:val="false"/>
              <w:spacing w:after="0" w:before="0" w:lineRule="auto" w:line="240"/>
              <w:jc w:val="center"/>
            </w:pPr>
            <w:r>
              <w:rPr>
                <w:rFonts w:ascii="Arial" w:cs="Arial" w:eastAsia="Malgun Gothic" w:hAnsi="Arial"/>
                <w:color w:val="435066"/>
                <w:sz w:val="18"/>
                <w:szCs w:val="18"/>
              </w:rPr>
              <w:t xml:space="preserve">(a) 교내 도로, 주차장·UMT Sports Hub·U-Mart 안내판</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790700" cy="1343025"/>
                          </a:xfrm>
                          <a:prstGeom prst="rect">
                            <a:avLst/>
                          </a:prstGeom>
                        </pic:spPr>
                      </pic:pic>
                    </a:graphicData>
                  </a:graphic>
                </wp:inline>
              </w:drawing>
            </w:r>
          </w:p>
          <w:p>
            <w:pPr>
              <w:keepNext w:val="false"/>
              <w:spacing w:after="0" w:before="0" w:lineRule="auto" w:line="240"/>
              <w:jc w:val="center"/>
            </w:pPr>
            <w:r>
              <w:rPr>
                <w:rFonts w:ascii="Arial" w:cs="Arial" w:eastAsia="Malgun Gothic" w:hAnsi="Arial"/>
                <w:color w:val="435066"/>
                <w:sz w:val="18"/>
                <w:szCs w:val="18"/>
              </w:rPr>
              <w:t xml:space="preserve">(b) 조경이 보이는 유리 회랑</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90700" cy="1343025"/>
                          </a:xfrm>
                          <a:prstGeom prst="rect">
                            <a:avLst/>
                          </a:prstGeom>
                        </pic:spPr>
                      </pic:pic>
                    </a:graphicData>
                  </a:graphic>
                </wp:inline>
              </w:drawing>
            </w:r>
          </w:p>
          <w:p>
            <w:pPr>
              <w:keepNext w:val="false"/>
              <w:spacing w:after="0" w:before="0" w:lineRule="auto" w:line="240"/>
              <w:jc w:val="center"/>
            </w:pPr>
            <w:r>
              <w:rPr>
                <w:rFonts w:ascii="Arial" w:cs="Arial" w:eastAsia="Malgun Gothic" w:hAnsi="Arial"/>
                <w:color w:val="435066"/>
                <w:sz w:val="18"/>
                <w:szCs w:val="18"/>
              </w:rPr>
              <w:t xml:space="preserve">(c) 건물을 따라 난 보행로</w:t>
            </w:r>
          </w:p>
        </w:tc>
      </w:tr>
      <w:tr>
        <w:trPr>
          <w:cantSplit/>
        </w:trPr>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(d) 건물 앞 잔디 계단</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(e) 공용 라운지</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(f) 캠퍼스의 학생들</w:t>
            </w:r>
          </w:p>
        </w:tc>
      </w:tr>
    </w:tbl>
    <w:p>
      <w:pPr>
        <w:keepNext/>
        <w:spacing w:after="40" w:before="60" w:lineRule="auto" w:line="240"/>
        <w:jc w:val="center"/>
      </w:pPr>
      <w:r>
        <w:rPr>
          <w:rFonts w:ascii="Arial" w:cs="Arial" w:eastAsia="Malgun Gothic" w:hAnsi="Arial"/>
          <w:b/>
          <w:bCs/>
          <w:color w:val="0F2A4D"/>
          <w:sz w:val="22"/>
          <w:szCs w:val="22"/>
        </w:rPr>
        <w:t xml:space="preserve">그림 5.2. </w:t>
      </w:r>
      <w:r>
        <w:rPr>
          <w:rFonts w:ascii="Arial" w:cs="Arial" w:eastAsia="Malgun Gothic" w:hAnsi="Arial"/>
          <w:i w:val="false"/>
          <w:iCs w:val="false"/>
          <w:color w:val="0D1B2E"/>
          <w:sz w:val="22"/>
          <w:szCs w:val="22"/>
        </w:rPr>
        <w:t xml:space="preserve">깟라이 캠퍼스 전경 및 공용 공간</w:t>
      </w:r>
    </w:p>
    <w:p>
      <w:pPr>
        <w:spacing w:after="200" w:before="20" w:lineRule="auto" w:line="240"/>
        <w:jc w:val="left"/>
      </w:pPr>
      <w:r>
        <w:rPr>
          <w:rFonts w:ascii="Arial" w:cs="Arial" w:eastAsia="Malgun Gothic" w:hAnsi="Arial"/>
          <w:i w:val="false"/>
          <w:iCs w:val="false"/>
          <w:color w:val="435066"/>
          <w:sz w:val="19"/>
          <w:szCs w:val="19"/>
        </w:rPr>
        <w:t xml:space="preserve">출처: 리플릿 2쪽(f), 5쪽(a–e).</w:t>
      </w:r>
    </w:p>
    <w:p>
      <w:pPr>
        <w:pStyle w:val="Heading2"/>
        <w:keepNext/>
      </w:pPr>
      <w:r>
        <w:t xml:space="preserve">5.2 건물 및 연면적</w:t>
      </w:r>
    </w:p>
    <w:p>
      <w:pPr>
        <w:keepNext w:val="false"/>
        <w:spacing w:after="120" w:before="0" w:lineRule="auto" w:line="264"/>
        <w:jc w:val="both"/>
      </w:pPr>
      <w:r>
        <w:rPr>
          <w:rFonts w:ascii="Arial" w:cs="Arial" w:eastAsia="Malgun Gothic" w:hAnsi="Arial"/>
          <w:color w:val="0D1B2E"/>
          <w:sz w:val="24"/>
          <w:szCs w:val="24"/>
        </w:rPr>
        <w:t xml:space="preserve">공시보고서는 19개 항목군, 건축 연면적 합계 22,369.03 m²를 기재합니다. 학교는 16개 항목군에 교육용 사용계수 0.70을 적용해 교육용 연면적 13,684.54 m²를 산출했으며, 기숙사·식당·편의시설은 교육용 연면적에 포함하지 않았습니다.</w:t>
      </w:r>
    </w:p>
    <w:p>
      <w:pPr>
        <w:keepNext/>
        <w:spacing w:after="80" w:before="120" w:lineRule="auto" w:line="240"/>
        <w:jc w:val="center"/>
      </w:pPr>
      <w:r>
        <w:rPr>
          <w:rFonts w:ascii="Arial" w:cs="Arial" w:eastAsia="Malgun Gothic" w:hAnsi="Arial"/>
          <w:b/>
          <w:bCs/>
          <w:color w:val="0F2A4D"/>
          <w:sz w:val="22"/>
          <w:szCs w:val="22"/>
        </w:rPr>
        <w:t xml:space="preserve">표 5.2. </w:t>
      </w:r>
      <w:r>
        <w:rPr>
          <w:rFonts w:ascii="Arial" w:cs="Arial" w:eastAsia="Malgun Gothic" w:hAnsi="Arial"/>
          <w:i w:val="false"/>
          <w:iCs w:val="false"/>
          <w:color w:val="0D1B2E"/>
          <w:sz w:val="22"/>
          <w:szCs w:val="22"/>
        </w:rPr>
        <w:t xml:space="preserve">시설 항목 및 연면적</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42"/>
        <w:gridCol w:w="907"/>
        <w:gridCol w:w="1644"/>
        <w:gridCol w:w="1134"/>
        <w:gridCol w:w="1644"/>
      </w:tblGrid>
      <w:tr>
        <w:trPr>
          <w:cantSplit/>
          <w:tblHeader/>
        </w:trPr>
        <w:tc>
          <w:tcPr>
            <w:tcW w:type="dxa" w:w="374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항목</w:t>
            </w:r>
          </w:p>
        </w:tc>
        <w:tc>
          <w:tcPr>
            <w:tcW w:type="dxa" w:w="90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19"/>
                <w:szCs w:val="19"/>
              </w:rPr>
              <w:t xml:space="preserve">수량</w:t>
            </w:r>
          </w:p>
        </w:tc>
        <w:tc>
          <w:tcPr>
            <w:tcW w:type="dxa" w:w="164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19"/>
                <w:szCs w:val="19"/>
              </w:rPr>
              <w:t xml:space="preserve">건축 연면적(m²)</w:t>
            </w:r>
          </w:p>
        </w:tc>
        <w:tc>
          <w:tcPr>
            <w:tcW w:type="dxa" w:w="113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19"/>
                <w:szCs w:val="19"/>
              </w:rPr>
              <w:t xml:space="preserve">사용계수</w:t>
            </w:r>
          </w:p>
        </w:tc>
        <w:tc>
          <w:tcPr>
            <w:tcW w:type="dxa" w:w="164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19"/>
                <w:szCs w:val="19"/>
              </w:rPr>
              <w:t xml:space="preserve">교육용 연면적(m²)</w:t>
            </w:r>
          </w:p>
        </w:tc>
      </w:tr>
      <w:tr>
        <w:trPr>
          <w:cantSplit/>
        </w:trPr>
        <w:tc>
          <w:tcPr>
            <w:tcW w:type="dxa" w:w="9071"/>
            <w:gridSpan w:val="5"/>
            <w:tcBorders>
              <w:top w:val="single" w:color="B7C1D0" w:sz="4"/>
              <w:left w:val="single" w:color="B7C1D0" w:sz="4"/>
              <w:bottom w:val="single" w:color="B7C1D0" w:sz="4"/>
              <w:right w:val="single" w:color="B7C1D0" w:sz="4"/>
            </w:tcBorders>
            <w:shd w:fill="EAF1FB" w:color="auto" w:val="clear"/>
            <w:tcMar>
              <w:top w:type="dxa" w:w="50"/>
              <w:left w:type="dxa" w:w="90"/>
              <w:bottom w:type="dxa" w:w="50"/>
              <w:right w:type="dxa" w:w="90"/>
            </w:tcMar>
          </w:tcPr>
          <w:p>
            <w:pPr>
              <w:keepNext w:val="false"/>
              <w:spacing w:after="0" w:before="0" w:lineRule="auto" w:line="240"/>
              <w:jc w:val="left"/>
            </w:pPr>
            <w:r>
              <w:rPr>
                <w:rFonts w:ascii="Arial" w:cs="Arial" w:eastAsia="Malgun Gothic" w:hAnsi="Arial"/>
                <w:b/>
                <w:bCs/>
                <w:color w:val="0F2A4D"/>
                <w:sz w:val="19"/>
                <w:szCs w:val="19"/>
              </w:rPr>
              <w:t xml:space="preserve">교육·학습</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100석 미만 일반 강의실</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46</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2,773.24</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1,941.27</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100석 이상 대형강의실</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3</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492.00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344.40</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실습실·실험실</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974.10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681.87</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도서관</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485.50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339.85</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250석 이상 강당(책상 구비)</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2</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1,125.00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787.50</w:t>
            </w:r>
          </w:p>
        </w:tc>
      </w:tr>
      <w:tr>
        <w:trPr>
          <w:cantSplit/>
        </w:trPr>
        <w:tc>
          <w:tcPr>
            <w:tcW w:type="dxa" w:w="9071"/>
            <w:gridSpan w:val="5"/>
            <w:tcBorders>
              <w:top w:val="single" w:color="B7C1D0" w:sz="4"/>
              <w:left w:val="single" w:color="B7C1D0" w:sz="4"/>
              <w:bottom w:val="single" w:color="B7C1D0" w:sz="4"/>
              <w:right w:val="single" w:color="B7C1D0" w:sz="4"/>
            </w:tcBorders>
            <w:shd w:fill="EAF1FB" w:color="auto" w:val="clear"/>
            <w:tcMar>
              <w:top w:type="dxa" w:w="50"/>
              <w:left w:type="dxa" w:w="90"/>
              <w:bottom w:type="dxa" w:w="50"/>
              <w:right w:type="dxa" w:w="90"/>
            </w:tcMar>
          </w:tcPr>
          <w:p>
            <w:pPr>
              <w:keepNext w:val="false"/>
              <w:spacing w:after="0" w:before="0" w:lineRule="auto" w:line="240"/>
              <w:jc w:val="left"/>
            </w:pPr>
            <w:r>
              <w:rPr>
                <w:rFonts w:ascii="Arial" w:cs="Arial" w:eastAsia="Malgun Gothic" w:hAnsi="Arial"/>
                <w:b/>
                <w:bCs/>
                <w:color w:val="0F2A4D"/>
                <w:sz w:val="19"/>
                <w:szCs w:val="19"/>
              </w:rPr>
              <w:t xml:space="preserve">업무·행정·지원</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대학이사회실</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2</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31.00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21.70</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총장단 집무실</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8</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143.20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100.24</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교수·부교수 연구실</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2</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31.50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22.05</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학부·학과 사무실</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696.40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487.48</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교원 회의실</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6</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169.30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118.51</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단체(노조·청년단) 사무실</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70.00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49.00</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기타 행정부서실</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17</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930.10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651.07</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보건실</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2</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24.00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16.80</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화장실</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41</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484.80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339.36</w:t>
            </w:r>
          </w:p>
        </w:tc>
      </w:tr>
      <w:tr>
        <w:trPr>
          <w:cantSplit/>
        </w:trPr>
        <w:tc>
          <w:tcPr>
            <w:tcW w:type="dxa" w:w="9071"/>
            <w:gridSpan w:val="5"/>
            <w:tcBorders>
              <w:top w:val="single" w:color="B7C1D0" w:sz="4"/>
              <w:left w:val="single" w:color="B7C1D0" w:sz="4"/>
              <w:bottom w:val="single" w:color="B7C1D0" w:sz="4"/>
              <w:right w:val="single" w:color="B7C1D0" w:sz="4"/>
            </w:tcBorders>
            <w:shd w:fill="EAF1FB" w:color="auto" w:val="clear"/>
            <w:tcMar>
              <w:top w:type="dxa" w:w="50"/>
              <w:left w:type="dxa" w:w="90"/>
              <w:bottom w:type="dxa" w:w="50"/>
              <w:right w:type="dxa" w:w="90"/>
            </w:tcMar>
          </w:tcPr>
          <w:p>
            <w:pPr>
              <w:keepNext w:val="false"/>
              <w:spacing w:after="0" w:before="0" w:lineRule="auto" w:line="240"/>
              <w:jc w:val="left"/>
            </w:pPr>
            <w:r>
              <w:rPr>
                <w:rFonts w:ascii="Arial" w:cs="Arial" w:eastAsia="Malgun Gothic" w:hAnsi="Arial"/>
                <w:b/>
                <w:bCs/>
                <w:color w:val="0F2A4D"/>
                <w:sz w:val="19"/>
                <w:szCs w:val="19"/>
              </w:rPr>
              <w:t xml:space="preserve">실외 체육시설·주차장</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주차장</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3</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4,629.20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3,240.44</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실외 체육시설</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3</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6,490.00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0.70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4,543.00</w:t>
            </w:r>
          </w:p>
        </w:tc>
      </w:tr>
      <w:tr>
        <w:trPr>
          <w:cantSplit/>
        </w:trPr>
        <w:tc>
          <w:tcPr>
            <w:tcW w:type="dxa" w:w="9071"/>
            <w:gridSpan w:val="5"/>
            <w:tcBorders>
              <w:top w:val="single" w:color="B7C1D0" w:sz="4"/>
              <w:left w:val="single" w:color="B7C1D0" w:sz="4"/>
              <w:bottom w:val="single" w:color="B7C1D0" w:sz="4"/>
              <w:right w:val="single" w:color="B7C1D0" w:sz="4"/>
            </w:tcBorders>
            <w:shd w:fill="EAF1FB" w:color="auto" w:val="clear"/>
            <w:tcMar>
              <w:top w:type="dxa" w:w="50"/>
              <w:left w:type="dxa" w:w="90"/>
              <w:bottom w:type="dxa" w:w="50"/>
              <w:right w:type="dxa" w:w="90"/>
            </w:tcMar>
          </w:tcPr>
          <w:p>
            <w:pPr>
              <w:keepNext w:val="false"/>
              <w:spacing w:after="0" w:before="0" w:lineRule="auto" w:line="240"/>
              <w:jc w:val="left"/>
            </w:pPr>
            <w:r>
              <w:rPr>
                <w:rFonts w:ascii="Arial" w:cs="Arial" w:eastAsia="Malgun Gothic" w:hAnsi="Arial"/>
                <w:b/>
                <w:bCs/>
                <w:color w:val="0F2A4D"/>
                <w:sz w:val="19"/>
                <w:szCs w:val="19"/>
              </w:rPr>
              <w:t xml:space="preserve">기숙사·식당·편의시설(교육용 연면적에서 제외)</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학생 기숙사</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30</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1,536.69</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구내식당</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2</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1,069.50</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편의시설(매점, 소매점 등)</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3</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213.50</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9"/>
                <w:szCs w:val="19"/>
              </w:rPr>
              <w:t xml:space="preserve">—</w:t>
            </w:r>
          </w:p>
        </w:tc>
      </w:tr>
      <w:tr>
        <w:trPr>
          <w:cantSplit/>
        </w:trPr>
        <w:tc>
          <w:tcPr>
            <w:tcW w:type="dxa" w:w="3742"/>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19"/>
                <w:szCs w:val="19"/>
              </w:rPr>
              <w:t xml:space="preserve">합계</w:t>
            </w:r>
          </w:p>
        </w:tc>
        <w:tc>
          <w:tcPr>
            <w:tcW w:type="dxa" w:w="907"/>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center"/>
            </w:pPr>
          </w:p>
        </w:tc>
        <w:tc>
          <w:tcPr>
            <w:tcW w:type="dxa" w:w="1644"/>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b/>
                <w:bCs/>
                <w:color w:val="0D1B2E"/>
                <w:sz w:val="19"/>
                <w:szCs w:val="19"/>
              </w:rPr>
              <w:t xml:space="preserve">22,369.03</w:t>
            </w:r>
          </w:p>
        </w:tc>
        <w:tc>
          <w:tcPr>
            <w:tcW w:type="dxa" w:w="1134"/>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center"/>
            </w:pPr>
          </w:p>
        </w:tc>
        <w:tc>
          <w:tcPr>
            <w:tcW w:type="dxa" w:w="1644"/>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b/>
                <w:bCs/>
                <w:color w:val="0D1B2E"/>
                <w:sz w:val="19"/>
                <w:szCs w:val="19"/>
              </w:rPr>
              <w:t xml:space="preserve">13,684.54</w:t>
            </w: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III.4b; 항목군 분류는 컨설턴트.</w:t>
      </w:r>
    </w:p>
    <w:p>
      <w:pPr>
        <w:keepNext/>
        <w:spacing w:after="40" w:before="120"/>
        <w:jc w:val="center"/>
      </w:pPr>
      <w:r>
        <w:drawing>
          <wp:inline distT="0" distB="0" distL="0" distR="0">
            <wp:extent cx="5762625"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4524375"/>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5.3. </w:t>
      </w:r>
      <w:r>
        <w:rPr>
          <w:rFonts w:ascii="Arial" w:cs="Arial" w:eastAsia="Malgun Gothic" w:hAnsi="Arial"/>
          <w:i w:val="false"/>
          <w:iCs w:val="false"/>
          <w:color w:val="0D1B2E"/>
          <w:sz w:val="22"/>
          <w:szCs w:val="22"/>
        </w:rPr>
        <w:t xml:space="preserve">항목별 건축 연면적 구성</w:t>
      </w:r>
    </w:p>
    <w:p>
      <w:pPr>
        <w:spacing w:after="200" w:before="20" w:lineRule="auto" w:line="240"/>
        <w:jc w:val="left"/>
      </w:pPr>
      <w:r>
        <w:rPr>
          <w:rFonts w:ascii="Arial" w:cs="Arial" w:eastAsia="Malgun Gothic" w:hAnsi="Arial"/>
          <w:i w:val="false"/>
          <w:iCs w:val="false"/>
          <w:color w:val="435066"/>
          <w:sz w:val="19"/>
          <w:szCs w:val="19"/>
        </w:rPr>
        <w:t xml:space="preserve">출처: 공시보고서 III.4b를 바탕으로 컨설턴트 작성.</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Arial" w:cs="Arial" w:eastAsia="Malgun Gothic" w:hAnsi="Arial"/>
                <w:b/>
                <w:bCs/>
                <w:color w:val="0F2A4D"/>
                <w:sz w:val="22"/>
                <w:szCs w:val="22"/>
              </w:rPr>
              <w:t xml:space="preserve">분석 · 연면적</w:t>
            </w:r>
          </w:p>
          <w:p>
            <w:pPr>
              <w:spacing w:after="60" w:before="0" w:lineRule="auto" w:line="253"/>
              <w:ind w:left="300" w:hanging="220"/>
              <w:jc w:val="both"/>
            </w:pPr>
            <w:r>
              <w:rPr>
                <w:rFonts w:ascii="Arial" w:cs="Arial" w:eastAsia="Malgun Gothic" w:hAnsi="Arial"/>
                <w:color w:val="0D1B2E"/>
                <w:sz w:val="22"/>
                <w:szCs w:val="22"/>
              </w:rPr>
              <w:t xml:space="preserve">• 실외 체육시설과 주차장이 11,119.2 m²로, 공시 연면적의 49.7%, 교육용 연면적의 56.9%(7,783.44/13,684.54 m²)를 차지합니다.</w:t>
            </w:r>
          </w:p>
          <w:p>
            <w:pPr>
              <w:spacing w:after="60" w:before="0" w:lineRule="auto" w:line="253"/>
              <w:ind w:left="300" w:hanging="220"/>
              <w:jc w:val="both"/>
            </w:pPr>
            <w:r>
              <w:rPr>
                <w:rFonts w:ascii="Arial" w:cs="Arial" w:eastAsia="Malgun Gothic" w:hAnsi="Arial"/>
                <w:color w:val="0D1B2E"/>
                <w:sz w:val="22"/>
                <w:szCs w:val="22"/>
              </w:rPr>
              <w:t xml:space="preserve">• 이 두 항목을 빼면 교육용 연면적은 5,901.10 m², 학생 1인당 8.1 m²(727명 기준)로 여전히 기준 2.8 m²를 웃돕니다.</w:t>
            </w:r>
          </w:p>
          <w:p>
            <w:pPr>
              <w:spacing w:after="60" w:before="0" w:lineRule="auto" w:line="253"/>
              <w:ind w:left="300" w:hanging="220"/>
              <w:jc w:val="both"/>
            </w:pPr>
            <w:r>
              <w:rPr>
                <w:rFonts w:ascii="Arial" w:cs="Arial" w:eastAsia="Malgun Gothic" w:hAnsi="Arial"/>
                <w:color w:val="0D1B2E"/>
                <w:sz w:val="22"/>
                <w:szCs w:val="22"/>
              </w:rPr>
              <w:t xml:space="preserve">• 실외 체육시설을 제외한 건축 연면적은 15,879 m²로, 컴퓨터과학 전공 개설안에 기재된 창조관 연면적 16,884 m²에 가깝습니다. 실제 건물 동수는 준공 서류로 확인해야 합니다.</w:t>
            </w:r>
          </w:p>
        </w:tc>
      </w:tr>
    </w:tbl>
    <w:p>
      <w:pPr>
        <w:spacing w:after="120" w:before="0"/>
      </w:pPr>
    </w:p>
    <w:p>
      <w:pPr>
        <w:pStyle w:val="Heading2"/>
        <w:keepNext/>
      </w:pPr>
      <w:r>
        <w:t xml:space="preserve">5.3 교육 공간</w:t>
      </w:r>
    </w:p>
    <w:p>
      <w:pPr>
        <w:keepNext w:val="false"/>
        <w:spacing w:after="120" w:before="0" w:lineRule="auto" w:line="264"/>
        <w:jc w:val="both"/>
      </w:pPr>
      <w:r>
        <w:rPr>
          <w:rFonts w:ascii="Arial" w:cs="Arial" w:eastAsia="Malgun Gothic" w:hAnsi="Arial"/>
          <w:color w:val="0D1B2E"/>
          <w:sz w:val="24"/>
          <w:szCs w:val="24"/>
        </w:rPr>
        <w:t xml:space="preserve">학교에는 100석 미만 강의실 46실, 100석 이상 대형강의실 3실, 250석 이상 강당 2실, 실습실·실험실 10실이 있습니다. 리플릿은 다목적 강의실, iMac 실습실, 스튜디오를 소개합니다. 공시보고서에 따르면 교과목의 27.81%가 온라인 수업 준비를 마쳤고, 인터넷 속도는 학생 1,000명당 700 Mbps입니다.</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52725" cy="2066925"/>
                          </a:xfrm>
                          <a:prstGeom prst="rect">
                            <a:avLst/>
                          </a:prstGeom>
                        </pic:spPr>
                      </pic:pic>
                    </a:graphicData>
                  </a:graphic>
                </wp:inline>
              </w:drawing>
            </w:r>
          </w:p>
          <w:p>
            <w:pPr>
              <w:keepNext w:val="false"/>
              <w:spacing w:after="0" w:before="0" w:lineRule="auto" w:line="240"/>
              <w:jc w:val="center"/>
            </w:pPr>
            <w:r>
              <w:rPr>
                <w:rFonts w:ascii="Arial" w:cs="Arial" w:eastAsia="Malgun Gothic" w:hAnsi="Arial"/>
                <w:color w:val="435066"/>
                <w:sz w:val="18"/>
                <w:szCs w:val="18"/>
              </w:rPr>
              <w:t xml:space="preserve">(a) 모둠형 책상의 다목적 강의실</w:t>
            </w:r>
          </w:p>
        </w:tc>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52725" cy="2057400"/>
                          </a:xfrm>
                          <a:prstGeom prst="rect">
                            <a:avLst/>
                          </a:prstGeom>
                        </pic:spPr>
                      </pic:pic>
                    </a:graphicData>
                  </a:graphic>
                </wp:inline>
              </w:drawing>
            </w:r>
          </w:p>
          <w:p>
            <w:pPr>
              <w:keepNext w:val="false"/>
              <w:spacing w:after="0" w:before="0" w:lineRule="auto" w:line="240"/>
              <w:jc w:val="center"/>
            </w:pPr>
            <w:r>
              <w:rPr>
                <w:rFonts w:ascii="Arial" w:cs="Arial" w:eastAsia="Malgun Gothic" w:hAnsi="Arial"/>
                <w:color w:val="435066"/>
                <w:sz w:val="18"/>
                <w:szCs w:val="18"/>
              </w:rPr>
              <w:t xml:space="preserve">(b) iMac 실습실</w:t>
            </w:r>
          </w:p>
        </w:tc>
      </w:tr>
      <w:tr>
        <w:trPr>
          <w:cantSplit/>
        </w:trPr>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52725" cy="2057400"/>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(c) 크로마키 촬영 스튜디오</w:t>
            </w:r>
          </w:p>
        </w:tc>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52725" cy="20669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(d) 컴퓨터실 수업 장면</w:t>
            </w:r>
          </w:p>
        </w:tc>
      </w:tr>
    </w:tbl>
    <w:p>
      <w:pPr>
        <w:keepNext/>
        <w:spacing w:after="40" w:before="60" w:lineRule="auto" w:line="240"/>
        <w:jc w:val="center"/>
      </w:pPr>
      <w:r>
        <w:rPr>
          <w:rFonts w:ascii="Arial" w:cs="Arial" w:eastAsia="Malgun Gothic" w:hAnsi="Arial"/>
          <w:b/>
          <w:bCs/>
          <w:color w:val="0F2A4D"/>
          <w:sz w:val="22"/>
          <w:szCs w:val="22"/>
        </w:rPr>
        <w:t xml:space="preserve">그림 5.4. </w:t>
      </w:r>
      <w:r>
        <w:rPr>
          <w:rFonts w:ascii="Arial" w:cs="Arial" w:eastAsia="Malgun Gothic" w:hAnsi="Arial"/>
          <w:i w:val="false"/>
          <w:iCs w:val="false"/>
          <w:color w:val="0D1B2E"/>
          <w:sz w:val="22"/>
          <w:szCs w:val="22"/>
        </w:rPr>
        <w:t xml:space="preserve">교육 및 실습 공간</w:t>
      </w:r>
    </w:p>
    <w:p>
      <w:pPr>
        <w:spacing w:after="200" w:before="20" w:lineRule="auto" w:line="240"/>
        <w:jc w:val="left"/>
      </w:pPr>
      <w:r>
        <w:rPr>
          <w:rFonts w:ascii="Arial" w:cs="Arial" w:eastAsia="Malgun Gothic" w:hAnsi="Arial"/>
          <w:i w:val="false"/>
          <w:iCs w:val="false"/>
          <w:color w:val="435066"/>
          <w:sz w:val="19"/>
          <w:szCs w:val="19"/>
        </w:rPr>
        <w:t xml:space="preserve">출처: 리플릿 2쪽(a), 5쪽(b–d).</w:t>
      </w:r>
    </w:p>
    <w:p>
      <w:pPr>
        <w:pStyle w:val="Heading2"/>
        <w:keepNext/>
      </w:pPr>
      <w:r>
        <w:t xml:space="preserve">5.4 도서관</w:t>
      </w:r>
    </w:p>
    <w:p>
      <w:pPr>
        <w:keepNext w:val="false"/>
        <w:spacing w:after="120" w:before="0" w:lineRule="auto" w:line="264"/>
        <w:jc w:val="both"/>
      </w:pPr>
      <w:r>
        <w:rPr>
          <w:rFonts w:ascii="Arial" w:cs="Arial" w:eastAsia="Malgun Gothic" w:hAnsi="Arial"/>
          <w:color w:val="0D1B2E"/>
          <w:sz w:val="24"/>
          <w:szCs w:val="24"/>
        </w:rPr>
        <w:t xml:space="preserve">도서관은 북스토어, 메자닌 층 개방 공간, 업무실로 구성되며 열람 공간은 약 300석입니다. 2026년 5월 31일 기준 1,454종 4,822권을 보유하고 있으며, 이 중 교재·전문서는 580종 1,569권입니다. ProQuest Central 데이터베이스를 제공하고, 필리핀 서던레이테주립대학교(SLSU), RMIT 대학교, 달랏대학교와 자원을 공유합니다. 도서관 연면적은 485.5 m²입니다.</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52725" cy="2066925"/>
                          </a:xfrm>
                          <a:prstGeom prst="rect">
                            <a:avLst/>
                          </a:prstGeom>
                        </pic:spPr>
                      </pic:pic>
                    </a:graphicData>
                  </a:graphic>
                </wp:inline>
              </w:drawing>
            </w:r>
          </w:p>
          <w:p>
            <w:pPr>
              <w:keepNext w:val="false"/>
              <w:spacing w:after="0" w:before="0" w:lineRule="auto" w:line="240"/>
              <w:jc w:val="center"/>
            </w:pPr>
            <w:r>
              <w:rPr>
                <w:rFonts w:ascii="Arial" w:cs="Arial" w:eastAsia="Malgun Gothic" w:hAnsi="Arial"/>
                <w:color w:val="435066"/>
                <w:sz w:val="18"/>
                <w:szCs w:val="18"/>
              </w:rPr>
              <w:t xml:space="preserve">(a) 중앙 열람 공간</w:t>
            </w:r>
          </w:p>
        </w:tc>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52725" cy="2066925"/>
                          </a:xfrm>
                          <a:prstGeom prst="rect">
                            <a:avLst/>
                          </a:prstGeom>
                        </pic:spPr>
                      </pic:pic>
                    </a:graphicData>
                  </a:graphic>
                </wp:inline>
              </w:drawing>
            </w:r>
          </w:p>
          <w:p>
            <w:pPr>
              <w:keepNext w:val="false"/>
              <w:spacing w:after="0" w:before="0" w:lineRule="auto" w:line="240"/>
              <w:jc w:val="center"/>
            </w:pPr>
            <w:r>
              <w:rPr>
                <w:rFonts w:ascii="Arial" w:cs="Arial" w:eastAsia="Malgun Gothic" w:hAnsi="Arial"/>
                <w:color w:val="435066"/>
                <w:sz w:val="18"/>
                <w:szCs w:val="18"/>
              </w:rPr>
              <w:t xml:space="preserve">(b) 도서관 입구, UMT Library와 UMT Bookstore</w:t>
            </w:r>
          </w:p>
        </w:tc>
      </w:tr>
      <w:tr>
        <w:trPr>
          <w:cantSplit/>
        </w:trPr>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52725" cy="20669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(c) 서가와 열람 코너</w:t>
            </w:r>
          </w:p>
        </w:tc>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52725"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52725" cy="20669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(d) “Student Community” 계단</w:t>
            </w:r>
          </w:p>
        </w:tc>
      </w:tr>
    </w:tbl>
    <w:p>
      <w:pPr>
        <w:keepNext/>
        <w:spacing w:after="40" w:before="60" w:lineRule="auto" w:line="240"/>
        <w:jc w:val="center"/>
      </w:pPr>
      <w:r>
        <w:rPr>
          <w:rFonts w:ascii="Arial" w:cs="Arial" w:eastAsia="Malgun Gothic" w:hAnsi="Arial"/>
          <w:b/>
          <w:bCs/>
          <w:color w:val="0F2A4D"/>
          <w:sz w:val="22"/>
          <w:szCs w:val="22"/>
        </w:rPr>
        <w:t xml:space="preserve">그림 5.5. </w:t>
      </w:r>
      <w:r>
        <w:rPr>
          <w:rFonts w:ascii="Arial" w:cs="Arial" w:eastAsia="Malgun Gothic" w:hAnsi="Arial"/>
          <w:i w:val="false"/>
          <w:iCs w:val="false"/>
          <w:color w:val="0D1B2E"/>
          <w:sz w:val="22"/>
          <w:szCs w:val="22"/>
        </w:rPr>
        <w:t xml:space="preserve">UMT 도서관</w:t>
      </w:r>
    </w:p>
    <w:p>
      <w:pPr>
        <w:spacing w:after="200" w:before="20" w:lineRule="auto" w:line="240"/>
        <w:jc w:val="left"/>
      </w:pPr>
      <w:r>
        <w:rPr>
          <w:rFonts w:ascii="Arial" w:cs="Arial" w:eastAsia="Malgun Gothic" w:hAnsi="Arial"/>
          <w:i w:val="false"/>
          <w:iCs w:val="false"/>
          <w:color w:val="435066"/>
          <w:sz w:val="19"/>
          <w:szCs w:val="19"/>
        </w:rPr>
        <w:t xml:space="preserve">출처: 리플릿 2쪽(a–c), 5쪽(d).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Arial" w:cs="Arial" w:eastAsia="Malgun Gothic" w:hAnsi="Arial"/>
                <w:b/>
                <w:bCs/>
                <w:color w:val="0F2A4D"/>
                <w:sz w:val="22"/>
                <w:szCs w:val="22"/>
              </w:rPr>
              <w:t xml:space="preserve">분석 · 도서관</w:t>
            </w:r>
          </w:p>
          <w:p>
            <w:pPr>
              <w:spacing w:after="80" w:before="0" w:lineRule="auto" w:line="253"/>
              <w:jc w:val="both"/>
            </w:pPr>
            <w:r>
              <w:rPr>
                <w:rFonts w:ascii="Arial" w:cs="Arial" w:eastAsia="Malgun Gothic" w:hAnsi="Arial"/>
                <w:color w:val="0D1B2E"/>
                <w:sz w:val="22"/>
                <w:szCs w:val="22"/>
              </w:rPr>
              <w:t xml:space="preserve">학교가 공시한 “학생 1인당 장서 수”는 기준치와 같은 5권입니다. 4,822권을 727명으로 나누면 6.6권, 교재·전문서만 계산하면 2.2권입니다. 학생 수가 늘어나면 장서를 그만큼 확충하지 않는 한 이 지표는 기준 아래로 떨어집니다.</w:t>
            </w:r>
          </w:p>
        </w:tc>
      </w:tr>
    </w:tbl>
    <w:p>
      <w:pPr>
        <w:spacing w:after="120" w:before="0"/>
      </w:pPr>
    </w:p>
    <w:p>
      <w:pPr>
        <w:pStyle w:val="Heading2"/>
        <w:keepNext/>
      </w:pPr>
      <w:r>
        <w:t xml:space="preserve">5.5 체육·기숙사·편의시설</w:t>
      </w:r>
    </w:p>
    <w:p>
      <w:pPr>
        <w:keepNext w:val="false"/>
        <w:spacing w:after="120" w:before="0" w:lineRule="auto" w:line="264"/>
        <w:jc w:val="both"/>
      </w:pPr>
      <w:r>
        <w:rPr>
          <w:rFonts w:ascii="Arial" w:cs="Arial" w:eastAsia="Malgun Gothic" w:hAnsi="Arial"/>
          <w:color w:val="0D1B2E"/>
          <w:sz w:val="24"/>
          <w:szCs w:val="24"/>
        </w:rPr>
        <w:t xml:space="preserve">학교에는 실외 체육시설 3곳, 합계 6,490 m²가 있습니다. 리플릿 사진에서는 조명을 갖춘 인조잔디 축구장, “UMT Sports Hub”라는 피클볼장 단지, 헬스장을 볼 수 있습니다. 공시보고서에는 헬스장 항목이 따로 없습니다.</w:t>
      </w: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cantSplit/>
        </w:trPr>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(a) 조명 시설을 갖춘 축구장</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(b) UMT Sports Hub 피클볼장</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(c) 헬스장</w:t>
            </w:r>
          </w:p>
        </w:tc>
      </w:tr>
    </w:tbl>
    <w:p>
      <w:pPr>
        <w:keepNext/>
        <w:spacing w:after="40" w:before="60" w:lineRule="auto" w:line="240"/>
        <w:jc w:val="center"/>
      </w:pPr>
      <w:r>
        <w:rPr>
          <w:rFonts w:ascii="Arial" w:cs="Arial" w:eastAsia="Malgun Gothic" w:hAnsi="Arial"/>
          <w:b/>
          <w:bCs/>
          <w:color w:val="0F2A4D"/>
          <w:sz w:val="22"/>
          <w:szCs w:val="22"/>
        </w:rPr>
        <w:t xml:space="preserve">그림 5.6. </w:t>
      </w:r>
      <w:r>
        <w:rPr>
          <w:rFonts w:ascii="Arial" w:cs="Arial" w:eastAsia="Malgun Gothic" w:hAnsi="Arial"/>
          <w:i w:val="false"/>
          <w:iCs w:val="false"/>
          <w:color w:val="0D1B2E"/>
          <w:sz w:val="22"/>
          <w:szCs w:val="22"/>
        </w:rPr>
        <w:t xml:space="preserve">체육시설</w:t>
      </w:r>
    </w:p>
    <w:p>
      <w:pPr>
        <w:spacing w:after="200" w:before="20" w:lineRule="auto" w:line="240"/>
        <w:jc w:val="left"/>
      </w:pPr>
      <w:r>
        <w:rPr>
          <w:rFonts w:ascii="Arial" w:cs="Arial" w:eastAsia="Malgun Gothic" w:hAnsi="Arial"/>
          <w:i w:val="false"/>
          <w:iCs w:val="false"/>
          <w:color w:val="435066"/>
          <w:sz w:val="19"/>
          <w:szCs w:val="19"/>
        </w:rPr>
        <w:t xml:space="preserve">출처: 리플릿 5쪽.</w:t>
      </w:r>
    </w:p>
    <w:p>
      <w:pPr>
        <w:keepNext w:val="false"/>
        <w:spacing w:after="120" w:before="0" w:lineRule="auto" w:line="264"/>
        <w:jc w:val="both"/>
      </w:pPr>
      <w:r>
        <w:rPr>
          <w:rFonts w:ascii="Arial" w:cs="Arial" w:eastAsia="Malgun Gothic" w:hAnsi="Arial"/>
          <w:color w:val="0D1B2E"/>
          <w:sz w:val="24"/>
          <w:szCs w:val="24"/>
        </w:rPr>
        <w:t xml:space="preserve">주거·생활 시설: 기숙사 30실(연면적 1,536.69 m²), 구내식당 2곳(1,069.5 m²), 편의시설 3곳(213.5 m²), 보건실 2곳(24 m²), 주차장 3곳(4,629.2 m²). 2025년 8월 25일부터 전기버스 154번 노선이 학교와 메트로 타오디엔역을 연결하며, 별도로 통학버스(UMT Bus)를 운행합니다.</w:t>
      </w:r>
    </w:p>
    <w:p>
      <w:pPr>
        <w:pStyle w:val="Heading2"/>
        <w:keepNext/>
      </w:pPr>
      <w:r>
        <w:t xml:space="preserve">5.6 수용 능력 및 시설 기준 충족도</w:t>
      </w:r>
    </w:p>
    <w:p>
      <w:pPr>
        <w:keepNext/>
        <w:spacing w:after="40" w:before="120"/>
        <w:jc w:val="center"/>
      </w:pPr>
      <w:r>
        <w:drawing>
          <wp:inline distT="0" distB="0" distL="0" distR="0">
            <wp:extent cx="51149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14925" cy="2562225"/>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5.7. </w:t>
      </w:r>
      <w:r>
        <w:rPr>
          <w:rFonts w:ascii="Arial" w:cs="Arial" w:eastAsia="Malgun Gothic" w:hAnsi="Arial"/>
          <w:i w:val="false"/>
          <w:iCs w:val="false"/>
          <w:color w:val="0D1B2E"/>
          <w:sz w:val="22"/>
          <w:szCs w:val="22"/>
        </w:rPr>
        <w:t xml:space="preserve">현재 규모 대비 기준상 수용 상한 및 발표 목표</w:t>
      </w:r>
    </w:p>
    <w:p>
      <w:pPr>
        <w:spacing w:after="200" w:before="20" w:lineRule="auto" w:line="240"/>
        <w:jc w:val="left"/>
      </w:pPr>
      <w:r>
        <w:rPr>
          <w:rFonts w:ascii="Arial" w:cs="Arial" w:eastAsia="Malgun Gothic" w:hAnsi="Arial"/>
          <w:i w:val="false"/>
          <w:iCs w:val="false"/>
          <w:color w:val="435066"/>
          <w:sz w:val="19"/>
          <w:szCs w:val="19"/>
        </w:rPr>
        <w:t xml:space="preserve">출처: 공시보고서, 정보보안 전공 개설안, 개교 당시 정부 포털 보도를 바탕으로 컨설턴트 산출. (*) 교육용 연면적 13,684.54 m²에서 주차장과 실외 체육시설을 제외한 5,901.10 m². 학생 1인당 부지 25 m², 연면적 2.8 m² 기준은 고등교육기관 기준 시행규칙.</w:t>
      </w:r>
    </w:p>
    <w:p>
      <w:pPr>
        <w:keepNext/>
        <w:spacing w:after="80" w:before="120" w:lineRule="auto" w:line="240"/>
        <w:jc w:val="center"/>
      </w:pPr>
      <w:r>
        <w:rPr>
          <w:rFonts w:ascii="Arial" w:cs="Arial" w:eastAsia="Malgun Gothic" w:hAnsi="Arial"/>
          <w:b/>
          <w:bCs/>
          <w:color w:val="0F2A4D"/>
          <w:sz w:val="22"/>
          <w:szCs w:val="22"/>
        </w:rPr>
        <w:t xml:space="preserve">표 5.3. </w:t>
      </w:r>
      <w:r>
        <w:rPr>
          <w:rFonts w:ascii="Arial" w:cs="Arial" w:eastAsia="Malgun Gothic" w:hAnsi="Arial"/>
          <w:i w:val="false"/>
          <w:iCs w:val="false"/>
          <w:color w:val="0D1B2E"/>
          <w:sz w:val="22"/>
          <w:szCs w:val="22"/>
        </w:rPr>
        <w:t xml:space="preserve">시설 기준: 공시 수치와 교차 검증</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61"/>
        <w:gridCol w:w="1134"/>
        <w:gridCol w:w="1701"/>
        <w:gridCol w:w="2041"/>
        <w:gridCol w:w="1134"/>
      </w:tblGrid>
      <w:tr>
        <w:trPr>
          <w:cantSplit/>
          <w:tblHeader/>
        </w:trPr>
        <w:tc>
          <w:tcPr>
            <w:tcW w:type="dxa" w:w="30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지표</w:t>
            </w:r>
          </w:p>
        </w:tc>
        <w:tc>
          <w:tcPr>
            <w:tcW w:type="dxa" w:w="113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20"/>
                <w:szCs w:val="20"/>
              </w:rPr>
              <w:t xml:space="preserve">기준</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20"/>
                <w:szCs w:val="20"/>
              </w:rPr>
              <w:t xml:space="preserve">학교 공시</w:t>
            </w:r>
          </w:p>
        </w:tc>
        <w:tc>
          <w:tcPr>
            <w:tcW w:type="dxa" w:w="204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컨설턴트 재계산</w:t>
            </w:r>
          </w:p>
        </w:tc>
        <w:tc>
          <w:tcPr>
            <w:tcW w:type="dxa" w:w="113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평가</w:t>
            </w:r>
          </w:p>
        </w:tc>
      </w:tr>
      <w:tr>
        <w:trPr>
          <w:cantSplit/>
        </w:trPr>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학생 1인당 부지 면적(m²)</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 25</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공란</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74,241.8 ÷ 727 = 102.1</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20"/>
                <w:szCs w:val="20"/>
              </w:rPr>
              <w:t xml:space="preserve">● </w:t>
            </w:r>
            <w:r>
              <w:rPr>
                <w:rFonts w:ascii="Arial" w:cs="Arial" w:eastAsia="Malgun Gothic" w:hAnsi="Arial"/>
                <w:b/>
                <w:bCs/>
                <w:color w:val="006300"/>
                <w:sz w:val="20"/>
                <w:szCs w:val="20"/>
              </w:rPr>
              <w:t xml:space="preserve">충족</w:t>
            </w:r>
          </w:p>
        </w:tc>
      </w:tr>
      <w:tr>
        <w:trPr>
          <w:cantSplit/>
        </w:trPr>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학생 1인당 연면적(m²)</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 2.8</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25.06</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13,684.54 ÷ 727 = 18.8</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20"/>
                <w:szCs w:val="20"/>
              </w:rPr>
              <w:t xml:space="preserve">● </w:t>
            </w:r>
            <w:r>
              <w:rPr>
                <w:rFonts w:ascii="Arial" w:cs="Arial" w:eastAsia="Malgun Gothic" w:hAnsi="Arial"/>
                <w:b/>
                <w:bCs/>
                <w:color w:val="006300"/>
                <w:sz w:val="20"/>
                <w:szCs w:val="20"/>
              </w:rPr>
              <w:t xml:space="preserve">충족</w:t>
            </w:r>
          </w:p>
        </w:tc>
      </w:tr>
      <w:tr>
        <w:trPr>
          <w:cantSplit/>
        </w:trPr>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개인 연구 공간을 가진 교원 비율</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 70%</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98.2%</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20"/>
                <w:szCs w:val="20"/>
              </w:rPr>
              <w:t xml:space="preserve">● </w:t>
            </w:r>
            <w:r>
              <w:rPr>
                <w:rFonts w:ascii="Arial" w:cs="Arial" w:eastAsia="Malgun Gothic" w:hAnsi="Arial"/>
                <w:b/>
                <w:bCs/>
                <w:color w:val="006300"/>
                <w:sz w:val="20"/>
                <w:szCs w:val="20"/>
              </w:rPr>
              <w:t xml:space="preserve">충족</w:t>
            </w:r>
          </w:p>
        </w:tc>
      </w:tr>
      <w:tr>
        <w:trPr>
          <w:cantSplit/>
        </w:trPr>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전공당 도서 종수</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 40</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76.89</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20"/>
                <w:szCs w:val="20"/>
              </w:rPr>
              <w:t xml:space="preserve">● </w:t>
            </w:r>
            <w:r>
              <w:rPr>
                <w:rFonts w:ascii="Arial" w:cs="Arial" w:eastAsia="Malgun Gothic" w:hAnsi="Arial"/>
                <w:b/>
                <w:bCs/>
                <w:color w:val="006300"/>
                <w:sz w:val="20"/>
                <w:szCs w:val="20"/>
              </w:rPr>
              <w:t xml:space="preserve">충족</w:t>
            </w:r>
          </w:p>
        </w:tc>
      </w:tr>
      <w:tr>
        <w:trPr>
          <w:cantSplit/>
        </w:trPr>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학생 1인당 장서 수</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 5</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5</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4,822 ÷ 727 = 6.6</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20"/>
                <w:szCs w:val="20"/>
              </w:rPr>
              <w:t xml:space="preserve">● </w:t>
            </w:r>
            <w:r>
              <w:rPr>
                <w:rFonts w:ascii="Arial" w:cs="Arial" w:eastAsia="Malgun Gothic" w:hAnsi="Arial"/>
                <w:b/>
                <w:bCs/>
                <w:color w:val="8A5A00"/>
                <w:sz w:val="20"/>
                <w:szCs w:val="20"/>
              </w:rPr>
              <w:t xml:space="preserve">기준선 근접</w:t>
            </w:r>
          </w:p>
        </w:tc>
      </w:tr>
      <w:tr>
        <w:trPr>
          <w:cantSplit/>
        </w:trPr>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온라인 수업 준비 교과목 비율</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 10%</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27.81%</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20"/>
                <w:szCs w:val="20"/>
              </w:rPr>
              <w:t xml:space="preserve">● </w:t>
            </w:r>
            <w:r>
              <w:rPr>
                <w:rFonts w:ascii="Arial" w:cs="Arial" w:eastAsia="Malgun Gothic" w:hAnsi="Arial"/>
                <w:b/>
                <w:bCs/>
                <w:color w:val="006300"/>
                <w:sz w:val="20"/>
                <w:szCs w:val="20"/>
              </w:rPr>
              <w:t xml:space="preserve">충족</w:t>
            </w:r>
          </w:p>
        </w:tc>
      </w:tr>
      <w:tr>
        <w:trPr>
          <w:cantSplit/>
        </w:trPr>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학생 1,000명당 인터넷 속도(Mbps)</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center"/>
            </w:pPr>
            <w:r>
              <w:rPr>
                <w:rFonts w:ascii="Arial" w:cs="Arial" w:eastAsia="Malgun Gothic" w:hAnsi="Arial"/>
                <w:color w:val="0D1B2E"/>
                <w:sz w:val="20"/>
                <w:szCs w:val="20"/>
              </w:rPr>
              <w:t xml:space="preserve">≥ 100</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center"/>
            </w:pPr>
            <w:r>
              <w:rPr>
                <w:rFonts w:ascii="Arial" w:cs="Arial" w:eastAsia="Malgun Gothic" w:hAnsi="Arial"/>
                <w:color w:val="0D1B2E"/>
                <w:sz w:val="20"/>
                <w:szCs w:val="20"/>
              </w:rPr>
              <w:t xml:space="preserve">700</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20"/>
                <w:szCs w:val="20"/>
              </w:rPr>
              <w:t xml:space="preserve">● </w:t>
            </w:r>
            <w:r>
              <w:rPr>
                <w:rFonts w:ascii="Arial" w:cs="Arial" w:eastAsia="Malgun Gothic" w:hAnsi="Arial"/>
                <w:b/>
                <w:bCs/>
                <w:color w:val="006300"/>
                <w:sz w:val="20"/>
                <w:szCs w:val="20"/>
              </w:rPr>
              <w:t xml:space="preserve">충족</w:t>
            </w: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III.1; 재계산은 학생 727명 기준. 학교는 지표별 분모를 공개하지 않았으며, 연면적 지표 25.06 m²는 학생 약 546명에 해당합니다.</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Arial" w:cs="Arial" w:eastAsia="Malgun Gothic" w:hAnsi="Arial"/>
                <w:b/>
                <w:bCs/>
                <w:color w:val="0F2A4D"/>
                <w:sz w:val="22"/>
                <w:szCs w:val="22"/>
              </w:rPr>
              <w:t xml:space="preserve">분석 · 수용 능력</w:t>
            </w:r>
          </w:p>
          <w:p>
            <w:pPr>
              <w:spacing w:after="60" w:before="0" w:lineRule="auto" w:line="253"/>
              <w:ind w:left="300" w:hanging="220"/>
              <w:jc w:val="both"/>
            </w:pPr>
            <w:r>
              <w:rPr>
                <w:rFonts w:ascii="Arial" w:cs="Arial" w:eastAsia="Malgun Gothic" w:hAnsi="Arial"/>
                <w:color w:val="0D1B2E"/>
                <w:sz w:val="22"/>
                <w:szCs w:val="22"/>
              </w:rPr>
              <w:t xml:space="preserve">• 가장 강한 제약은 부지입니다: 학생 1인당 25 m² 기준으로 74,241.8 m²는 최대 약 2,970명을 수용합니다. 전공 개설안의 안정 규모 3,200명을 이 기준으로 맞추려면 부지 약 5,760 m²가 더 필요합니다.</w:t>
            </w:r>
          </w:p>
          <w:p>
            <w:pPr>
              <w:spacing w:after="60" w:before="0" w:lineRule="auto" w:line="253"/>
              <w:ind w:left="300" w:hanging="220"/>
              <w:jc w:val="both"/>
            </w:pPr>
            <w:r>
              <w:rPr>
                <w:rFonts w:ascii="Arial" w:cs="Arial" w:eastAsia="Malgun Gothic" w:hAnsi="Arial"/>
                <w:color w:val="0D1B2E"/>
                <w:sz w:val="22"/>
                <w:szCs w:val="22"/>
              </w:rPr>
              <w:t xml:space="preserve">• 교육용 연면적에서 주차장과 실외 체육시설을 빼면, 연면적 기준 상한은 약 2,100명입니다.</w:t>
            </w:r>
          </w:p>
          <w:p>
            <w:pPr>
              <w:spacing w:after="60" w:before="0" w:lineRule="auto" w:line="253"/>
              <w:ind w:left="300" w:hanging="220"/>
              <w:jc w:val="both"/>
            </w:pPr>
            <w:r>
              <w:rPr>
                <w:rFonts w:ascii="Arial" w:cs="Arial" w:eastAsia="Malgun Gothic" w:hAnsi="Arial"/>
                <w:color w:val="0D1B2E"/>
                <w:sz w:val="22"/>
                <w:szCs w:val="22"/>
              </w:rPr>
              <w:t xml:space="preserve">• 현재 727명은 수용 능력의 약 1/4~1/3만 사용하는 수준입니다. 중기적으로 인프라 제약은 없으며, 문제는 입학 수요입니다.</w:t>
            </w:r>
          </w:p>
        </w:tc>
      </w:tr>
    </w:tbl>
    <w:p>
      <w:pPr>
        <w:spacing w:after="120" w:before="0"/>
      </w:pPr>
    </w:p>
    <w:p>
      <w:pPr>
        <w:pStyle w:val="Heading2"/>
        <w:keepNext/>
      </w:pPr>
      <w:r>
        <w:t xml:space="preserve">5.7 사진 증빙의 가치</w:t>
      </w:r>
    </w:p>
    <w:p>
      <w:pPr>
        <w:keepNext w:val="false"/>
        <w:spacing w:after="120" w:before="0" w:lineRule="auto" w:line="264"/>
        <w:jc w:val="both"/>
      </w:pPr>
      <w:r>
        <w:rPr>
          <w:rFonts w:ascii="Arial" w:cs="Arial" w:eastAsia="Malgun Gothic" w:hAnsi="Arial"/>
          <w:color w:val="0D1B2E"/>
          <w:sz w:val="24"/>
          <w:szCs w:val="24"/>
        </w:rPr>
        <w:t xml:space="preserve">아래 표는 각 사진을 공시보고서의 해당 항목과 연결합니다. 기숙사, 구내식당, 대형강의실, 강당, 제2·3캠퍼스는 사진이 없습니다. 현장 실사가 필요한 항목은 17.2절에 정리했습니다.</w:t>
      </w:r>
    </w:p>
    <w:p>
      <w:pPr>
        <w:keepNext/>
        <w:spacing w:after="80" w:before="120" w:lineRule="auto" w:line="240"/>
        <w:jc w:val="center"/>
      </w:pPr>
      <w:r>
        <w:rPr>
          <w:rFonts w:ascii="Arial" w:cs="Arial" w:eastAsia="Malgun Gothic" w:hAnsi="Arial"/>
          <w:b/>
          <w:bCs/>
          <w:color w:val="0F2A4D"/>
          <w:sz w:val="22"/>
          <w:szCs w:val="22"/>
        </w:rPr>
        <w:t xml:space="preserve">표 5.4. </w:t>
      </w:r>
      <w:r>
        <w:rPr>
          <w:rFonts w:ascii="Arial" w:cs="Arial" w:eastAsia="Malgun Gothic" w:hAnsi="Arial"/>
          <w:i w:val="false"/>
          <w:iCs w:val="false"/>
          <w:color w:val="0D1B2E"/>
          <w:sz w:val="22"/>
          <w:szCs w:val="22"/>
        </w:rPr>
        <w:t xml:space="preserve">UMT 공개 사진과 공시보고서 항목 대조</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95"/>
        <w:gridCol w:w="2948"/>
        <w:gridCol w:w="1814"/>
        <w:gridCol w:w="1814"/>
      </w:tblGrid>
      <w:tr>
        <w:trPr>
          <w:cantSplit/>
          <w:tblHeader/>
        </w:trPr>
        <w:tc>
          <w:tcPr>
            <w:tcW w:type="dxa" w:w="249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사진</w:t>
            </w:r>
          </w:p>
        </w:tc>
        <w:tc>
          <w:tcPr>
            <w:tcW w:type="dxa" w:w="294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해당 항목(공시보고서)</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공시 수치</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평가</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도서관(</w:t>
            </w:r>
            <w:r>
              <w:rPr>
                <w:rFonts w:ascii="Arial" w:cs="Arial" w:eastAsia="Malgun Gothic" w:hAnsi="Arial"/>
                <w:color w:val="0D1B2E"/>
                <w:sz w:val="20"/>
                <w:szCs w:val="20"/>
              </w:rPr>
              <w:t xml:space="preserve">그림 5.5</w:t>
            </w:r>
            <w:r>
              <w:rPr>
                <w:rFonts w:ascii="Arial" w:cs="Arial" w:eastAsia="Malgun Gothic" w:hAnsi="Arial"/>
                <w:color w:val="0D1B2E"/>
                <w:sz w:val="20"/>
                <w:szCs w:val="20"/>
              </w:rPr>
              <w:t xml:space="preserve">)</w:t>
            </w:r>
          </w:p>
        </w:tc>
        <w:tc>
          <w:tcPr>
            <w:tcW w:type="dxa" w:w="294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도서관</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1곳; 485.5 m²</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20"/>
                <w:szCs w:val="20"/>
              </w:rPr>
              <w:t xml:space="preserve">● </w:t>
            </w:r>
            <w:r>
              <w:rPr>
                <w:rFonts w:ascii="Arial" w:cs="Arial" w:eastAsia="Malgun Gothic" w:hAnsi="Arial"/>
                <w:b/>
                <w:bCs/>
                <w:color w:val="006300"/>
                <w:sz w:val="20"/>
                <w:szCs w:val="20"/>
              </w:rPr>
              <w:t xml:space="preserve">일치</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다목적 강의실(</w:t>
            </w:r>
            <w:r>
              <w:rPr>
                <w:rFonts w:ascii="Arial" w:cs="Arial" w:eastAsia="Malgun Gothic" w:hAnsi="Arial"/>
                <w:color w:val="0D1B2E"/>
                <w:sz w:val="20"/>
                <w:szCs w:val="20"/>
              </w:rPr>
              <w:t xml:space="preserve">그림 5.4</w:t>
            </w:r>
            <w:r>
              <w:rPr>
                <w:rFonts w:ascii="Arial" w:cs="Arial" w:eastAsia="Malgun Gothic" w:hAnsi="Arial"/>
                <w:color w:val="0D1B2E"/>
                <w:sz w:val="20"/>
                <w:szCs w:val="20"/>
              </w:rPr>
              <w:t xml:space="preserve">의 a)</w:t>
            </w:r>
          </w:p>
        </w:tc>
        <w:tc>
          <w:tcPr>
            <w:tcW w:type="dxa" w:w="294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100석 미만 강의실</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46실; 2,773.24 m²</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20"/>
                <w:szCs w:val="20"/>
              </w:rPr>
              <w:t xml:space="preserve">● </w:t>
            </w:r>
            <w:r>
              <w:rPr>
                <w:rFonts w:ascii="Arial" w:cs="Arial" w:eastAsia="Malgun Gothic" w:hAnsi="Arial"/>
                <w:b/>
                <w:bCs/>
                <w:color w:val="006300"/>
                <w:sz w:val="20"/>
                <w:szCs w:val="20"/>
              </w:rPr>
              <w:t xml:space="preserve">일치</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iMac 실습실, 스튜디오, 컴퓨터실(</w:t>
            </w:r>
            <w:r>
              <w:rPr>
                <w:rFonts w:ascii="Arial" w:cs="Arial" w:eastAsia="Malgun Gothic" w:hAnsi="Arial"/>
                <w:color w:val="0D1B2E"/>
                <w:sz w:val="20"/>
                <w:szCs w:val="20"/>
              </w:rPr>
              <w:t xml:space="preserve">그림 5.4</w:t>
            </w:r>
            <w:r>
              <w:rPr>
                <w:rFonts w:ascii="Arial" w:cs="Arial" w:eastAsia="Malgun Gothic" w:hAnsi="Arial"/>
                <w:color w:val="0D1B2E"/>
                <w:sz w:val="20"/>
                <w:szCs w:val="20"/>
              </w:rPr>
              <w:t xml:space="preserve">의 b–d)</w:t>
            </w:r>
          </w:p>
        </w:tc>
        <w:tc>
          <w:tcPr>
            <w:tcW w:type="dxa" w:w="294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실습실·실험실</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10실; 974.1 m²</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20"/>
                <w:szCs w:val="20"/>
              </w:rPr>
              <w:t xml:space="preserve">● </w:t>
            </w:r>
            <w:r>
              <w:rPr>
                <w:rFonts w:ascii="Arial" w:cs="Arial" w:eastAsia="Malgun Gothic" w:hAnsi="Arial"/>
                <w:b/>
                <w:bCs/>
                <w:color w:val="8A5A00"/>
                <w:sz w:val="20"/>
                <w:szCs w:val="20"/>
              </w:rPr>
              <w:t xml:space="preserve">분류 확인 필요</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축구장, 피클볼장(</w:t>
            </w:r>
            <w:r>
              <w:rPr>
                <w:rFonts w:ascii="Arial" w:cs="Arial" w:eastAsia="Malgun Gothic" w:hAnsi="Arial"/>
                <w:color w:val="0D1B2E"/>
                <w:sz w:val="20"/>
                <w:szCs w:val="20"/>
              </w:rPr>
              <w:t xml:space="preserve">그림 5.6</w:t>
            </w:r>
            <w:r>
              <w:rPr>
                <w:rFonts w:ascii="Arial" w:cs="Arial" w:eastAsia="Malgun Gothic" w:hAnsi="Arial"/>
                <w:color w:val="0D1B2E"/>
                <w:sz w:val="20"/>
                <w:szCs w:val="20"/>
              </w:rPr>
              <w:t xml:space="preserve">의 a–b)</w:t>
            </w:r>
          </w:p>
        </w:tc>
        <w:tc>
          <w:tcPr>
            <w:tcW w:type="dxa" w:w="294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실외 체육시설</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3곳; 6,490 m²</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20"/>
                <w:szCs w:val="20"/>
              </w:rPr>
              <w:t xml:space="preserve">● </w:t>
            </w:r>
            <w:r>
              <w:rPr>
                <w:rFonts w:ascii="Arial" w:cs="Arial" w:eastAsia="Malgun Gothic" w:hAnsi="Arial"/>
                <w:b/>
                <w:bCs/>
                <w:color w:val="006300"/>
                <w:sz w:val="20"/>
                <w:szCs w:val="20"/>
              </w:rPr>
              <w:t xml:space="preserve">일치</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헬스장(</w:t>
            </w:r>
            <w:r>
              <w:rPr>
                <w:rFonts w:ascii="Arial" w:cs="Arial" w:eastAsia="Malgun Gothic" w:hAnsi="Arial"/>
                <w:color w:val="0D1B2E"/>
                <w:sz w:val="20"/>
                <w:szCs w:val="20"/>
              </w:rPr>
              <w:t xml:space="preserve">그림 5.6</w:t>
            </w:r>
            <w:r>
              <w:rPr>
                <w:rFonts w:ascii="Arial" w:cs="Arial" w:eastAsia="Malgun Gothic" w:hAnsi="Arial"/>
                <w:color w:val="0D1B2E"/>
                <w:sz w:val="20"/>
                <w:szCs w:val="20"/>
              </w:rPr>
              <w:t xml:space="preserve">의 c)</w:t>
            </w:r>
          </w:p>
        </w:tc>
        <w:tc>
          <w:tcPr>
            <w:tcW w:type="dxa" w:w="294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별도 항목 없음</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20"/>
                <w:szCs w:val="20"/>
              </w:rPr>
              <w:t xml:space="preserve">● </w:t>
            </w:r>
            <w:r>
              <w:rPr>
                <w:rFonts w:ascii="Arial" w:cs="Arial" w:eastAsia="Malgun Gothic" w:hAnsi="Arial"/>
                <w:b/>
                <w:bCs/>
                <w:color w:val="8A5A00"/>
                <w:sz w:val="20"/>
                <w:szCs w:val="20"/>
              </w:rPr>
              <w:t xml:space="preserve">항목 불명확</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조경, 보행로(</w:t>
            </w:r>
            <w:r>
              <w:rPr>
                <w:rFonts w:ascii="Arial" w:cs="Arial" w:eastAsia="Malgun Gothic" w:hAnsi="Arial"/>
                <w:color w:val="0D1B2E"/>
                <w:sz w:val="20"/>
                <w:szCs w:val="20"/>
              </w:rPr>
              <w:t xml:space="preserve">그림 5.2</w:t>
            </w:r>
            <w:r>
              <w:rPr>
                <w:rFonts w:ascii="Arial" w:cs="Arial" w:eastAsia="Malgun Gothic" w:hAnsi="Arial"/>
                <w:color w:val="0D1B2E"/>
                <w:sz w:val="20"/>
                <w:szCs w:val="20"/>
              </w:rPr>
              <w:t xml:space="preserve">)</w:t>
            </w:r>
          </w:p>
        </w:tc>
        <w:tc>
          <w:tcPr>
            <w:tcW w:type="dxa" w:w="294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본교 부지</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71,854 m²</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20"/>
                <w:szCs w:val="20"/>
              </w:rPr>
              <w:t xml:space="preserve">● </w:t>
            </w:r>
            <w:r>
              <w:rPr>
                <w:rFonts w:ascii="Arial" w:cs="Arial" w:eastAsia="Malgun Gothic" w:hAnsi="Arial"/>
                <w:b/>
                <w:bCs/>
                <w:color w:val="006300"/>
                <w:sz w:val="20"/>
                <w:szCs w:val="20"/>
              </w:rPr>
              <w:t xml:space="preserve">일치</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마스터플랜 조감도(</w:t>
            </w:r>
            <w:r>
              <w:rPr>
                <w:rFonts w:ascii="Arial" w:cs="Arial" w:eastAsia="Malgun Gothic" w:hAnsi="Arial"/>
                <w:color w:val="0D1B2E"/>
                <w:sz w:val="20"/>
                <w:szCs w:val="20"/>
              </w:rPr>
              <w:t xml:space="preserve">그림 5.1</w:t>
            </w:r>
            <w:r>
              <w:rPr>
                <w:rFonts w:ascii="Arial" w:cs="Arial" w:eastAsia="Malgun Gothic" w:hAnsi="Arial"/>
                <w:color w:val="0D1B2E"/>
                <w:sz w:val="20"/>
                <w:szCs w:val="20"/>
              </w:rPr>
              <w:t xml:space="preserve">)</w:t>
            </w:r>
          </w:p>
        </w:tc>
        <w:tc>
          <w:tcPr>
            <w:tcW w:type="dxa" w:w="294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현황과 무관</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20"/>
                <w:szCs w:val="20"/>
              </w:rPr>
              <w:t xml:space="preserve">● </w:t>
            </w:r>
            <w:r>
              <w:rPr>
                <w:rFonts w:ascii="Arial" w:cs="Arial" w:eastAsia="Malgun Gothic" w:hAnsi="Arial"/>
                <w:b/>
                <w:bCs/>
                <w:color w:val="B42318"/>
                <w:sz w:val="20"/>
                <w:szCs w:val="20"/>
              </w:rPr>
              <w:t xml:space="preserve">조감도(렌더)</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기숙사, 구내식당, 대형강의실, 강당</w:t>
            </w:r>
          </w:p>
        </w:tc>
        <w:tc>
          <w:tcPr>
            <w:tcW w:type="dxa" w:w="294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공시보고서에 있음</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표 5.2</w:t>
            </w:r>
            <w:r>
              <w:rPr>
                <w:rFonts w:ascii="Arial" w:cs="Arial" w:eastAsia="Malgun Gothic" w:hAnsi="Arial"/>
                <w:color w:val="0D1B2E"/>
                <w:sz w:val="20"/>
                <w:szCs w:val="20"/>
              </w:rPr>
              <w:t xml:space="preserve"> 참조</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1E5AA8"/>
                <w:sz w:val="20"/>
                <w:szCs w:val="20"/>
              </w:rPr>
              <w:t xml:space="preserve">● </w:t>
            </w:r>
            <w:r>
              <w:rPr>
                <w:rFonts w:ascii="Arial" w:cs="Arial" w:eastAsia="Malgun Gothic" w:hAnsi="Arial"/>
                <w:b/>
                <w:bCs/>
                <w:color w:val="1E5AA8"/>
                <w:sz w:val="20"/>
                <w:szCs w:val="20"/>
              </w:rPr>
              <w:t xml:space="preserve">사진 없음</w:t>
            </w:r>
          </w:p>
        </w:tc>
      </w:tr>
    </w:tbl>
    <w:p>
      <w:pPr>
        <w:spacing w:after="200" w:before="20" w:lineRule="auto" w:line="240"/>
        <w:jc w:val="left"/>
      </w:pPr>
      <w:r>
        <w:rPr>
          <w:rFonts w:ascii="Arial" w:cs="Arial" w:eastAsia="Malgun Gothic" w:hAnsi="Arial"/>
          <w:i w:val="false"/>
          <w:iCs w:val="false"/>
          <w:color w:val="435066"/>
          <w:sz w:val="19"/>
          <w:szCs w:val="19"/>
        </w:rPr>
        <w:t xml:space="preserve">출처: 컨설턴트 대조.</w:t>
      </w:r>
    </w:p>
    <w:p>
      <w:pPr>
        <w:pStyle w:val="Heading1"/>
        <w:pageBreakBefore/>
      </w:pPr>
      <w:r>
        <w:t xml:space="preserve">6. 교육 과정</w:t>
      </w:r>
    </w:p>
    <w:p>
      <w:pPr>
        <w:pStyle w:val="Heading2"/>
        <w:keepNext/>
      </w:pPr>
      <w:r>
        <w:t xml:space="preserve">6.1 전공 목록 및 전공별 규모</w:t>
      </w:r>
    </w:p>
    <w:p>
      <w:pPr>
        <w:keepNext w:val="false"/>
        <w:spacing w:after="120" w:before="0" w:lineRule="auto" w:line="264"/>
        <w:jc w:val="both"/>
      </w:pPr>
      <w:r>
        <w:rPr>
          <w:rFonts w:ascii="Arial" w:cs="Arial" w:eastAsia="Malgun Gothic" w:hAnsi="Arial"/>
          <w:color w:val="0D1B2E"/>
          <w:sz w:val="24"/>
          <w:szCs w:val="24"/>
        </w:rPr>
        <w:t xml:space="preserve">교육훈련부는 UMT에 학사 전공 11개의 개설을 허가했습니다: 2021년 6개, 2022년 2개, 2023년 1개, 2026년 2개. 공시보고서의 “운영 중인 전공” 목록에는 7개가 있습니다. 2026학년도에는 10개 전공, 22개 세부전공을 모집하며 부동산학은 모집 목록에서 빠졌습니다.</w:t>
      </w:r>
    </w:p>
    <w:p>
      <w:pPr>
        <w:keepNext/>
        <w:spacing w:after="80" w:before="120" w:lineRule="auto" w:line="240"/>
        <w:jc w:val="center"/>
      </w:pPr>
      <w:r>
        <w:rPr>
          <w:rFonts w:ascii="Arial" w:cs="Arial" w:eastAsia="Malgun Gothic" w:hAnsi="Arial"/>
          <w:b/>
          <w:bCs/>
          <w:color w:val="0F2A4D"/>
          <w:sz w:val="22"/>
          <w:szCs w:val="22"/>
        </w:rPr>
        <w:t xml:space="preserve">표 6.1. </w:t>
      </w:r>
      <w:r>
        <w:rPr>
          <w:rFonts w:ascii="Arial" w:cs="Arial" w:eastAsia="Malgun Gothic" w:hAnsi="Arial"/>
          <w:i w:val="false"/>
          <w:iCs w:val="false"/>
          <w:color w:val="0D1B2E"/>
          <w:sz w:val="22"/>
          <w:szCs w:val="22"/>
        </w:rPr>
        <w:t xml:space="preserve">전공, 재학생 규모, 2026학년도 세부전공</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28"/>
        <w:gridCol w:w="1020"/>
        <w:gridCol w:w="1304"/>
        <w:gridCol w:w="737"/>
        <w:gridCol w:w="850"/>
        <w:gridCol w:w="907"/>
        <w:gridCol w:w="2325"/>
      </w:tblGrid>
      <w:tr>
        <w:trPr>
          <w:cantSplit/>
          <w:tblHeader/>
        </w:trPr>
        <w:tc>
          <w:tcPr>
            <w:tcW w:type="dxa" w:w="192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8"/>
                <w:szCs w:val="18"/>
              </w:rPr>
              <w:t xml:space="preserve">전공</w:t>
            </w:r>
          </w:p>
        </w:tc>
        <w:tc>
          <w:tcPr>
            <w:tcW w:type="dxa" w:w="1020"/>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18"/>
                <w:szCs w:val="18"/>
              </w:rPr>
              <w:t xml:space="preserve">전공 코드</w:t>
            </w:r>
          </w:p>
        </w:tc>
        <w:tc>
          <w:tcPr>
            <w:tcW w:type="dxa" w:w="130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8"/>
                <w:szCs w:val="18"/>
              </w:rPr>
              <w:t xml:space="preserve">소속 학부</w:t>
            </w:r>
          </w:p>
        </w:tc>
        <w:tc>
          <w:tcPr>
            <w:tcW w:type="dxa" w:w="73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18"/>
                <w:szCs w:val="18"/>
              </w:rPr>
              <w:t xml:space="preserve">개설 연도</w:t>
            </w:r>
          </w:p>
        </w:tc>
        <w:tc>
          <w:tcPr>
            <w:tcW w:type="dxa" w:w="850"/>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18"/>
                <w:szCs w:val="18"/>
              </w:rPr>
              <w:t xml:space="preserve">재학생</w:t>
            </w:r>
          </w:p>
        </w:tc>
        <w:tc>
          <w:tcPr>
            <w:tcW w:type="dxa" w:w="90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18"/>
                <w:szCs w:val="18"/>
              </w:rPr>
              <w:t xml:space="preserve">2025년 입학</w:t>
            </w:r>
          </w:p>
        </w:tc>
        <w:tc>
          <w:tcPr>
            <w:tcW w:type="dxa" w:w="232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8"/>
                <w:szCs w:val="18"/>
              </w:rPr>
              <w:t xml:space="preserve">2026 세부전공(리플릿)</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정보기술(IT)</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7480201</w:t>
            </w:r>
          </w:p>
        </w:tc>
        <w:tc>
          <w:tcPr>
            <w:tcW w:type="dxa" w:w="130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기술</w:t>
            </w:r>
          </w:p>
        </w:tc>
        <w:tc>
          <w:tcPr>
            <w:tcW w:type="dxa" w:w="73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2021</w:t>
            </w:r>
          </w:p>
        </w:tc>
        <w:tc>
          <w:tcPr>
            <w:tcW w:type="dxa" w:w="85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200 (+1)</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62 (+1)</w:t>
            </w:r>
          </w:p>
        </w:tc>
        <w:tc>
          <w:tcPr>
            <w:tcW w:type="dxa" w:w="232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소프트웨어공학; 데이터과학; 정보시스템·응용소프트웨어</w:t>
            </w:r>
          </w:p>
        </w:tc>
      </w:tr>
      <w:tr>
        <w:trPr>
          <w:cantSplit/>
        </w:trPr>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컴퓨터과학</w:t>
            </w:r>
          </w:p>
        </w:tc>
        <w:tc>
          <w:tcPr>
            <w:tcW w:type="dxa" w:w="102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7480101</w:t>
            </w:r>
          </w:p>
        </w:tc>
        <w:tc>
          <w:tcPr>
            <w:tcW w:type="dxa" w:w="130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기술</w:t>
            </w:r>
          </w:p>
        </w:tc>
        <w:tc>
          <w:tcPr>
            <w:tcW w:type="dxa" w:w="73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2026</w:t>
            </w:r>
          </w:p>
        </w:tc>
        <w:tc>
          <w:tcPr>
            <w:tcW w:type="dxa" w:w="85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0</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0</w:t>
            </w:r>
          </w:p>
        </w:tc>
        <w:tc>
          <w:tcPr>
            <w:tcW w:type="dxa" w:w="232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인공지능*; 빅데이터 분석*</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정보보안</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7480202</w:t>
            </w:r>
          </w:p>
        </w:tc>
        <w:tc>
          <w:tcPr>
            <w:tcW w:type="dxa" w:w="130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기술</w:t>
            </w:r>
          </w:p>
        </w:tc>
        <w:tc>
          <w:tcPr>
            <w:tcW w:type="dxa" w:w="73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2026</w:t>
            </w:r>
          </w:p>
        </w:tc>
        <w:tc>
          <w:tcPr>
            <w:tcW w:type="dxa" w:w="85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0</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0</w:t>
            </w:r>
          </w:p>
        </w:tc>
        <w:tc>
          <w:tcPr>
            <w:tcW w:type="dxa" w:w="232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사이버보안*; 디지털금융 정보보안*</w:t>
            </w:r>
          </w:p>
        </w:tc>
      </w:tr>
      <w:tr>
        <w:trPr>
          <w:cantSplit/>
        </w:trPr>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경영학</w:t>
            </w:r>
          </w:p>
        </w:tc>
        <w:tc>
          <w:tcPr>
            <w:tcW w:type="dxa" w:w="102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7340101</w:t>
            </w:r>
          </w:p>
        </w:tc>
        <w:tc>
          <w:tcPr>
            <w:tcW w:type="dxa" w:w="130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경영</w:t>
            </w:r>
          </w:p>
        </w:tc>
        <w:tc>
          <w:tcPr>
            <w:tcW w:type="dxa" w:w="73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2021</w:t>
            </w:r>
          </w:p>
        </w:tc>
        <w:tc>
          <w:tcPr>
            <w:tcW w:type="dxa" w:w="85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52</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22</w:t>
            </w:r>
          </w:p>
        </w:tc>
        <w:tc>
          <w:tcPr>
            <w:tcW w:type="dxa" w:w="232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경영관리; 디지털 비즈니스</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마케팅</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7340115</w:t>
            </w:r>
          </w:p>
        </w:tc>
        <w:tc>
          <w:tcPr>
            <w:tcW w:type="dxa" w:w="130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경영</w:t>
            </w:r>
          </w:p>
        </w:tc>
        <w:tc>
          <w:tcPr>
            <w:tcW w:type="dxa" w:w="73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2021</w:t>
            </w:r>
          </w:p>
        </w:tc>
        <w:tc>
          <w:tcPr>
            <w:tcW w:type="dxa" w:w="85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68</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31</w:t>
            </w:r>
          </w:p>
        </w:tc>
        <w:tc>
          <w:tcPr>
            <w:tcW w:type="dxa" w:w="232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디지털 마케팅; 브랜드 전략관리</w:t>
            </w:r>
          </w:p>
        </w:tc>
      </w:tr>
      <w:tr>
        <w:trPr>
          <w:cantSplit/>
        </w:trPr>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국제경영</w:t>
            </w:r>
          </w:p>
        </w:tc>
        <w:tc>
          <w:tcPr>
            <w:tcW w:type="dxa" w:w="102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7340120</w:t>
            </w:r>
          </w:p>
        </w:tc>
        <w:tc>
          <w:tcPr>
            <w:tcW w:type="dxa" w:w="130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경영</w:t>
            </w:r>
          </w:p>
        </w:tc>
        <w:tc>
          <w:tcPr>
            <w:tcW w:type="dxa" w:w="73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2021</w:t>
            </w:r>
          </w:p>
        </w:tc>
        <w:tc>
          <w:tcPr>
            <w:tcW w:type="dxa" w:w="85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32</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18</w:t>
            </w:r>
          </w:p>
        </w:tc>
        <w:tc>
          <w:tcPr>
            <w:tcW w:type="dxa" w:w="232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국제무역</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물류·공급망관리</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7510605</w:t>
            </w:r>
          </w:p>
        </w:tc>
        <w:tc>
          <w:tcPr>
            <w:tcW w:type="dxa" w:w="130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경영</w:t>
            </w:r>
          </w:p>
        </w:tc>
        <w:tc>
          <w:tcPr>
            <w:tcW w:type="dxa" w:w="73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2023</w:t>
            </w:r>
          </w:p>
        </w:tc>
        <w:tc>
          <w:tcPr>
            <w:tcW w:type="dxa" w:w="85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209</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139</w:t>
            </w:r>
          </w:p>
        </w:tc>
        <w:tc>
          <w:tcPr>
            <w:tcW w:type="dxa" w:w="232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항만·창고관리; 수출입관리; 복합운송 물류*</w:t>
            </w:r>
          </w:p>
        </w:tc>
      </w:tr>
      <w:tr>
        <w:trPr>
          <w:cantSplit/>
        </w:trPr>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멀티미디어커뮤니케이션</w:t>
            </w:r>
          </w:p>
        </w:tc>
        <w:tc>
          <w:tcPr>
            <w:tcW w:type="dxa" w:w="102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7320104</w:t>
            </w:r>
          </w:p>
        </w:tc>
        <w:tc>
          <w:tcPr>
            <w:tcW w:type="dxa" w:w="130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미디어·응용예술</w:t>
            </w:r>
          </w:p>
        </w:tc>
        <w:tc>
          <w:tcPr>
            <w:tcW w:type="dxa" w:w="73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2022</w:t>
            </w:r>
          </w:p>
        </w:tc>
        <w:tc>
          <w:tcPr>
            <w:tcW w:type="dxa" w:w="85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119</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50</w:t>
            </w:r>
          </w:p>
        </w:tc>
        <w:tc>
          <w:tcPr>
            <w:tcW w:type="dxa" w:w="232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PR; 미디어 콘텐츠 제작관리; 미디어 이벤트 기획·운영*</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그래픽디자인</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7210403</w:t>
            </w:r>
          </w:p>
        </w:tc>
        <w:tc>
          <w:tcPr>
            <w:tcW w:type="dxa" w:w="130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미디어·응용예술</w:t>
            </w:r>
          </w:p>
        </w:tc>
        <w:tc>
          <w:tcPr>
            <w:tcW w:type="dxa" w:w="73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2021</w:t>
            </w:r>
          </w:p>
        </w:tc>
        <w:tc>
          <w:tcPr>
            <w:tcW w:type="dxa" w:w="85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24</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13</w:t>
            </w:r>
          </w:p>
        </w:tc>
        <w:tc>
          <w:tcPr>
            <w:tcW w:type="dxa" w:w="232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시각커뮤니케이션디자인; 조형예술</w:t>
            </w:r>
          </w:p>
        </w:tc>
      </w:tr>
      <w:tr>
        <w:trPr>
          <w:cantSplit/>
        </w:trPr>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스포츠경영</w:t>
            </w:r>
          </w:p>
        </w:tc>
        <w:tc>
          <w:tcPr>
            <w:tcW w:type="dxa" w:w="102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7810301</w:t>
            </w:r>
          </w:p>
        </w:tc>
        <w:tc>
          <w:tcPr>
            <w:tcW w:type="dxa" w:w="130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미기재</w:t>
            </w:r>
          </w:p>
        </w:tc>
        <w:tc>
          <w:tcPr>
            <w:tcW w:type="dxa" w:w="73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2022</w:t>
            </w:r>
          </w:p>
        </w:tc>
        <w:tc>
          <w:tcPr>
            <w:tcW w:type="dxa" w:w="85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22</w:t>
            </w:r>
          </w:p>
        </w:tc>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0</w:t>
            </w:r>
          </w:p>
        </w:tc>
        <w:tc>
          <w:tcPr>
            <w:tcW w:type="dxa" w:w="232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스포츠·피트니스 경영; 스포츠 비즈니스</w:t>
            </w:r>
          </w:p>
        </w:tc>
      </w:tr>
      <w:tr>
        <w:trPr>
          <w:cantSplit/>
        </w:trPr>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부동산학</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7340116</w:t>
            </w:r>
          </w:p>
        </w:tc>
        <w:tc>
          <w:tcPr>
            <w:tcW w:type="dxa" w:w="130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미기재</w:t>
            </w:r>
          </w:p>
        </w:tc>
        <w:tc>
          <w:tcPr>
            <w:tcW w:type="dxa" w:w="73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8"/>
                <w:szCs w:val="18"/>
              </w:rPr>
              <w:t xml:space="preserve">2021</w:t>
            </w:r>
          </w:p>
        </w:tc>
        <w:tc>
          <w:tcPr>
            <w:tcW w:type="dxa" w:w="85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0</w:t>
            </w:r>
          </w:p>
        </w:tc>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18"/>
                <w:szCs w:val="18"/>
              </w:rPr>
              <w:t xml:space="preserve">0</w:t>
            </w:r>
          </w:p>
        </w:tc>
        <w:tc>
          <w:tcPr>
            <w:tcW w:type="dxa" w:w="232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8"/>
                <w:szCs w:val="18"/>
              </w:rPr>
              <w:t xml:space="preserve">2026년 모집 없음</w:t>
            </w:r>
          </w:p>
        </w:tc>
      </w:tr>
      <w:tr>
        <w:trPr>
          <w:cantSplit/>
        </w:trPr>
        <w:tc>
          <w:tcPr>
            <w:tcW w:type="dxa" w:w="1928"/>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18"/>
                <w:szCs w:val="18"/>
              </w:rPr>
              <w:t xml:space="preserve">합계</w:t>
            </w:r>
          </w:p>
        </w:tc>
        <w:tc>
          <w:tcPr>
            <w:tcW w:type="dxa" w:w="1020"/>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center"/>
            </w:pPr>
          </w:p>
        </w:tc>
        <w:tc>
          <w:tcPr>
            <w:tcW w:type="dxa" w:w="1304"/>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left"/>
            </w:pPr>
          </w:p>
        </w:tc>
        <w:tc>
          <w:tcPr>
            <w:tcW w:type="dxa" w:w="737"/>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center"/>
            </w:pPr>
          </w:p>
        </w:tc>
        <w:tc>
          <w:tcPr>
            <w:tcW w:type="dxa" w:w="850"/>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b/>
                <w:bCs/>
                <w:color w:val="0D1B2E"/>
                <w:sz w:val="18"/>
                <w:szCs w:val="18"/>
              </w:rPr>
              <w:t xml:space="preserve">727</w:t>
            </w:r>
          </w:p>
        </w:tc>
        <w:tc>
          <w:tcPr>
            <w:tcW w:type="dxa" w:w="907"/>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b/>
                <w:bCs/>
                <w:color w:val="0D1B2E"/>
                <w:sz w:val="18"/>
                <w:szCs w:val="18"/>
              </w:rPr>
              <w:t xml:space="preserve">336</w:t>
            </w:r>
          </w:p>
        </w:tc>
        <w:tc>
          <w:tcPr>
            <w:tcW w:type="dxa" w:w="2325"/>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left"/>
            </w:pP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I.5, III.2a, IV.2a; 세부전공은 리플릿 3쪽. 재학생은 2026.5.31 기준; (+1)은 전문대 졸업 편입생 1명. (*) 2026년부터 개설 예정인 세부전공.</w:t>
      </w:r>
    </w:p>
    <w:p>
      <w:pPr>
        <w:keepNext/>
        <w:spacing w:after="40" w:before="120"/>
        <w:jc w:val="center"/>
      </w:pPr>
      <w:r>
        <w:drawing>
          <wp:inline distT="0" distB="0" distL="0" distR="0">
            <wp:extent cx="4676775"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676775" cy="4238625"/>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6.1. </w:t>
      </w:r>
      <w:r>
        <w:rPr>
          <w:rFonts w:ascii="Arial" w:cs="Arial" w:eastAsia="Malgun Gothic" w:hAnsi="Arial"/>
          <w:i w:val="false"/>
          <w:iCs w:val="false"/>
          <w:color w:val="0D1B2E"/>
          <w:sz w:val="22"/>
          <w:szCs w:val="22"/>
        </w:rPr>
        <w:t xml:space="preserve">리플릿의 2026학년도 10개 전공 및 세부전공 안내</w:t>
      </w:r>
    </w:p>
    <w:p>
      <w:pPr>
        <w:spacing w:after="200" w:before="20" w:lineRule="auto" w:line="240"/>
        <w:jc w:val="left"/>
      </w:pPr>
      <w:r>
        <w:rPr>
          <w:rFonts w:ascii="Arial" w:cs="Arial" w:eastAsia="Malgun Gothic" w:hAnsi="Arial"/>
          <w:i w:val="false"/>
          <w:iCs w:val="false"/>
          <w:color w:val="435066"/>
          <w:sz w:val="19"/>
          <w:szCs w:val="19"/>
        </w:rPr>
        <w:t xml:space="preserve">출처: 리플릿 3쪽. 리플릿의 일부 삽화는 학교에서 촬영한 사진이 아닌 그래픽 이미지입니다.</w:t>
      </w:r>
    </w:p>
    <w:p>
      <w:pPr>
        <w:pStyle w:val="Heading2"/>
        <w:keepNext/>
      </w:pPr>
      <w:r>
        <w:t xml:space="preserve">6.2 교육 모델</w:t>
      </w:r>
    </w:p>
    <w:p>
      <w:pPr>
        <w:pStyle w:val="ListParagraph"/>
        <w:numPr>
          <w:ilvl w:val="0"/>
          <w:numId w:val="2"/>
        </w:numPr>
        <w:spacing w:after="80" w:before="0" w:lineRule="auto" w:line="255"/>
        <w:jc w:val="both"/>
      </w:pPr>
      <w:r>
        <w:rPr>
          <w:rFonts w:ascii="Arial" w:cs="Arial" w:eastAsia="Malgun Gothic" w:hAnsi="Arial"/>
          <w:b/>
          <w:bCs/>
          <w:color w:val="0D1B2E"/>
          <w:sz w:val="24"/>
          <w:szCs w:val="24"/>
        </w:rPr>
        <w:t xml:space="preserve">수업 연한:</w:t>
      </w:r>
      <w:r>
        <w:rPr>
          <w:rFonts w:ascii="Arial" w:cs="Arial" w:eastAsia="Malgun Gothic" w:hAnsi="Arial"/>
          <w:color w:val="0D1B2E"/>
          <w:sz w:val="24"/>
          <w:szCs w:val="24"/>
        </w:rPr>
        <w:t xml:space="preserve"> 11학기, 3.5년(</w:t>
      </w:r>
      <w:r>
        <w:rPr>
          <w:rFonts w:ascii="Arial" w:cs="Arial" w:eastAsia="Malgun Gothic" w:hAnsi="Arial"/>
          <w:color w:val="0D1B2E"/>
          <w:sz w:val="24"/>
          <w:szCs w:val="24"/>
        </w:rPr>
        <w:t xml:space="preserve">그림 6.2</w:t>
      </w:r>
      <w:r>
        <w:rPr>
          <w:rFonts w:ascii="Arial" w:cs="Arial" w:eastAsia="Malgun Gothic" w:hAnsi="Arial"/>
          <w:color w:val="0D1B2E"/>
          <w:sz w:val="24"/>
          <w:szCs w:val="24"/>
        </w:rPr>
        <w:t xml:space="preserve">). 웹사이트는 4단계 과정을 소개합니다: 1학년 “기초 확립 – Explore One-UMT”, 2학년 “재능 개발 – Engage”, 3학년 “가치 창출 – Co-op Experience”, 4학년 “미래 주도 – Empower”.</w:t>
      </w:r>
    </w:p>
    <w:p>
      <w:pPr>
        <w:pStyle w:val="ListParagraph"/>
        <w:numPr>
          <w:ilvl w:val="0"/>
          <w:numId w:val="2"/>
        </w:numPr>
        <w:spacing w:after="80" w:before="0" w:lineRule="auto" w:line="255"/>
        <w:jc w:val="both"/>
      </w:pPr>
      <w:r>
        <w:rPr>
          <w:rFonts w:ascii="Arial" w:cs="Arial" w:eastAsia="Malgun Gothic" w:hAnsi="Arial"/>
          <w:b/>
          <w:bCs/>
          <w:color w:val="0D1B2E"/>
          <w:sz w:val="24"/>
          <w:szCs w:val="24"/>
        </w:rPr>
        <w:t xml:space="preserve">1학년</w:t>
      </w:r>
      <w:r>
        <w:rPr>
          <w:rFonts w:ascii="Arial" w:cs="Arial" w:eastAsia="Malgun Gothic" w:hAnsi="Arial"/>
          <w:color w:val="0D1B2E"/>
          <w:sz w:val="24"/>
          <w:szCs w:val="24"/>
        </w:rPr>
        <w:t xml:space="preserve">은 One UMT 센터가 담당하며 세 분야로 구성됩니다: 교양(“이해하기 위해 배우고, 배우기 위해 산다”), 영어(“세계와 연결하는 소통”), 체육(“성공과 행복을 위한 건강”).</w:t>
      </w:r>
    </w:p>
    <w:p>
      <w:pPr>
        <w:pStyle w:val="ListParagraph"/>
        <w:numPr>
          <w:ilvl w:val="0"/>
          <w:numId w:val="2"/>
        </w:numPr>
        <w:spacing w:after="80" w:before="0" w:lineRule="auto" w:line="255"/>
        <w:jc w:val="both"/>
      </w:pPr>
      <w:r>
        <w:rPr>
          <w:rFonts w:ascii="Arial" w:cs="Arial" w:eastAsia="Malgun Gothic" w:hAnsi="Arial"/>
          <w:b/>
          <w:bCs/>
          <w:color w:val="0D1B2E"/>
          <w:sz w:val="24"/>
          <w:szCs w:val="24"/>
        </w:rPr>
        <w:t xml:space="preserve">대학원:</w:t>
      </w:r>
      <w:r>
        <w:rPr>
          <w:rFonts w:ascii="Arial" w:cs="Arial" w:eastAsia="Malgun Gothic" w:hAnsi="Arial"/>
          <w:color w:val="0D1B2E"/>
          <w:sz w:val="24"/>
          <w:szCs w:val="24"/>
        </w:rPr>
        <w:t xml:space="preserve"> 석사·박사 과정은 아직 운영하지 않으며, 대학원(Viện Sau đại học)이 2026년 3월 27일 설립되었습니다.</w:t>
      </w:r>
    </w:p>
    <w:p>
      <w:pPr>
        <w:pStyle w:val="ListParagraph"/>
        <w:numPr>
          <w:ilvl w:val="0"/>
          <w:numId w:val="2"/>
        </w:numPr>
        <w:spacing w:after="80" w:before="0" w:lineRule="auto" w:line="255"/>
        <w:jc w:val="both"/>
      </w:pPr>
      <w:r>
        <w:rPr>
          <w:rFonts w:ascii="Arial" w:cs="Arial" w:eastAsia="Malgun Gothic" w:hAnsi="Arial"/>
          <w:b/>
          <w:bCs/>
          <w:color w:val="0D1B2E"/>
          <w:sz w:val="24"/>
          <w:szCs w:val="24"/>
        </w:rPr>
        <w:t xml:space="preserve">연계 교육:</w:t>
      </w:r>
      <w:r>
        <w:rPr>
          <w:rFonts w:ascii="Arial" w:cs="Arial" w:eastAsia="Malgun Gothic" w:hAnsi="Arial"/>
          <w:color w:val="0D1B2E"/>
          <w:sz w:val="24"/>
          <w:szCs w:val="24"/>
        </w:rPr>
        <w:t xml:space="preserve"> 학교는 해외 대학과의 연계(공동) 교육과 국제 자격시험 공동 시행을 아직 하지 않고 있습니다.</w:t>
      </w:r>
    </w:p>
    <w:p>
      <w:pPr>
        <w:pStyle w:val="ListParagraph"/>
        <w:numPr>
          <w:ilvl w:val="0"/>
          <w:numId w:val="2"/>
        </w:numPr>
        <w:spacing w:after="80" w:before="0" w:lineRule="auto" w:line="255"/>
        <w:jc w:val="both"/>
      </w:pPr>
      <w:r>
        <w:rPr>
          <w:rFonts w:ascii="Arial" w:cs="Arial" w:eastAsia="Malgun Gothic" w:hAnsi="Arial"/>
          <w:b/>
          <w:bCs/>
          <w:color w:val="0D1B2E"/>
          <w:sz w:val="24"/>
          <w:szCs w:val="24"/>
        </w:rPr>
        <w:t xml:space="preserve">학위:</w:t>
      </w:r>
      <w:r>
        <w:rPr>
          <w:rFonts w:ascii="Arial" w:cs="Arial" w:eastAsia="Malgun Gothic" w:hAnsi="Arial"/>
          <w:color w:val="0D1B2E"/>
          <w:sz w:val="24"/>
          <w:szCs w:val="24"/>
        </w:rPr>
        <w:t xml:space="preserve"> 공시 시점에는 졸업생이 없어 학위증 양식이 아직 없었습니다. 첫 졸업식은 2026년 8월 22일에 열렸습니다.</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5241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524125" cy="261937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(a) 2026학년도 10개 모집 전공 및 전공 코드</w:t>
            </w:r>
          </w:p>
        </w:tc>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40982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409825" cy="2590800"/>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(b) 수업 연한 11학기 – 3.5년; 학교 코드 UMT</w:t>
            </w:r>
          </w:p>
        </w:tc>
      </w:tr>
    </w:tbl>
    <w:p>
      <w:pPr>
        <w:keepNext/>
        <w:spacing w:after="40" w:before="60" w:lineRule="auto" w:line="240"/>
        <w:jc w:val="center"/>
      </w:pPr>
      <w:r>
        <w:rPr>
          <w:rFonts w:ascii="Arial" w:cs="Arial" w:eastAsia="Malgun Gothic" w:hAnsi="Arial"/>
          <w:b/>
          <w:bCs/>
          <w:color w:val="0F2A4D"/>
          <w:sz w:val="22"/>
          <w:szCs w:val="22"/>
        </w:rPr>
        <w:t xml:space="preserve">그림 6.2. </w:t>
      </w:r>
      <w:r>
        <w:rPr>
          <w:rFonts w:ascii="Arial" w:cs="Arial" w:eastAsia="Malgun Gothic" w:hAnsi="Arial"/>
          <w:i w:val="false"/>
          <w:iCs w:val="false"/>
          <w:color w:val="0D1B2E"/>
          <w:sz w:val="22"/>
          <w:szCs w:val="22"/>
        </w:rPr>
        <w:t xml:space="preserve">리플릿의 전공 목록 및 수업 연한</w:t>
      </w:r>
    </w:p>
    <w:p>
      <w:pPr>
        <w:spacing w:after="200" w:before="20" w:lineRule="auto" w:line="240"/>
        <w:jc w:val="left"/>
      </w:pPr>
      <w:r>
        <w:rPr>
          <w:rFonts w:ascii="Arial" w:cs="Arial" w:eastAsia="Malgun Gothic" w:hAnsi="Arial"/>
          <w:i w:val="false"/>
          <w:iCs w:val="false"/>
          <w:color w:val="435066"/>
          <w:sz w:val="19"/>
          <w:szCs w:val="19"/>
        </w:rPr>
        <w:t xml:space="preserve">출처: 리플릿 4쪽.</w:t>
      </w:r>
    </w:p>
    <w:p>
      <w:pPr>
        <w:pStyle w:val="Heading2"/>
        <w:keepNext/>
      </w:pPr>
      <w:r>
        <w:t xml:space="preserve">6.3 품질인증과 웹사이트 표기</w:t>
      </w:r>
    </w:p>
    <w:p>
      <w:pPr>
        <w:keepNext w:val="false"/>
        <w:spacing w:after="120" w:before="0" w:lineRule="auto" w:line="264"/>
        <w:jc w:val="both"/>
      </w:pPr>
      <w:r>
        <w:rPr>
          <w:rFonts w:ascii="Arial" w:cs="Arial" w:eastAsia="Malgun Gothic" w:hAnsi="Arial"/>
          <w:color w:val="0D1B2E"/>
          <w:sz w:val="24"/>
          <w:szCs w:val="24"/>
        </w:rPr>
        <w:t xml:space="preserve">웹사이트 첫 화면에는 ASIIN, ACBSP, FIBAA 로고와 함께 “Chuẩn kiểm định quốc tế”(국제 인증 기준)라는 문구가 있습니다. 교육 페이지에는 “국제 인증 기준(ACBSP, ASIIN, NASAD) 참조”, 경영학부 페이지에는 프로그램이 “국제 인증 기준(ACBSP, FIBAA)을 참조”한다고 적혀 있습니다. 반면 공시보고서는 학교에 아직 자체평가 결과도, 어떤 품질인증서도 없음을 확인합니다.</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C98500" w:sz="24"/>
              <w:bottom w:val="none" w:color="FFFFFF" w:sz="0"/>
              <w:right w:val="none" w:color="FFFFFF" w:sz="0"/>
            </w:tcBorders>
            <w:shd w:fill="FDF3E3" w:color="auto" w:val="clear"/>
            <w:tcMar>
              <w:top w:type="dxa" w:w="120"/>
              <w:left w:type="dxa" w:w="200"/>
              <w:bottom w:type="dxa" w:w="80"/>
              <w:right w:type="dxa" w:w="200"/>
            </w:tcMar>
          </w:tcPr>
          <w:p>
            <w:pPr>
              <w:keepNext/>
              <w:spacing w:after="80" w:before="0"/>
            </w:pPr>
            <w:r>
              <w:rPr>
                <w:rFonts w:ascii="Arial" w:cs="Arial" w:eastAsia="Malgun Gothic" w:hAnsi="Arial"/>
                <w:b/>
                <w:bCs/>
                <w:color w:val="0F2A4D"/>
                <w:sz w:val="22"/>
                <w:szCs w:val="22"/>
              </w:rPr>
              <w:t xml:space="preserve">분석 · 품질인증</w:t>
            </w:r>
          </w:p>
          <w:p>
            <w:pPr>
              <w:spacing w:after="80" w:before="0" w:lineRule="auto" w:line="253"/>
              <w:jc w:val="both"/>
            </w:pPr>
            <w:r>
              <w:rPr>
                <w:rFonts w:ascii="Arial" w:cs="Arial" w:eastAsia="Malgun Gothic" w:hAnsi="Arial"/>
                <w:color w:val="0D1B2E"/>
                <w:sz w:val="22"/>
                <w:szCs w:val="22"/>
              </w:rPr>
              <w:t xml:space="preserve">어떤 기준을 “참조”하는 것은 인증기관으로부터 “인증받은” 것과 다릅니다. 투자자는 웹사이트의 로고를 인증 증빙으로 보아서는 안 됩니다. 기관 및 프로그램 외부평가는 졸업생이 배출된 뒤에야 가능하며, 1기 졸업은 2026년 8월이었습니다.</w:t>
            </w:r>
          </w:p>
        </w:tc>
      </w:tr>
    </w:tbl>
    <w:p>
      <w:pPr>
        <w:spacing w:after="120" w:before="0"/>
      </w:pPr>
    </w:p>
    <w:p>
      <w:pPr>
        <w:keepNext/>
        <w:spacing w:after="40" w:before="120"/>
        <w:jc w:val="center"/>
      </w:pPr>
      <w:r>
        <w:drawing>
          <wp:inline distT="0" distB="0" distL="0" distR="0">
            <wp:extent cx="52197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219700" cy="2924175"/>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6.3. </w:t>
      </w:r>
      <w:r>
        <w:rPr>
          <w:rFonts w:ascii="Arial" w:cs="Arial" w:eastAsia="Malgun Gothic" w:hAnsi="Arial"/>
          <w:i w:val="false"/>
          <w:iCs w:val="false"/>
          <w:color w:val="0D1B2E"/>
          <w:sz w:val="22"/>
          <w:szCs w:val="22"/>
        </w:rPr>
        <w:t xml:space="preserve">웹사이트 교육 페이지: (a) “주요 강점” — “국제 인증 기준(ACBSP, ASIIN, NASAD) 참조” 문구 포함; (b) 4단계 교육 과정; (c) One UMT 센터; (d) 학부장</w:t>
      </w:r>
    </w:p>
    <w:p>
      <w:pPr>
        <w:spacing w:after="200" w:before="20" w:lineRule="auto" w:line="240"/>
        <w:jc w:val="left"/>
      </w:pPr>
      <w:r>
        <w:rPr>
          <w:rFonts w:ascii="Arial" w:cs="Arial" w:eastAsia="Malgun Gothic" w:hAnsi="Arial"/>
          <w:i w:val="false"/>
          <w:iCs w:val="false"/>
          <w:color w:val="435066"/>
          <w:sz w:val="19"/>
          <w:szCs w:val="19"/>
        </w:rPr>
        <w:t xml:space="preserve">출처: 웹사이트, 2026.10.27 14:49–14:50 화면 캡처.</w:t>
      </w:r>
    </w:p>
    <w:p>
      <w:pPr>
        <w:pStyle w:val="Heading1"/>
        <w:pageBreakBefore/>
      </w:pPr>
      <w:r>
        <w:t xml:space="preserve">7. 입학 및 재학생</w:t>
      </w:r>
    </w:p>
    <w:p>
      <w:pPr>
        <w:pStyle w:val="Heading2"/>
        <w:keepNext/>
      </w:pPr>
      <w:r>
        <w:t xml:space="preserve">7.1 재학생 규모 및 구성</w:t>
      </w:r>
    </w:p>
    <w:p>
      <w:pPr>
        <w:keepNext w:val="false"/>
        <w:spacing w:after="120" w:before="0" w:lineRule="auto" w:line="264"/>
        <w:jc w:val="both"/>
      </w:pPr>
      <w:r>
        <w:rPr>
          <w:rFonts w:ascii="Arial" w:cs="Arial" w:eastAsia="Malgun Gothic" w:hAnsi="Arial"/>
          <w:color w:val="0D1B2E"/>
          <w:sz w:val="24"/>
          <w:szCs w:val="24"/>
        </w:rPr>
        <w:t xml:space="preserve">2026년 5월 31일 기준 재학생은 727명으로, 정규 학사과정 726명과 편입생 1명입니다. 2025년에는 정규과정 335명과 편입생 1명이 입학했습니다. 물류·공급망관리(209명)와 정보기술(201명) 두 전공이 전체의 56.4%를 차지합니다.</w:t>
      </w:r>
    </w:p>
    <w:p>
      <w:pPr>
        <w:keepNext/>
        <w:spacing w:after="40" w:before="120"/>
        <w:jc w:val="center"/>
      </w:pPr>
      <w:r>
        <w:drawing>
          <wp:inline distT="0" distB="0" distL="0" distR="0">
            <wp:extent cx="5762625"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3305175"/>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7.1. </w:t>
      </w:r>
      <w:r>
        <w:rPr>
          <w:rFonts w:ascii="Arial" w:cs="Arial" w:eastAsia="Malgun Gothic" w:hAnsi="Arial"/>
          <w:i w:val="false"/>
          <w:iCs w:val="false"/>
          <w:color w:val="0D1B2E"/>
          <w:sz w:val="22"/>
          <w:szCs w:val="22"/>
        </w:rPr>
        <w:t xml:space="preserve">전공별 재학생 수 및 2025년 입학생 수</w:t>
      </w:r>
    </w:p>
    <w:p>
      <w:pPr>
        <w:spacing w:after="200" w:before="20" w:lineRule="auto" w:line="240"/>
        <w:jc w:val="left"/>
      </w:pPr>
      <w:r>
        <w:rPr>
          <w:rFonts w:ascii="Arial" w:cs="Arial" w:eastAsia="Malgun Gothic" w:hAnsi="Arial"/>
          <w:i w:val="false"/>
          <w:iCs w:val="false"/>
          <w:color w:val="435066"/>
          <w:sz w:val="19"/>
          <w:szCs w:val="19"/>
        </w:rPr>
        <w:t xml:space="preserve">출처: 공시보고서 IV.2a를 바탕으로 컨설턴트 작성. 정보기술에는 편입생 1명이 포함되지 않음.</w:t>
      </w:r>
    </w:p>
    <w:p>
      <w:pPr>
        <w:keepNext/>
        <w:spacing w:after="80" w:before="120" w:lineRule="auto" w:line="240"/>
        <w:jc w:val="center"/>
      </w:pPr>
      <w:r>
        <w:rPr>
          <w:rFonts w:ascii="Arial" w:cs="Arial" w:eastAsia="Malgun Gothic" w:hAnsi="Arial"/>
          <w:b/>
          <w:bCs/>
          <w:color w:val="0F2A4D"/>
          <w:sz w:val="22"/>
          <w:szCs w:val="22"/>
        </w:rPr>
        <w:t xml:space="preserve">표 7.1. </w:t>
      </w:r>
      <w:r>
        <w:rPr>
          <w:rFonts w:ascii="Arial" w:cs="Arial" w:eastAsia="Malgun Gothic" w:hAnsi="Arial"/>
          <w:i w:val="false"/>
          <w:iCs w:val="false"/>
          <w:color w:val="0D1B2E"/>
          <w:sz w:val="22"/>
          <w:szCs w:val="22"/>
        </w:rPr>
        <w:t xml:space="preserve">입학 및 교육 성과 지표</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102"/>
        <w:gridCol w:w="1814"/>
        <w:gridCol w:w="2155"/>
      </w:tblGrid>
      <w:tr>
        <w:trPr>
          <w:cantSplit/>
          <w:tblHeader/>
        </w:trPr>
        <w:tc>
          <w:tcPr>
            <w:tcW w:type="dxa" w:w="510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지표</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값</w:t>
            </w:r>
          </w:p>
        </w:tc>
        <w:tc>
          <w:tcPr>
            <w:tcW w:type="dxa" w:w="215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비고</w:t>
            </w:r>
          </w:p>
        </w:tc>
      </w:tr>
      <w:tr>
        <w:trPr>
          <w:cantSplit/>
        </w:trPr>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최근 3년 평균 입학률(계획 대비)</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35.2%</w:t>
            </w:r>
          </w:p>
        </w:tc>
        <w:tc>
          <w:tcPr>
            <w:tcW w:type="dxa" w:w="21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2026.5.31 기준</w:t>
            </w:r>
          </w:p>
        </w:tc>
      </w:tr>
      <w:tr>
        <w:trPr>
          <w:cantSplit/>
        </w:trPr>
        <w:tc>
          <w:tcPr>
            <w:tcW w:type="dxa" w:w="51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최근 3년 재학생 규모 증감률</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131.5%</w:t>
            </w:r>
          </w:p>
        </w:tc>
        <w:tc>
          <w:tcPr>
            <w:tcW w:type="dxa" w:w="21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규모 증가</w:t>
            </w:r>
          </w:p>
        </w:tc>
      </w:tr>
      <w:tr>
        <w:trPr>
          <w:cantSplit/>
        </w:trPr>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중도탈락률</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2.3%</w:t>
            </w:r>
          </w:p>
        </w:tc>
        <w:tc>
          <w:tcPr>
            <w:tcW w:type="dxa" w:w="21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p>
        </w:tc>
      </w:tr>
      <w:tr>
        <w:trPr>
          <w:cantSplit/>
        </w:trPr>
        <w:tc>
          <w:tcPr>
            <w:tcW w:type="dxa" w:w="51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1학년 중도탈락률</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0.6%</w:t>
            </w:r>
          </w:p>
        </w:tc>
        <w:tc>
          <w:tcPr>
            <w:tcW w:type="dxa" w:w="21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p>
        </w:tc>
      </w:tr>
      <w:tr>
        <w:trPr>
          <w:cantSplit/>
        </w:trPr>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졸업률, 정시 졸업률</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해당 없음</w:t>
            </w:r>
          </w:p>
        </w:tc>
        <w:tc>
          <w:tcPr>
            <w:tcW w:type="dxa" w:w="21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 시점에 졸업생 없음</w:t>
            </w:r>
          </w:p>
        </w:tc>
      </w:tr>
      <w:tr>
        <w:trPr>
          <w:cantSplit/>
        </w:trPr>
        <w:tc>
          <w:tcPr>
            <w:tcW w:type="dxa" w:w="51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졸업 후 12개월 내 취업률</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color w:val="0D1B2E"/>
                <w:sz w:val="20"/>
                <w:szCs w:val="20"/>
              </w:rPr>
              <w:t xml:space="preserve">해당 없음</w:t>
            </w:r>
          </w:p>
        </w:tc>
        <w:tc>
          <w:tcPr>
            <w:tcW w:type="dxa" w:w="21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상동</w:t>
            </w: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IV.2b–c.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Arial" w:cs="Arial" w:eastAsia="Malgun Gothic" w:hAnsi="Arial"/>
                <w:b/>
                <w:bCs/>
                <w:color w:val="0F2A4D"/>
                <w:sz w:val="22"/>
                <w:szCs w:val="22"/>
              </w:rPr>
              <w:t xml:space="preserve">분석 · 입학</w:t>
            </w:r>
          </w:p>
          <w:p>
            <w:pPr>
              <w:spacing w:after="80" w:before="0" w:lineRule="auto" w:line="253"/>
              <w:jc w:val="both"/>
            </w:pPr>
            <w:r>
              <w:rPr>
                <w:rFonts w:ascii="Arial" w:cs="Arial" w:eastAsia="Malgun Gothic" w:hAnsi="Arial"/>
                <w:color w:val="0D1B2E"/>
                <w:sz w:val="22"/>
                <w:szCs w:val="22"/>
              </w:rPr>
              <w:t xml:space="preserve">평균 입학률 35.2%는 계획 정원의 약 3분의 1만 채웠다는 뜻입니다. 이는 합격선이 최저 수준(2022–2026년 고교 졸업시험 30점 만점에 15점)이라는 점, 2026년 9월에도 400명 이상을 추가 모집했다는 언론 보도와 일치합니다. 낮은 중도탈락률(2.3%)은 긍정적인 요소입니다.</w:t>
            </w:r>
          </w:p>
        </w:tc>
      </w:tr>
    </w:tbl>
    <w:p>
      <w:pPr>
        <w:spacing w:after="120" w:before="0"/>
      </w:pPr>
    </w:p>
    <w:p>
      <w:pPr>
        <w:pStyle w:val="Heading2"/>
        <w:keepNext/>
      </w:pPr>
      <w:r>
        <w:t xml:space="preserve">7.2 2026학년도 전형</w:t>
      </w:r>
    </w:p>
    <w:p>
      <w:pPr>
        <w:keepNext/>
        <w:spacing w:after="80" w:before="120" w:lineRule="auto" w:line="240"/>
        <w:jc w:val="center"/>
      </w:pPr>
      <w:r>
        <w:rPr>
          <w:rFonts w:ascii="Arial" w:cs="Arial" w:eastAsia="Malgun Gothic" w:hAnsi="Arial"/>
          <w:b/>
          <w:bCs/>
          <w:color w:val="0F2A4D"/>
          <w:sz w:val="22"/>
          <w:szCs w:val="22"/>
        </w:rPr>
        <w:t xml:space="preserve">표 7.2. </w:t>
      </w:r>
      <w:r>
        <w:rPr>
          <w:rFonts w:ascii="Arial" w:cs="Arial" w:eastAsia="Malgun Gothic" w:hAnsi="Arial"/>
          <w:i w:val="false"/>
          <w:iCs w:val="false"/>
          <w:color w:val="0D1B2E"/>
          <w:sz w:val="22"/>
          <w:szCs w:val="22"/>
        </w:rPr>
        <w:t xml:space="preserve">리플릿과 웹사이트의 2026학년도 전형</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7"/>
        <w:gridCol w:w="4252"/>
        <w:gridCol w:w="4252"/>
      </w:tblGrid>
      <w:tr>
        <w:trPr>
          <w:cantSplit/>
          <w:tblHeader/>
        </w:trPr>
        <w:tc>
          <w:tcPr>
            <w:tcW w:type="dxa" w:w="56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20"/>
                <w:szCs w:val="20"/>
              </w:rPr>
              <w:t xml:space="preserve">번호</w:t>
            </w:r>
          </w:p>
        </w:tc>
        <w:tc>
          <w:tcPr>
            <w:tcW w:type="dxa" w:w="425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2026학년도 리플릿</w:t>
            </w:r>
          </w:p>
        </w:tc>
        <w:tc>
          <w:tcPr>
            <w:tcW w:type="dxa" w:w="425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웹사이트(2026.10.27)</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1</w:t>
            </w:r>
          </w:p>
        </w:tc>
        <w:tc>
          <w:tcPr>
            <w:tcW w:type="dxa" w:w="425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고교 내신(학업성적부) 전형; 합격선 18점부터(2025년 참고)</w:t>
            </w:r>
          </w:p>
        </w:tc>
        <w:tc>
          <w:tcPr>
            <w:tcW w:type="dxa" w:w="425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고교 내신(학업성적부) 전형</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2</w:t>
            </w:r>
          </w:p>
        </w:tc>
        <w:tc>
          <w:tcPr>
            <w:tcW w:type="dxa" w:w="425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2026년 고교 졸업시험 성적 전형; 15점부터(2025년 참고)</w:t>
            </w:r>
          </w:p>
        </w:tc>
        <w:tc>
          <w:tcPr>
            <w:tcW w:type="dxa" w:w="425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고교 졸업시험 성적 전형</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3</w:t>
            </w:r>
          </w:p>
        </w:tc>
        <w:tc>
          <w:tcPr>
            <w:tcW w:type="dxa" w:w="425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2026년 호찌민시 국립대학교 역량평가시험 성적 전형; 30점 환산 15점부터(2025년 참고)</w:t>
            </w:r>
          </w:p>
        </w:tc>
        <w:tc>
          <w:tcPr>
            <w:tcW w:type="dxa" w:w="425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역량평가시험(호찌민시 국립대학교) 성적 전형</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4</w:t>
            </w:r>
          </w:p>
        </w:tc>
        <w:tc>
          <w:tcPr>
            <w:tcW w:type="dxa" w:w="425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UMT 규정에 따른 특별전형(직접 선발)</w:t>
            </w:r>
          </w:p>
        </w:tc>
        <w:tc>
          <w:tcPr>
            <w:tcW w:type="dxa" w:w="425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V-SAT 성적 전형</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center"/>
            </w:pPr>
            <w:r>
              <w:rPr>
                <w:rFonts w:ascii="Arial" w:cs="Arial" w:eastAsia="Malgun Gothic" w:hAnsi="Arial"/>
                <w:color w:val="0D1B2E"/>
                <w:sz w:val="20"/>
                <w:szCs w:val="20"/>
              </w:rPr>
              <w:t xml:space="preserve">5</w:t>
            </w:r>
          </w:p>
        </w:tc>
        <w:tc>
          <w:tcPr>
            <w:tcW w:type="dxa" w:w="425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교육훈련부 규정에 따른 특별전형(직접 선발)</w:t>
            </w:r>
          </w:p>
        </w:tc>
        <w:tc>
          <w:tcPr>
            <w:tcW w:type="dxa" w:w="425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동등 학력 조건 전형</w:t>
            </w:r>
          </w:p>
        </w:tc>
      </w:tr>
    </w:tbl>
    <w:p>
      <w:pPr>
        <w:spacing w:after="200" w:before="20" w:lineRule="auto" w:line="240"/>
        <w:jc w:val="left"/>
      </w:pPr>
      <w:r>
        <w:rPr>
          <w:rFonts w:ascii="Arial" w:cs="Arial" w:eastAsia="Malgun Gothic" w:hAnsi="Arial"/>
          <w:i w:val="false"/>
          <w:iCs w:val="false"/>
          <w:color w:val="435066"/>
          <w:sz w:val="19"/>
          <w:szCs w:val="19"/>
        </w:rPr>
        <w:t xml:space="preserve">출처: 리플릿 4쪽; 웹사이트. 4번·5번 전형이 두 자료 간에 다르므로 공식 모집요강과 대조가 필요합니다.</w:t>
      </w:r>
    </w:p>
    <w:p>
      <w:pPr>
        <w:keepNext/>
        <w:spacing w:after="40" w:before="120"/>
        <w:jc w:val="center"/>
      </w:pPr>
      <w:r>
        <w:drawing>
          <wp:inline distT="0" distB="0" distL="0" distR="0">
            <wp:extent cx="378142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781425" cy="3314700"/>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7.2. </w:t>
      </w:r>
      <w:r>
        <w:rPr>
          <w:rFonts w:ascii="Arial" w:cs="Arial" w:eastAsia="Malgun Gothic" w:hAnsi="Arial"/>
          <w:i w:val="false"/>
          <w:iCs w:val="false"/>
          <w:color w:val="0D1B2E"/>
          <w:sz w:val="22"/>
          <w:szCs w:val="22"/>
        </w:rPr>
        <w:t xml:space="preserve">리플릿의 “5가지 전형” 안내</w:t>
      </w:r>
    </w:p>
    <w:p>
      <w:pPr>
        <w:spacing w:after="200" w:before="20" w:lineRule="auto" w:line="240"/>
        <w:jc w:val="left"/>
      </w:pPr>
      <w:r>
        <w:rPr>
          <w:rFonts w:ascii="Arial" w:cs="Arial" w:eastAsia="Malgun Gothic" w:hAnsi="Arial"/>
          <w:i w:val="false"/>
          <w:iCs w:val="false"/>
          <w:color w:val="435066"/>
          <w:sz w:val="19"/>
          <w:szCs w:val="19"/>
        </w:rPr>
        <w:t xml:space="preserve">출처: 리플릿 4쪽.</w:t>
      </w:r>
    </w:p>
    <w:p>
      <w:pPr>
        <w:keepNext/>
        <w:spacing w:after="40" w:before="120"/>
        <w:jc w:val="center"/>
      </w:pPr>
      <w:r>
        <w:drawing>
          <wp:inline distT="0" distB="0" distL="0" distR="0">
            <wp:extent cx="52197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219700" cy="2924175"/>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7.3. </w:t>
      </w:r>
      <w:r>
        <w:rPr>
          <w:rFonts w:ascii="Arial" w:cs="Arial" w:eastAsia="Malgun Gothic" w:hAnsi="Arial"/>
          <w:i w:val="false"/>
          <w:iCs w:val="false"/>
          <w:color w:val="0D1B2E"/>
          <w:sz w:val="22"/>
          <w:szCs w:val="22"/>
        </w:rPr>
        <w:t xml:space="preserve">웹사이트 입학 안내: (a) ASIIN, ACBSP, FIBAA 로고와 “유연한 전형”; (b) 5가지 전형; (c) “2026 입학 장학금 – 1,140억 동 규모”; (d) “150+ 기업 파트너, 50+ 교육 파트너”</w:t>
      </w:r>
    </w:p>
    <w:p>
      <w:pPr>
        <w:spacing w:after="200" w:before="20" w:lineRule="auto" w:line="240"/>
        <w:jc w:val="left"/>
      </w:pPr>
      <w:r>
        <w:rPr>
          <w:rFonts w:ascii="Arial" w:cs="Arial" w:eastAsia="Malgun Gothic" w:hAnsi="Arial"/>
          <w:i w:val="false"/>
          <w:iCs w:val="false"/>
          <w:color w:val="435066"/>
          <w:sz w:val="19"/>
          <w:szCs w:val="19"/>
        </w:rPr>
        <w:t xml:space="preserve">출처: 웹사이트, 2026.10.27 14:46 화면 캡처.</w:t>
      </w:r>
    </w:p>
    <w:p>
      <w:pPr>
        <w:pStyle w:val="Heading2"/>
        <w:keepNext/>
      </w:pPr>
      <w:r>
        <w:t xml:space="preserve">7.3 학생 활동</w:t>
      </w:r>
    </w:p>
    <w:p>
      <w:pPr>
        <w:keepNext w:val="false"/>
        <w:spacing w:after="120" w:before="0" w:lineRule="auto" w:line="264"/>
        <w:jc w:val="both"/>
      </w:pPr>
      <w:r>
        <w:rPr>
          <w:rFonts w:ascii="Arial" w:cs="Arial" w:eastAsia="Malgun Gothic" w:hAnsi="Arial"/>
          <w:color w:val="0D1B2E"/>
          <w:sz w:val="24"/>
          <w:szCs w:val="24"/>
        </w:rPr>
        <w:t xml:space="preserve">웹사이트는 2026–2027학년도 행사로 제3회 UMT 대학생 정보올림피아드와 ICPC UMT 국제 대학생 프로그래밍 대회(2026.10.14), 제6회 헌혈 캠페인(2026.11.4), UMT Debate Initiative 2026(2026.12.31)을 소개하고, 2026–2030학번(5기) 입학식과 2025–2026학년도 우수 학생 시상 소식을 싣고 있습니다. 웹사이트는 또한 “678+명 학생에게 인턴십·취업 기회 소개”를 내세우는데, 이는 홍보용 수치로 검증되지 않았습니다.</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33675"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33675" cy="952500"/>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(a) 야외에서 그룹 스터디 중인 학생들</w:t>
            </w:r>
          </w:p>
        </w:tc>
        <w:tc>
          <w:tcPr>
            <w:tcW w:type="dxa" w:w="4535"/>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27336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33675" cy="181927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(b) UMT 교직원과 학생</w:t>
            </w:r>
          </w:p>
        </w:tc>
      </w:tr>
    </w:tbl>
    <w:p>
      <w:pPr>
        <w:keepNext/>
        <w:spacing w:after="40" w:before="60" w:lineRule="auto" w:line="240"/>
        <w:jc w:val="center"/>
      </w:pPr>
      <w:r>
        <w:rPr>
          <w:rFonts w:ascii="Arial" w:cs="Arial" w:eastAsia="Malgun Gothic" w:hAnsi="Arial"/>
          <w:b/>
          <w:bCs/>
          <w:color w:val="0F2A4D"/>
          <w:sz w:val="22"/>
          <w:szCs w:val="22"/>
        </w:rPr>
        <w:t xml:space="preserve">그림 7.4. </w:t>
      </w:r>
      <w:r>
        <w:rPr>
          <w:rFonts w:ascii="Arial" w:cs="Arial" w:eastAsia="Malgun Gothic" w:hAnsi="Arial"/>
          <w:i w:val="false"/>
          <w:iCs w:val="false"/>
          <w:color w:val="0D1B2E"/>
          <w:sz w:val="22"/>
          <w:szCs w:val="22"/>
        </w:rPr>
        <w:t xml:space="preserve">UMT 학생 및 교직원</w:t>
      </w:r>
    </w:p>
    <w:p>
      <w:pPr>
        <w:spacing w:after="200" w:before="20" w:lineRule="auto" w:line="240"/>
        <w:jc w:val="left"/>
      </w:pPr>
      <w:r>
        <w:rPr>
          <w:rFonts w:ascii="Arial" w:cs="Arial" w:eastAsia="Malgun Gothic" w:hAnsi="Arial"/>
          <w:i w:val="false"/>
          <w:iCs w:val="false"/>
          <w:color w:val="435066"/>
          <w:sz w:val="19"/>
          <w:szCs w:val="19"/>
        </w:rPr>
        <w:t xml:space="preserve">출처: 리플릿 2쪽(b), 6쪽(a).</w:t>
      </w:r>
    </w:p>
    <w:p>
      <w:pPr>
        <w:keepNext/>
        <w:spacing w:after="40" w:before="120"/>
        <w:jc w:val="center"/>
      </w:pPr>
      <w:r>
        <w:drawing>
          <wp:inline distT="0" distB="0" distL="0" distR="0">
            <wp:extent cx="52197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219700" cy="2924175"/>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7.5. </w:t>
      </w:r>
      <w:r>
        <w:rPr>
          <w:rFonts w:ascii="Arial" w:cs="Arial" w:eastAsia="Malgun Gothic" w:hAnsi="Arial"/>
          <w:i w:val="false"/>
          <w:iCs w:val="false"/>
          <w:color w:val="0D1B2E"/>
          <w:sz w:val="22"/>
          <w:szCs w:val="22"/>
        </w:rPr>
        <w:t xml:space="preserve">웹사이트 행사·뉴스: (a) 제3회 UMT 대학생 정보올림피아드 및 ICPC UMT 2026; (b) 예정 행사; (c) 최근 소식; (d) OLP’25(오픈소스 소프트웨어 부문) 참가 학생 사진</w:t>
      </w:r>
    </w:p>
    <w:p>
      <w:pPr>
        <w:spacing w:after="200" w:before="20" w:lineRule="auto" w:line="240"/>
        <w:jc w:val="left"/>
      </w:pPr>
      <w:r>
        <w:rPr>
          <w:rFonts w:ascii="Arial" w:cs="Arial" w:eastAsia="Malgun Gothic" w:hAnsi="Arial"/>
          <w:i w:val="false"/>
          <w:iCs w:val="false"/>
          <w:color w:val="435066"/>
          <w:sz w:val="19"/>
          <w:szCs w:val="19"/>
        </w:rPr>
        <w:t xml:space="preserve">출처: 웹사이트, 2026.10.27 14:47–14:50 화면 캡처.</w:t>
      </w:r>
    </w:p>
    <w:p>
      <w:pPr>
        <w:pStyle w:val="Heading1"/>
        <w:pageBreakBefore/>
      </w:pPr>
      <w:r>
        <w:t xml:space="preserve">8. 등록금 및 장학금</w:t>
      </w:r>
    </w:p>
    <w:p>
      <w:pPr>
        <w:pStyle w:val="Heading2"/>
        <w:keepNext/>
      </w:pPr>
      <w:r>
        <w:t xml:space="preserve">8.1 2026학년도 정책</w:t>
      </w:r>
    </w:p>
    <w:p>
      <w:pPr>
        <w:keepNext w:val="false"/>
        <w:spacing w:after="120" w:before="0" w:lineRule="auto" w:line="264"/>
        <w:jc w:val="both"/>
      </w:pPr>
      <w:r>
        <w:rPr>
          <w:rFonts w:ascii="Arial" w:cs="Arial" w:eastAsia="Malgun Gothic" w:hAnsi="Arial"/>
          <w:color w:val="0D1B2E"/>
          <w:sz w:val="24"/>
          <w:szCs w:val="24"/>
        </w:rPr>
        <w:t xml:space="preserve">리플릿과 웹사이트는 모두 신입생 전원 장학금, 학기당 평균 등록금, 무이자 등록금 대출 지원, 전 과정 등록금 동결을 홍보합니다. 그러나 두 자료의 구체적 수치는 일치하지 않습니다.</w:t>
      </w:r>
    </w:p>
    <w:p>
      <w:pPr>
        <w:keepNext/>
        <w:spacing w:after="80" w:before="120" w:lineRule="auto" w:line="240"/>
        <w:jc w:val="center"/>
      </w:pPr>
      <w:r>
        <w:rPr>
          <w:rFonts w:ascii="Arial" w:cs="Arial" w:eastAsia="Malgun Gothic" w:hAnsi="Arial"/>
          <w:b/>
          <w:bCs/>
          <w:color w:val="0F2A4D"/>
          <w:sz w:val="22"/>
          <w:szCs w:val="22"/>
        </w:rPr>
        <w:t xml:space="preserve">표 8.1. </w:t>
      </w:r>
      <w:r>
        <w:rPr>
          <w:rFonts w:ascii="Arial" w:cs="Arial" w:eastAsia="Malgun Gothic" w:hAnsi="Arial"/>
          <w:i w:val="false"/>
          <w:iCs w:val="false"/>
          <w:color w:val="0D1B2E"/>
          <w:sz w:val="22"/>
          <w:szCs w:val="22"/>
        </w:rPr>
        <w:t xml:space="preserve">자료별 2026학년도 등록금·장학 정책</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4"/>
        <w:gridCol w:w="3458"/>
        <w:gridCol w:w="3459"/>
      </w:tblGrid>
      <w:tr>
        <w:trPr>
          <w:cantSplit/>
          <w:tblHeader/>
        </w:trPr>
        <w:tc>
          <w:tcPr>
            <w:tcW w:type="dxa" w:w="215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항목</w:t>
            </w:r>
          </w:p>
        </w:tc>
        <w:tc>
          <w:tcPr>
            <w:tcW w:type="dxa" w:w="345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2026학년도 리플릿</w:t>
            </w:r>
          </w:p>
        </w:tc>
        <w:tc>
          <w:tcPr>
            <w:tcW w:type="dxa" w:w="345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웹사이트(2026.10.27)</w:t>
            </w:r>
          </w:p>
        </w:tc>
      </w:tr>
      <w:tr>
        <w:trPr>
          <w:cantSplit/>
        </w:trPr>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입학 장학기금</w:t>
            </w:r>
          </w:p>
        </w:tc>
        <w:tc>
          <w:tcPr>
            <w:tcW w:type="dxa" w:w="345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1,110억 동 이상(약 60.1억 원)</w:t>
            </w:r>
          </w:p>
        </w:tc>
        <w:tc>
          <w:tcPr>
            <w:tcW w:type="dxa" w:w="345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1,140억 동 규모(약 61.7억 원)</w:t>
            </w:r>
          </w:p>
        </w:tc>
      </w:tr>
      <w:tr>
        <w:trPr>
          <w:cantSplit/>
        </w:trPr>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최저 장학금</w:t>
            </w:r>
          </w:p>
        </w:tc>
        <w:tc>
          <w:tcPr>
            <w:tcW w:type="dxa" w:w="345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적극적인 신입생 100%에게 1인당 9,000만 동(약 487만 원)부터</w:t>
            </w:r>
          </w:p>
        </w:tc>
        <w:tc>
          <w:tcPr>
            <w:tcW w:type="dxa" w:w="345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적극적인 신입생 100%에게 1인당 9,500만 동(약 514만 원)부터</w:t>
            </w:r>
          </w:p>
        </w:tc>
      </w:tr>
      <w:tr>
        <w:trPr>
          <w:cantSplit/>
        </w:trPr>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등록금</w:t>
            </w:r>
          </w:p>
        </w:tc>
        <w:tc>
          <w:tcPr>
            <w:tcW w:type="dxa" w:w="345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학기당 1,700만 동(약 92만 원)부터</w:t>
            </w:r>
          </w:p>
        </w:tc>
        <w:tc>
          <w:tcPr>
            <w:tcW w:type="dxa" w:w="345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학기당 1,800만 동(약 97만 원)부터(“학기당 평균 등록금”)</w:t>
            </w:r>
          </w:p>
        </w:tc>
      </w:tr>
      <w:tr>
        <w:trPr>
          <w:cantSplit/>
        </w:trPr>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재정 지원</w:t>
            </w:r>
          </w:p>
        </w:tc>
        <w:tc>
          <w:tcPr>
            <w:tcW w:type="dxa" w:w="345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“등록금 현금 0동”: 은행을 통한 무이자 재정 지원</w:t>
            </w:r>
          </w:p>
        </w:tc>
        <w:tc>
          <w:tcPr>
            <w:tcW w:type="dxa" w:w="345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“등록금 현금 0동”: 은행을 통한 재정 지원</w:t>
            </w:r>
          </w:p>
        </w:tc>
      </w:tr>
      <w:tr>
        <w:trPr>
          <w:cantSplit/>
        </w:trPr>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약정</w:t>
            </w:r>
          </w:p>
        </w:tc>
        <w:tc>
          <w:tcPr>
            <w:tcW w:type="dxa" w:w="345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전 과정 등록금 동결</w:t>
            </w:r>
          </w:p>
        </w:tc>
        <w:tc>
          <w:tcPr>
            <w:tcW w:type="dxa" w:w="345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전 과정 등록금 인상 없음</w:t>
            </w:r>
          </w:p>
        </w:tc>
      </w:tr>
      <w:tr>
        <w:trPr>
          <w:cantSplit/>
        </w:trPr>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조건</w:t>
            </w:r>
          </w:p>
        </w:tc>
        <w:tc>
          <w:tcPr>
            <w:tcW w:type="dxa" w:w="345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학교 규정에 따름; 장학금은 전 과정 적용; Apple 사은품 기회</w:t>
            </w:r>
          </w:p>
        </w:tc>
        <w:tc>
          <w:tcPr>
            <w:tcW w:type="dxa" w:w="345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학교 규정에 따름; 장학금은 전 과정 적용</w:t>
            </w:r>
          </w:p>
        </w:tc>
      </w:tr>
    </w:tbl>
    <w:p>
      <w:pPr>
        <w:spacing w:after="200" w:before="20" w:lineRule="auto" w:line="240"/>
        <w:jc w:val="left"/>
      </w:pPr>
      <w:r>
        <w:rPr>
          <w:rFonts w:ascii="Arial" w:cs="Arial" w:eastAsia="Malgun Gothic" w:hAnsi="Arial"/>
          <w:i w:val="false"/>
          <w:iCs w:val="false"/>
          <w:color w:val="435066"/>
          <w:sz w:val="19"/>
          <w:szCs w:val="19"/>
        </w:rPr>
        <w:t xml:space="preserve">출처: 리플릿 6쪽; 웹사이트.</w:t>
      </w:r>
    </w:p>
    <w:p>
      <w:pPr>
        <w:keepNext/>
        <w:spacing w:after="40" w:before="120"/>
        <w:jc w:val="center"/>
      </w:pPr>
      <w:r>
        <w:drawing>
          <wp:inline distT="0" distB="0" distL="0" distR="0">
            <wp:extent cx="432435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24350" cy="4076700"/>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8.1. </w:t>
      </w:r>
      <w:r>
        <w:rPr>
          <w:rFonts w:ascii="Arial" w:cs="Arial" w:eastAsia="Malgun Gothic" w:hAnsi="Arial"/>
          <w:i w:val="false"/>
          <w:iCs w:val="false"/>
          <w:color w:val="0D1B2E"/>
          <w:sz w:val="22"/>
          <w:szCs w:val="22"/>
        </w:rPr>
        <w:t xml:space="preserve">리플릿의 2026학년도 장학금 등급</w:t>
      </w:r>
    </w:p>
    <w:p>
      <w:pPr>
        <w:spacing w:after="200" w:before="20" w:lineRule="auto" w:line="240"/>
        <w:jc w:val="left"/>
      </w:pPr>
      <w:r>
        <w:rPr>
          <w:rFonts w:ascii="Arial" w:cs="Arial" w:eastAsia="Malgun Gothic" w:hAnsi="Arial"/>
          <w:i w:val="false"/>
          <w:iCs w:val="false"/>
          <w:color w:val="435066"/>
          <w:sz w:val="19"/>
          <w:szCs w:val="19"/>
        </w:rPr>
        <w:t xml:space="preserve">출처: 리플릿 6쪽.</w:t>
      </w:r>
    </w:p>
    <w:p>
      <w:pPr>
        <w:keepNext/>
        <w:spacing w:after="40" w:before="120"/>
        <w:jc w:val="center"/>
      </w:pPr>
      <w:r>
        <w:drawing>
          <wp:inline distT="0" distB="0" distL="0" distR="0">
            <wp:extent cx="5038725"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038725" cy="1943100"/>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8.2. </w:t>
      </w:r>
      <w:r>
        <w:rPr>
          <w:rFonts w:ascii="Arial" w:cs="Arial" w:eastAsia="Malgun Gothic" w:hAnsi="Arial"/>
          <w:i w:val="false"/>
          <w:iCs w:val="false"/>
          <w:color w:val="0D1B2E"/>
          <w:sz w:val="22"/>
          <w:szCs w:val="22"/>
        </w:rPr>
        <w:t xml:space="preserve">리플릿의 2026학년도 장학금 4차 접수 일정 및 등록금 혜택</w:t>
      </w:r>
    </w:p>
    <w:p>
      <w:pPr>
        <w:spacing w:after="200" w:before="20" w:lineRule="auto" w:line="240"/>
        <w:jc w:val="left"/>
      </w:pPr>
      <w:r>
        <w:rPr>
          <w:rFonts w:ascii="Arial" w:cs="Arial" w:eastAsia="Malgun Gothic" w:hAnsi="Arial"/>
          <w:i w:val="false"/>
          <w:iCs w:val="false"/>
          <w:color w:val="435066"/>
          <w:sz w:val="19"/>
          <w:szCs w:val="19"/>
        </w:rPr>
        <w:t xml:space="preserve">출처: 리플릿 6쪽.</w:t>
      </w:r>
    </w:p>
    <w:p>
      <w:pPr>
        <w:keepNext/>
        <w:spacing w:after="80" w:before="120" w:lineRule="auto" w:line="240"/>
        <w:jc w:val="center"/>
      </w:pPr>
      <w:r>
        <w:rPr>
          <w:rFonts w:ascii="Arial" w:cs="Arial" w:eastAsia="Malgun Gothic" w:hAnsi="Arial"/>
          <w:b/>
          <w:bCs/>
          <w:color w:val="0F2A4D"/>
          <w:sz w:val="22"/>
          <w:szCs w:val="22"/>
        </w:rPr>
        <w:t xml:space="preserve">표 8.2. </w:t>
      </w:r>
      <w:r>
        <w:rPr>
          <w:rFonts w:ascii="Arial" w:cs="Arial" w:eastAsia="Malgun Gothic" w:hAnsi="Arial"/>
          <w:i w:val="false"/>
          <w:iCs w:val="false"/>
          <w:color w:val="0D1B2E"/>
          <w:sz w:val="22"/>
          <w:szCs w:val="22"/>
        </w:rPr>
        <w:t xml:space="preserve">2026학년도 입학 장학금 등급</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54"/>
        <w:gridCol w:w="1701"/>
        <w:gridCol w:w="1701"/>
        <w:gridCol w:w="1247"/>
        <w:gridCol w:w="2268"/>
      </w:tblGrid>
      <w:tr>
        <w:trPr>
          <w:cantSplit/>
          <w:tblHeader/>
        </w:trPr>
        <w:tc>
          <w:tcPr>
            <w:tcW w:type="dxa" w:w="215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등급</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최소 금액(백만 동/인)</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등록금 대비 비율</w:t>
            </w:r>
          </w:p>
        </w:tc>
        <w:tc>
          <w:tcPr>
            <w:tcW w:type="dxa" w:w="124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인원</w:t>
            </w:r>
          </w:p>
        </w:tc>
        <w:tc>
          <w:tcPr>
            <w:tcW w:type="dxa" w:w="226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내신 조건</w:t>
            </w:r>
          </w:p>
        </w:tc>
      </w:tr>
      <w:tr>
        <w:trPr>
          <w:cantSplit/>
        </w:trPr>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GLOBAL 전액 장학금</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100%</w:t>
            </w:r>
          </w:p>
        </w:tc>
        <w:tc>
          <w:tcPr>
            <w:tcW w:type="dxa" w:w="124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15</w:t>
            </w:r>
          </w:p>
        </w:tc>
        <w:tc>
          <w:tcPr>
            <w:tcW w:type="dxa" w:w="226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25.5점 이상</w:t>
            </w:r>
          </w:p>
        </w:tc>
      </w:tr>
      <w:tr>
        <w:trPr>
          <w:cantSplit/>
        </w:trPr>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Unique</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218</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60%</w:t>
            </w:r>
          </w:p>
        </w:tc>
        <w:tc>
          <w:tcPr>
            <w:tcW w:type="dxa" w:w="124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30</w:t>
            </w:r>
          </w:p>
        </w:tc>
        <w:tc>
          <w:tcPr>
            <w:tcW w:type="dxa" w:w="226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24.5점 이상</w:t>
            </w:r>
          </w:p>
        </w:tc>
      </w:tr>
      <w:tr>
        <w:trPr>
          <w:cantSplit/>
        </w:trPr>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Liberal</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174</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48%</w:t>
            </w:r>
          </w:p>
        </w:tc>
        <w:tc>
          <w:tcPr>
            <w:tcW w:type="dxa" w:w="124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200</w:t>
            </w:r>
          </w:p>
        </w:tc>
        <w:tc>
          <w:tcPr>
            <w:tcW w:type="dxa" w:w="226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22.5점 이상</w:t>
            </w:r>
          </w:p>
        </w:tc>
      </w:tr>
      <w:tr>
        <w:trPr>
          <w:cantSplit/>
        </w:trPr>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Future</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109</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30%</w:t>
            </w:r>
          </w:p>
        </w:tc>
        <w:tc>
          <w:tcPr>
            <w:tcW w:type="dxa" w:w="124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455</w:t>
            </w:r>
          </w:p>
        </w:tc>
        <w:tc>
          <w:tcPr>
            <w:tcW w:type="dxa" w:w="226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21점 이상</w:t>
            </w:r>
          </w:p>
        </w:tc>
      </w:tr>
      <w:tr>
        <w:trPr>
          <w:cantSplit/>
        </w:trPr>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창립 신입생 우대</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b w:val="false"/>
                <w:bCs w:val="false"/>
                <w:color w:val="0D1B2E"/>
                <w:sz w:val="20"/>
                <w:szCs w:val="20"/>
              </w:rPr>
              <w:t xml:space="preserve">90</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b w:val="false"/>
                <w:bCs w:val="false"/>
                <w:color w:val="0D1B2E"/>
                <w:sz w:val="20"/>
                <w:szCs w:val="20"/>
              </w:rPr>
              <w:t xml:space="preserve">약 24.8%(추정)</w:t>
            </w:r>
          </w:p>
        </w:tc>
        <w:tc>
          <w:tcPr>
            <w:tcW w:type="dxa" w:w="124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b w:val="false"/>
                <w:bCs w:val="false"/>
                <w:color w:val="0D1B2E"/>
                <w:sz w:val="20"/>
                <w:szCs w:val="20"/>
              </w:rPr>
              <w:t xml:space="preserve">—</w:t>
            </w:r>
          </w:p>
        </w:tc>
        <w:tc>
          <w:tcPr>
            <w:tcW w:type="dxa" w:w="226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입학 절차 완료</w:t>
            </w:r>
          </w:p>
        </w:tc>
      </w:tr>
    </w:tbl>
    <w:p>
      <w:pPr>
        <w:spacing w:after="200" w:before="20" w:lineRule="auto" w:line="240"/>
        <w:jc w:val="left"/>
      </w:pPr>
      <w:r>
        <w:rPr>
          <w:rFonts w:ascii="Arial" w:cs="Arial" w:eastAsia="Malgun Gothic" w:hAnsi="Arial"/>
          <w:i w:val="false"/>
          <w:iCs w:val="false"/>
          <w:color w:val="435066"/>
          <w:sz w:val="19"/>
          <w:szCs w:val="19"/>
        </w:rPr>
        <w:t xml:space="preserve">출처: 등급명과 금액은 리플릿; 비율·인원·조건은 2025년 12월 언론 보도. UMT 입학 페이지의 이전 판에는 다른 비율이 기재된 적이 있습니다. 4차 접수 일정: 2025.12.1–2026.2.28; 2026.3.1–3.31; 2026.4.1–4.27; 2026.5.2–5.31.</w:t>
      </w:r>
    </w:p>
    <w:p>
      <w:pPr>
        <w:keepNext/>
        <w:spacing w:after="40" w:before="120"/>
        <w:jc w:val="center"/>
      </w:pPr>
      <w:r>
        <w:drawing>
          <wp:inline distT="0" distB="0" distL="0" distR="0">
            <wp:extent cx="57626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62625" cy="2381250"/>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8.3. </w:t>
      </w:r>
      <w:r>
        <w:rPr>
          <w:rFonts w:ascii="Arial" w:cs="Arial" w:eastAsia="Malgun Gothic" w:hAnsi="Arial"/>
          <w:i w:val="false"/>
          <w:iCs w:val="false"/>
          <w:color w:val="0D1B2E"/>
          <w:sz w:val="22"/>
          <w:szCs w:val="22"/>
        </w:rPr>
        <w:t xml:space="preserve">등급별 최소 장학금과 추정 전 과정 등록금 비교</w:t>
      </w:r>
    </w:p>
    <w:p>
      <w:pPr>
        <w:spacing w:after="200" w:before="20" w:lineRule="auto" w:line="240"/>
        <w:jc w:val="left"/>
      </w:pPr>
      <w:r>
        <w:rPr>
          <w:rFonts w:ascii="Arial" w:cs="Arial" w:eastAsia="Malgun Gothic" w:hAnsi="Arial"/>
          <w:i w:val="false"/>
          <w:iCs w:val="false"/>
          <w:color w:val="435066"/>
          <w:sz w:val="19"/>
          <w:szCs w:val="19"/>
        </w:rPr>
        <w:t xml:space="preserve">출처: 리플릿을 바탕으로 컨설턴트 작성; 추정 전 과정 등록금은 8.2절 참조.</w:t>
      </w:r>
    </w:p>
    <w:p>
      <w:pPr>
        <w:pStyle w:val="Heading2"/>
        <w:keepNext/>
      </w:pPr>
      <w:r>
        <w:t xml:space="preserve">8.2 정가 등록금과 실수납 등록금</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Arial" w:cs="Arial" w:eastAsia="Malgun Gothic" w:hAnsi="Arial"/>
                <w:b/>
                <w:bCs/>
                <w:color w:val="0F2A4D"/>
                <w:sz w:val="22"/>
                <w:szCs w:val="22"/>
              </w:rPr>
              <w:t xml:space="preserve">분석 · 추정 정가 등록금</w:t>
            </w:r>
          </w:p>
          <w:p>
            <w:pPr>
              <w:spacing w:after="80" w:before="0" w:lineRule="auto" w:line="253"/>
              <w:jc w:val="both"/>
            </w:pPr>
            <w:r>
              <w:rPr>
                <w:rFonts w:ascii="Arial" w:cs="Arial" w:eastAsia="Malgun Gothic" w:hAnsi="Arial"/>
                <w:color w:val="0D1B2E"/>
                <w:sz w:val="22"/>
                <w:szCs w:val="22"/>
              </w:rPr>
              <w:t xml:space="preserve">각 등급의 최소 금액을 해당 비율로 나누면 같은 값이 나옵니다: 218 ÷ 0.60 ≈ 363; 174 ÷ 0.48 ≈ 362.5; 109 ÷ 0.30 ≈ 363(백만 동). 따라서 전 과정 정가 등록금은 약 </w:t>
            </w:r>
            <w:r>
              <w:rPr>
                <w:rFonts w:ascii="Arial" w:cs="Arial" w:eastAsia="Malgun Gothic" w:hAnsi="Arial"/>
                <w:b/>
                <w:bCs/>
                <w:color w:val="0D1B2E"/>
                <w:sz w:val="22"/>
                <w:szCs w:val="22"/>
              </w:rPr>
              <w:t xml:space="preserve">3억 6,300만 동(약 1,965만 원)</w:t>
            </w:r>
            <w:r>
              <w:rPr>
                <w:rFonts w:ascii="Arial" w:cs="Arial" w:eastAsia="Malgun Gothic" w:hAnsi="Arial"/>
                <w:color w:val="0D1B2E"/>
                <w:sz w:val="22"/>
                <w:szCs w:val="22"/>
              </w:rPr>
              <w:t xml:space="preserve">, 연간 약 1억 370만 동(약 561만 원, 약 4,050 USD)이며, 학교가 2023년부터 약정한 전 과정 상한 3억 6,500만 동과도 일치합니다.</w:t>
            </w:r>
          </w:p>
          <w:p>
            <w:pPr>
              <w:spacing w:after="80" w:before="0" w:lineRule="auto" w:line="253"/>
              <w:jc w:val="both"/>
            </w:pPr>
            <w:r>
              <w:rPr>
                <w:rFonts w:ascii="Arial" w:cs="Arial" w:eastAsia="Malgun Gothic" w:hAnsi="Arial"/>
                <w:color w:val="0D1B2E"/>
                <w:sz w:val="22"/>
                <w:szCs w:val="22"/>
              </w:rPr>
              <w:t xml:space="preserve">최저 장학금 9,000만 동을 적용하면 납부액은 전 과정 약 2억 7,300만 동(연 7,800만 동, 약 422만 원)이고, 웹사이트의 9,500만 동 기준으로는 2억 6,800만 동(연 7,660만 동)입니다. “학기당 1,700만–1,800만 동”에 11학기를 곱하면 1억 8,700만–1억 9,800만 동에 불과해 훨씬 낮으므로, 이 금액은 높은 장학금 등급에 적용되는 것으로 보입니다. 전공별·장학 등급별 공식 등록금표가 필요합니다.</w:t>
            </w:r>
          </w:p>
        </w:tc>
      </w:tr>
    </w:tbl>
    <w:p>
      <w:pPr>
        <w:spacing w:after="120" w:before="0"/>
      </w:pPr>
    </w:p>
    <w:p>
      <w:pPr>
        <w:keepNext w:val="false"/>
        <w:spacing w:after="120" w:before="0" w:lineRule="auto" w:line="264"/>
        <w:jc w:val="both"/>
      </w:pPr>
      <w:r>
        <w:rPr>
          <w:rFonts w:ascii="Arial" w:cs="Arial" w:eastAsia="Malgun Gothic" w:hAnsi="Arial"/>
          <w:color w:val="0D1B2E"/>
          <w:sz w:val="24"/>
          <w:szCs w:val="24"/>
        </w:rPr>
        <w:t xml:space="preserve">공시보고서로 </w:t>
      </w:r>
      <w:r>
        <w:rPr>
          <w:rFonts w:ascii="Arial" w:cs="Arial" w:eastAsia="Malgun Gothic" w:hAnsi="Arial"/>
          <w:b/>
          <w:bCs/>
          <w:color w:val="0D1B2E"/>
          <w:sz w:val="24"/>
          <w:szCs w:val="24"/>
        </w:rPr>
        <w:t xml:space="preserve">실수납 등록금</w:t>
      </w:r>
      <w:r>
        <w:rPr>
          <w:rFonts w:ascii="Arial" w:cs="Arial" w:eastAsia="Malgun Gothic" w:hAnsi="Arial"/>
          <w:color w:val="0D1B2E"/>
          <w:sz w:val="24"/>
          <w:szCs w:val="24"/>
        </w:rPr>
        <w:t xml:space="preserve">을 측정할 수 있습니다. 2025년 학교의 등록금·수수료 수입은 308.6억 동이었습니다. 이를 학기말 재학생 727명으로 나누면 1인당 연 4,250만 동(약 230만 원)입니다. 2025년 평균 재학생을 약 509명(1–8월 약 400명, 즉 727명에서 신입생 336명을 빼고 중도탈락자를 더한 수; 9월 이후 약 727명)으로 추정하면 6,060만 동(약 328만 원)입니다. 두 수치 모두 정가보다 훨씬 낮습니다.</w:t>
      </w:r>
    </w:p>
    <w:p>
      <w:pPr>
        <w:keepNext/>
        <w:spacing w:after="40" w:before="120"/>
        <w:jc w:val="center"/>
      </w:pPr>
      <w:r>
        <w:drawing>
          <wp:inline distT="0" distB="0" distL="0" distR="0">
            <wp:extent cx="576262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62625" cy="2400300"/>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8.4. </w:t>
      </w:r>
      <w:r>
        <w:rPr>
          <w:rFonts w:ascii="Arial" w:cs="Arial" w:eastAsia="Malgun Gothic" w:hAnsi="Arial"/>
          <w:i w:val="false"/>
          <w:iCs w:val="false"/>
          <w:color w:val="0D1B2E"/>
          <w:sz w:val="22"/>
          <w:szCs w:val="22"/>
        </w:rPr>
        <w:t xml:space="preserve">학생 1인당 정가 등록금, 장학금 차감 후 등록금, 실수납 등록금 및 운영비</w:t>
      </w:r>
    </w:p>
    <w:p>
      <w:pPr>
        <w:spacing w:after="200" w:before="20" w:lineRule="auto" w:line="240"/>
        <w:jc w:val="left"/>
      </w:pPr>
      <w:r>
        <w:rPr>
          <w:rFonts w:ascii="Arial" w:cs="Arial" w:eastAsia="Malgun Gothic" w:hAnsi="Arial"/>
          <w:i w:val="false"/>
          <w:iCs w:val="false"/>
          <w:color w:val="435066"/>
          <w:sz w:val="19"/>
          <w:szCs w:val="19"/>
        </w:rPr>
        <w:t xml:space="preserve">출처: 공시보고서와 리플릿을 바탕으로 컨설턴트 산출. 분모 두 가지: 재학생 727명(2026.5.31), 2025년 평균 재학생 추정 509명.</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Arial" w:cs="Arial" w:eastAsia="Malgun Gothic" w:hAnsi="Arial"/>
                <w:b/>
                <w:bCs/>
                <w:color w:val="0F2A4D"/>
                <w:sz w:val="22"/>
                <w:szCs w:val="22"/>
              </w:rPr>
              <w:t xml:space="preserve">분석 · 실질 할인율</w:t>
            </w:r>
          </w:p>
          <w:p>
            <w:pPr>
              <w:spacing w:after="60" w:before="0" w:lineRule="auto" w:line="253"/>
              <w:ind w:left="300" w:hanging="220"/>
              <w:jc w:val="both"/>
            </w:pPr>
            <w:r>
              <w:rPr>
                <w:rFonts w:ascii="Arial" w:cs="Arial" w:eastAsia="Malgun Gothic" w:hAnsi="Arial"/>
                <w:color w:val="0D1B2E"/>
                <w:sz w:val="22"/>
                <w:szCs w:val="22"/>
              </w:rPr>
              <w:t xml:space="preserve">• 평균 실수납 등록금은 추정 정가의 41–58%에 불과해, 장학금과 혜택을 반영한 실질 할인율은 42–59%입니다.</w:t>
            </w:r>
          </w:p>
          <w:p>
            <w:pPr>
              <w:spacing w:after="60" w:before="0" w:lineRule="auto" w:line="253"/>
              <w:ind w:left="300" w:hanging="220"/>
              <w:jc w:val="both"/>
            </w:pPr>
            <w:r>
              <w:rPr>
                <w:rFonts w:ascii="Arial" w:cs="Arial" w:eastAsia="Malgun Gothic" w:hAnsi="Arial"/>
                <w:color w:val="0D1B2E"/>
                <w:sz w:val="22"/>
                <w:szCs w:val="22"/>
              </w:rPr>
              <w:t xml:space="preserve">• 2025년 장학금·학업 지원 지출은 1,000만 동에 불과해, 장학금이 비용이 아니라 등록금 수입에서 직접 차감되는 것으로 보입니다. 감사받은 재무제표에서 회계 처리 방식을 확인해야 합니다.</w:t>
            </w:r>
          </w:p>
          <w:p>
            <w:pPr>
              <w:spacing w:after="60" w:before="0" w:lineRule="auto" w:line="253"/>
              <w:ind w:left="300" w:hanging="220"/>
              <w:jc w:val="both"/>
            </w:pPr>
            <w:r>
              <w:rPr>
                <w:rFonts w:ascii="Arial" w:cs="Arial" w:eastAsia="Malgun Gothic" w:hAnsi="Arial"/>
                <w:color w:val="0D1B2E"/>
                <w:sz w:val="22"/>
                <w:szCs w:val="22"/>
              </w:rPr>
              <w:t xml:space="preserve">• 학생 1인당 운영비는 연 1억 1,090만–1억 5,850만 동(약 600만–858만 원)으로 정가 등록금보다도 높습니다. 현 규모에서는 학생이 늘어날수록 1인당 비용이 낮아집니다.</w:t>
            </w:r>
          </w:p>
        </w:tc>
      </w:tr>
    </w:tbl>
    <w:p>
      <w:pPr>
        <w:spacing w:after="120" w:before="0"/>
      </w:pPr>
    </w:p>
    <w:p>
      <w:pPr>
        <w:keepNext/>
        <w:spacing w:after="80" w:before="120" w:lineRule="auto" w:line="240"/>
        <w:jc w:val="center"/>
      </w:pPr>
      <w:r>
        <w:rPr>
          <w:rFonts w:ascii="Arial" w:cs="Arial" w:eastAsia="Malgun Gothic" w:hAnsi="Arial"/>
          <w:b/>
          <w:bCs/>
          <w:color w:val="0F2A4D"/>
          <w:sz w:val="22"/>
          <w:szCs w:val="22"/>
        </w:rPr>
        <w:t xml:space="preserve">표 8.3. </w:t>
      </w:r>
      <w:r>
        <w:rPr>
          <w:rFonts w:ascii="Arial" w:cs="Arial" w:eastAsia="Malgun Gothic" w:hAnsi="Arial"/>
          <w:i w:val="false"/>
          <w:iCs w:val="false"/>
          <w:color w:val="0D1B2E"/>
          <w:sz w:val="22"/>
          <w:szCs w:val="22"/>
        </w:rPr>
        <w:t xml:space="preserve">2022–2026년 등록금·장학 정책 변화</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4309"/>
        <w:gridCol w:w="3855"/>
      </w:tblGrid>
      <w:tr>
        <w:trPr>
          <w:cantSplit/>
          <w:tblHeader/>
        </w:trPr>
        <w:tc>
          <w:tcPr>
            <w:tcW w:type="dxa" w:w="90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입학 연도</w:t>
            </w:r>
          </w:p>
        </w:tc>
        <w:tc>
          <w:tcPr>
            <w:tcW w:type="dxa" w:w="430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등록금</w:t>
            </w:r>
          </w:p>
        </w:tc>
        <w:tc>
          <w:tcPr>
            <w:tcW w:type="dxa" w:w="385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장학금·지원</w:t>
            </w:r>
          </w:p>
        </w:tc>
      </w:tr>
      <w:tr>
        <w:trPr>
          <w:cantSplit/>
        </w:trPr>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2022</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전공별 월 820만–840만 동(예정); 전 과정 동결 약정</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100명, 총 80억 동 이상, 최고 전 과정 3억 6,000만 동; 신한은행·ACB 분할납부, 무이자 지원</w:t>
            </w:r>
          </w:p>
        </w:tc>
      </w:tr>
      <w:tr>
        <w:trPr>
          <w:cantSplit/>
        </w:trPr>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2023</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학기별 정액제: 학기당 3,500만 동(정보기술 3,600만 동); 전 과정 상한 3억 6,500만 동. 차액을 마지막 학기에만 환급해 학생 불만 제기(언론 보도)</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입학 연도 정책에 따름</w:t>
            </w:r>
          </w:p>
        </w:tc>
      </w:tr>
      <w:tr>
        <w:trPr>
          <w:cantSplit/>
        </w:trPr>
        <w:tc>
          <w:tcPr>
            <w:tcW w:type="dxa" w:w="90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2025</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“안정적인 등록금”</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장학기금 800억 동 이상; 전 과정 등록금의 25%, 50%, 100%</w:t>
            </w:r>
          </w:p>
        </w:tc>
      </w:tr>
      <w:tr>
        <w:trPr>
          <w:cantSplit/>
        </w:trPr>
        <w:tc>
          <w:tcPr>
            <w:tcW w:type="dxa" w:w="90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2026</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학기당 1,700만 동(리플릿) 또는 1,800만 동(웹사이트)부터; 전 과정 동결 약정</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기금 1,110억 동 이상(리플릿) 또는 1,140억 동(웹사이트); 신입생 1인당 최소 9,000만 동 또는 9,500만 동</w:t>
            </w:r>
          </w:p>
        </w:tc>
      </w:tr>
    </w:tbl>
    <w:p>
      <w:pPr>
        <w:spacing w:after="200" w:before="20" w:lineRule="auto" w:line="240"/>
        <w:jc w:val="left"/>
      </w:pPr>
      <w:r>
        <w:rPr>
          <w:rFonts w:ascii="Arial" w:cs="Arial" w:eastAsia="Malgun Gothic" w:hAnsi="Arial"/>
          <w:i w:val="false"/>
          <w:iCs w:val="false"/>
          <w:color w:val="435066"/>
          <w:sz w:val="19"/>
          <w:szCs w:val="19"/>
        </w:rPr>
        <w:t xml:space="preserve">출처: 언론 보도, 리플릿, 웹사이트.</w:t>
      </w:r>
    </w:p>
    <w:p>
      <w:pPr>
        <w:keepNext/>
        <w:spacing w:after="80" w:before="120" w:lineRule="auto" w:line="240"/>
        <w:jc w:val="center"/>
      </w:pPr>
      <w:r>
        <w:rPr>
          <w:rFonts w:ascii="Arial" w:cs="Arial" w:eastAsia="Malgun Gothic" w:hAnsi="Arial"/>
          <w:b/>
          <w:bCs/>
          <w:color w:val="0F2A4D"/>
          <w:sz w:val="22"/>
          <w:szCs w:val="22"/>
        </w:rPr>
        <w:t xml:space="preserve">표 8.4. </w:t>
      </w:r>
      <w:r>
        <w:rPr>
          <w:rFonts w:ascii="Arial" w:cs="Arial" w:eastAsia="Malgun Gothic" w:hAnsi="Arial"/>
          <w:i w:val="false"/>
          <w:iCs w:val="false"/>
          <w:color w:val="0D1B2E"/>
          <w:sz w:val="22"/>
          <w:szCs w:val="22"/>
        </w:rPr>
        <w:t xml:space="preserve">호찌민시 주요 사립대학의 2026학년도 등록금</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3515"/>
        <w:gridCol w:w="1474"/>
        <w:gridCol w:w="1361"/>
      </w:tblGrid>
      <w:tr>
        <w:trPr>
          <w:cantSplit/>
          <w:tblHeader/>
        </w:trPr>
        <w:tc>
          <w:tcPr>
            <w:tcW w:type="dxa" w:w="272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대학</w:t>
            </w:r>
          </w:p>
        </w:tc>
        <w:tc>
          <w:tcPr>
            <w:tcW w:type="dxa" w:w="351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공표 등록금</w:t>
            </w:r>
          </w:p>
        </w:tc>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백만 동/년</w:t>
            </w:r>
          </w:p>
        </w:tc>
        <w:tc>
          <w:tcPr>
            <w:tcW w:type="dxa" w:w="13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만 원/년</w:t>
            </w:r>
          </w:p>
        </w:tc>
      </w:tr>
      <w:tr>
        <w:trPr>
          <w:cantSplit/>
        </w:trPr>
        <w:tc>
          <w:tcPr>
            <w:tcW w:type="dxa" w:w="272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UMT – 추정 정가</w:t>
            </w:r>
          </w:p>
        </w:tc>
        <w:tc>
          <w:tcPr>
            <w:tcW w:type="dxa" w:w="35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전 과정(3.5년) 약 3억 6,300만 동</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약 103.7</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약 561</w:t>
            </w:r>
          </w:p>
        </w:tc>
      </w:tr>
      <w:tr>
        <w:trPr>
          <w:cantSplit/>
        </w:trPr>
        <w:tc>
          <w:tcPr>
            <w:tcW w:type="dxa" w:w="272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UMT – 최저 장학금 차감 후</w:t>
            </w:r>
          </w:p>
        </w:tc>
        <w:tc>
          <w:tcPr>
            <w:tcW w:type="dxa" w:w="35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전 과정 약 2억 7,300만 동</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약 78.0</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약 422</w:t>
            </w:r>
          </w:p>
        </w:tc>
      </w:tr>
      <w:tr>
        <w:trPr>
          <w:cantSplit/>
        </w:trPr>
        <w:tc>
          <w:tcPr>
            <w:tcW w:type="dxa" w:w="272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UMT – 2025년 평균 실수납</w:t>
            </w:r>
          </w:p>
        </w:tc>
        <w:tc>
          <w:tcPr>
            <w:tcW w:type="dxa" w:w="35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308.6억 동 ÷ 재학생 509–727명</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42.5–60.6</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230–328</w:t>
            </w:r>
          </w:p>
        </w:tc>
      </w:tr>
      <w:tr>
        <w:trPr>
          <w:cantSplit/>
        </w:trPr>
        <w:tc>
          <w:tcPr>
            <w:tcW w:type="dxa" w:w="272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UEF(경제재정대학교)</w:t>
            </w:r>
          </w:p>
        </w:tc>
        <w:tc>
          <w:tcPr>
            <w:tcW w:type="dxa" w:w="35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학기당 2,000만–2,200만 동, 연 4학기</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80–88</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433–476</w:t>
            </w:r>
          </w:p>
        </w:tc>
      </w:tr>
      <w:tr>
        <w:trPr>
          <w:cantSplit/>
        </w:trPr>
        <w:tc>
          <w:tcPr>
            <w:tcW w:type="dxa" w:w="272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호아센대학교</w:t>
            </w:r>
          </w:p>
        </w:tc>
        <w:tc>
          <w:tcPr>
            <w:tcW w:type="dxa" w:w="35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연 4,500만–8,500만 동</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45–85</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244–460</w:t>
            </w:r>
          </w:p>
        </w:tc>
      </w:tr>
      <w:tr>
        <w:trPr>
          <w:cantSplit/>
        </w:trPr>
        <w:tc>
          <w:tcPr>
            <w:tcW w:type="dxa" w:w="272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반랑대학교(일반 과정)</w:t>
            </w:r>
          </w:p>
        </w:tc>
        <w:tc>
          <w:tcPr>
            <w:tcW w:type="dxa" w:w="35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학기당 2,200만–3,200만 동</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val="false"/>
                <w:bCs w:val="false"/>
                <w:color w:val="0D1B2E"/>
                <w:sz w:val="20"/>
                <w:szCs w:val="20"/>
              </w:rPr>
              <w:t xml:space="preserve">—</w:t>
            </w:r>
          </w:p>
        </w:tc>
      </w:tr>
      <w:tr>
        <w:trPr>
          <w:cantSplit/>
        </w:trPr>
        <w:tc>
          <w:tcPr>
            <w:tcW w:type="dxa" w:w="272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FPT대학교</w:t>
            </w:r>
          </w:p>
        </w:tc>
        <w:tc>
          <w:tcPr>
            <w:tcW w:type="dxa" w:w="35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학기당 1,548만–3,160만 동</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b w:val="false"/>
                <w:bCs w:val="false"/>
                <w:color w:val="0D1B2E"/>
                <w:sz w:val="20"/>
                <w:szCs w:val="20"/>
              </w:rPr>
              <w:t xml:space="preserve">—</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b w:val="false"/>
                <w:bCs w:val="false"/>
                <w:color w:val="0D1B2E"/>
                <w:sz w:val="20"/>
                <w:szCs w:val="20"/>
              </w:rPr>
              <w:t xml:space="preserve">—</w:t>
            </w:r>
          </w:p>
        </w:tc>
      </w:tr>
    </w:tbl>
    <w:p>
      <w:pPr>
        <w:spacing w:after="200" w:before="20" w:lineRule="auto" w:line="240"/>
        <w:jc w:val="left"/>
      </w:pPr>
      <w:r>
        <w:rPr>
          <w:rFonts w:ascii="Arial" w:cs="Arial" w:eastAsia="Malgun Gothic" w:hAnsi="Arial"/>
          <w:i w:val="false"/>
          <w:iCs w:val="false"/>
          <w:color w:val="435066"/>
          <w:sz w:val="19"/>
          <w:szCs w:val="19"/>
        </w:rPr>
        <w:t xml:space="preserve">출처: 언론 보도(2026.8); UMT 수치는 위 분석 기준. 반랑과 FPT는 연간 학기 수가 달라 환산하지 않았습니다.</w:t>
      </w:r>
    </w:p>
    <w:p>
      <w:pPr>
        <w:pStyle w:val="Heading1"/>
        <w:pageBreakBefore/>
      </w:pPr>
      <w:r>
        <w:t xml:space="preserve">9. 교직원 및 급여</w:t>
      </w:r>
    </w:p>
    <w:p>
      <w:pPr>
        <w:pStyle w:val="Heading2"/>
        <w:keepNext/>
      </w:pPr>
      <w:r>
        <w:t xml:space="preserve">9.1 교원</w:t>
      </w:r>
    </w:p>
    <w:p>
      <w:pPr>
        <w:keepNext w:val="false"/>
        <w:spacing w:after="120" w:before="0" w:lineRule="auto" w:line="264"/>
        <w:jc w:val="both"/>
      </w:pPr>
      <w:r>
        <w:rPr>
          <w:rFonts w:ascii="Arial" w:cs="Arial" w:eastAsia="Malgun Gothic" w:hAnsi="Arial"/>
          <w:color w:val="0D1B2E"/>
          <w:sz w:val="24"/>
          <w:szCs w:val="24"/>
        </w:rPr>
        <w:t xml:space="preserve">학교의 전임교원은 182명으로, 부교수 2명, 박사 38명, 석사 141명, 학사 1명입니다. 기준 표에 따르면 전임교원의 96.95%가 생산가능연령이며 98.2%가 개인 연구 공간을 갖고 있습니다.</w:t>
      </w:r>
    </w:p>
    <w:p>
      <w:pPr>
        <w:keepNext/>
        <w:spacing w:after="40" w:before="120"/>
        <w:jc w:val="center"/>
      </w:pPr>
      <w:r>
        <w:drawing>
          <wp:inline distT="0" distB="0" distL="0" distR="0">
            <wp:extent cx="5762625"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62625" cy="3219450"/>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9.1. </w:t>
      </w:r>
      <w:r>
        <w:rPr>
          <w:rFonts w:ascii="Arial" w:cs="Arial" w:eastAsia="Malgun Gothic" w:hAnsi="Arial"/>
          <w:i w:val="false"/>
          <w:iCs w:val="false"/>
          <w:color w:val="0D1B2E"/>
          <w:sz w:val="22"/>
          <w:szCs w:val="22"/>
        </w:rPr>
        <w:t xml:space="preserve">학위별 교원 구성과 박사 비율 대비 기준선</w:t>
      </w:r>
    </w:p>
    <w:p>
      <w:pPr>
        <w:spacing w:after="200" w:before="20" w:lineRule="auto" w:line="240"/>
        <w:jc w:val="left"/>
      </w:pPr>
      <w:r>
        <w:rPr>
          <w:rFonts w:ascii="Arial" w:cs="Arial" w:eastAsia="Malgun Gothic" w:hAnsi="Arial"/>
          <w:i w:val="false"/>
          <w:iCs w:val="false"/>
          <w:color w:val="435066"/>
          <w:sz w:val="19"/>
          <w:szCs w:val="19"/>
        </w:rPr>
        <w:t xml:space="preserve">출처: 공시보고서 III.1, III.3b를 바탕으로 컨설턴트 작성; 기준선은 고등교육기관 기준 시행규칙.</w:t>
      </w:r>
    </w:p>
    <w:p>
      <w:pPr>
        <w:keepNext/>
        <w:spacing w:after="80" w:before="120" w:lineRule="auto" w:line="240"/>
        <w:jc w:val="center"/>
      </w:pPr>
      <w:r>
        <w:rPr>
          <w:rFonts w:ascii="Arial" w:cs="Arial" w:eastAsia="Malgun Gothic" w:hAnsi="Arial"/>
          <w:b/>
          <w:bCs/>
          <w:color w:val="0F2A4D"/>
          <w:sz w:val="22"/>
          <w:szCs w:val="22"/>
        </w:rPr>
        <w:t xml:space="preserve">표 9.1. </w:t>
      </w:r>
      <w:r>
        <w:rPr>
          <w:rFonts w:ascii="Arial" w:cs="Arial" w:eastAsia="Malgun Gothic" w:hAnsi="Arial"/>
          <w:i w:val="false"/>
          <w:iCs w:val="false"/>
          <w:color w:val="0D1B2E"/>
          <w:sz w:val="22"/>
          <w:szCs w:val="22"/>
        </w:rPr>
        <w:t xml:space="preserve">교원 지표</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1701"/>
        <w:gridCol w:w="2834"/>
      </w:tblGrid>
      <w:tr>
        <w:trPr>
          <w:cantSplit/>
          <w:tblHeader/>
        </w:trPr>
        <w:tc>
          <w:tcPr>
            <w:tcW w:type="dxa" w:w="4536"/>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지표</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값</w:t>
            </w:r>
          </w:p>
        </w:tc>
        <w:tc>
          <w:tcPr>
            <w:tcW w:type="dxa" w:w="283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비고</w:t>
            </w:r>
          </w:p>
        </w:tc>
      </w:tr>
      <w:tr>
        <w:trPr>
          <w:cantSplit/>
        </w:trPr>
        <w:tc>
          <w:tcPr>
            <w:tcW w:type="dxa" w:w="45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전임교원</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182명</w:t>
            </w:r>
          </w:p>
        </w:tc>
        <w:tc>
          <w:tcPr>
            <w:tcW w:type="dxa" w:w="28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부교수 2, 박사 38, 석사 141, 학사 1</w:t>
            </w:r>
          </w:p>
        </w:tc>
      </w:tr>
      <w:tr>
        <w:trPr>
          <w:cantSplit/>
        </w:trPr>
        <w:tc>
          <w:tcPr>
            <w:tcW w:type="dxa" w:w="45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박사학위 교원 비율</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23.17%</w:t>
            </w:r>
          </w:p>
        </w:tc>
        <w:tc>
          <w:tcPr>
            <w:tcW w:type="dxa" w:w="28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재계산 40/182 = 21.98%; 30% 달성에 55명 필요</w:t>
            </w:r>
          </w:p>
        </w:tc>
      </w:tr>
      <w:tr>
        <w:trPr>
          <w:cantSplit/>
        </w:trPr>
        <w:tc>
          <w:tcPr>
            <w:tcW w:type="dxa" w:w="45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교원 1인당 학생 수</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4.21</w:t>
            </w:r>
          </w:p>
        </w:tc>
        <w:tc>
          <w:tcPr>
            <w:tcW w:type="dxa" w:w="28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기준 표 기준; III.3d항은 3.2(환산 학생 수, “2025.5.31 기준”); 재계산 727/182 = 3.99</w:t>
            </w:r>
          </w:p>
        </w:tc>
      </w:tr>
      <w:tr>
        <w:trPr>
          <w:cantSplit/>
        </w:trPr>
        <w:tc>
          <w:tcPr>
            <w:tcW w:type="dxa" w:w="45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생산가능연령 전임교원 비율</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96.95%</w:t>
            </w:r>
          </w:p>
        </w:tc>
        <w:tc>
          <w:tcPr>
            <w:tcW w:type="dxa" w:w="28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기준 ≥ 70%</w:t>
            </w:r>
          </w:p>
        </w:tc>
      </w:tr>
      <w:tr>
        <w:trPr>
          <w:cantSplit/>
        </w:trPr>
        <w:tc>
          <w:tcPr>
            <w:tcW w:type="dxa" w:w="45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연수·역량 강화 교원</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35명(2025); 25명(2024)</w:t>
            </w:r>
          </w:p>
        </w:tc>
        <w:tc>
          <w:tcPr>
            <w:tcW w:type="dxa" w:w="28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p>
        </w:tc>
      </w:tr>
      <w:tr>
        <w:trPr>
          <w:cantSplit/>
        </w:trPr>
        <w:tc>
          <w:tcPr>
            <w:tcW w:type="dxa" w:w="453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연수·역량 강화 관리자</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18명(2025); 7명(2024)</w:t>
            </w:r>
          </w:p>
        </w:tc>
        <w:tc>
          <w:tcPr>
            <w:tcW w:type="dxa" w:w="28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p>
        </w:tc>
      </w:tr>
      <w:tr>
        <w:trPr>
          <w:cantSplit/>
        </w:trPr>
        <w:tc>
          <w:tcPr>
            <w:tcW w:type="dxa" w:w="45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연수·역량 강화 직원</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color w:val="0D1B2E"/>
                <w:sz w:val="20"/>
                <w:szCs w:val="20"/>
              </w:rPr>
              <w:t xml:space="preserve">74명(2025); 64명(2024)</w:t>
            </w:r>
          </w:p>
        </w:tc>
        <w:tc>
          <w:tcPr>
            <w:tcW w:type="dxa" w:w="28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III.1, III.3.</w:t>
      </w:r>
    </w:p>
    <w:p>
      <w:pPr>
        <w:pStyle w:val="Heading2"/>
        <w:keepNext/>
      </w:pPr>
      <w:r>
        <w:t xml:space="preserve">9.2 관리자 및 직원</w:t>
      </w:r>
    </w:p>
    <w:p>
      <w:pPr>
        <w:keepNext w:val="false"/>
        <w:spacing w:after="120" w:before="0" w:lineRule="auto" w:line="264"/>
        <w:jc w:val="both"/>
      </w:pPr>
      <w:r>
        <w:rPr>
          <w:rFonts w:ascii="Arial" w:cs="Arial" w:eastAsia="Malgun Gothic" w:hAnsi="Arial"/>
          <w:color w:val="0D1B2E"/>
          <w:sz w:val="24"/>
          <w:szCs w:val="24"/>
        </w:rPr>
        <w:t xml:space="preserve">공시보고서는 관리직 14개(대학이사회 의장, 총장, 부총장, 회계책임자, 교무처·입학처·인사총무처·IT·디지털전환처·감사법무처·개발건설처·시설관리처의 처장·부처장, One UMT Hub·홍보·구매 팀장), 전문직 33명, 일반직 34명을 기재합니다. 교원을 합한 전임 인력은 </w:t>
      </w:r>
      <w:r>
        <w:rPr>
          <w:rFonts w:ascii="Arial" w:cs="Arial" w:eastAsia="Malgun Gothic" w:hAnsi="Arial"/>
          <w:b/>
          <w:bCs/>
          <w:color w:val="0D1B2E"/>
          <w:sz w:val="24"/>
          <w:szCs w:val="24"/>
        </w:rPr>
        <w:t xml:space="preserve">263명</w:t>
      </w:r>
      <w:r>
        <w:rPr>
          <w:rFonts w:ascii="Arial" w:cs="Arial" w:eastAsia="Malgun Gothic" w:hAnsi="Arial"/>
          <w:color w:val="0D1B2E"/>
          <w:sz w:val="24"/>
          <w:szCs w:val="24"/>
        </w:rPr>
        <w:t xml:space="preserve">으로, 2025년 11월 전공 개설안의 교원·직원 259명과 비슷합니다.</w:t>
      </w:r>
    </w:p>
    <w:p>
      <w:pPr>
        <w:pStyle w:val="Heading2"/>
        <w:keepNext/>
      </w:pPr>
      <w:r>
        <w:t xml:space="preserve">9.3 인건비와 급여 수준</w:t>
      </w:r>
    </w:p>
    <w:p>
      <w:pPr>
        <w:keepNext w:val="false"/>
        <w:spacing w:after="120" w:before="0" w:lineRule="auto" w:line="264"/>
        <w:jc w:val="both"/>
      </w:pPr>
      <w:r>
        <w:rPr>
          <w:rFonts w:ascii="Arial" w:cs="Arial" w:eastAsia="Malgun Gothic" w:hAnsi="Arial"/>
          <w:color w:val="0D1B2E"/>
          <w:sz w:val="24"/>
          <w:szCs w:val="24"/>
        </w:rPr>
        <w:t xml:space="preserve">2025년 학교의 인건비(급여·수당)는 549.9억 동(약 29.8억 원)으로 총지출의 68.2%이며, 2024년보다 21.4% 증가했습니다. 학교는 급여표를 공개하지 않습니다. 채용 페이지는 직위, 역량, 성과, 기여도에 따른 보상 정책과 함께 법정 보험, 점심 제공, 교직원 자녀 장학금, 석·박사 학비 최대 100% 지원 등의 복리후생을 소개합니다.</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Arial" w:cs="Arial" w:eastAsia="Malgun Gothic" w:hAnsi="Arial"/>
                <w:b/>
                <w:bCs/>
                <w:color w:val="0F2A4D"/>
                <w:sz w:val="22"/>
                <w:szCs w:val="22"/>
              </w:rPr>
              <w:t xml:space="preserve">분석 · 1인당 평균 인건비</w:t>
            </w:r>
          </w:p>
          <w:p>
            <w:pPr>
              <w:spacing w:after="80" w:before="0" w:lineRule="auto" w:line="253"/>
              <w:jc w:val="both"/>
            </w:pPr>
            <w:r>
              <w:rPr>
                <w:rFonts w:ascii="Arial" w:cs="Arial" w:eastAsia="Malgun Gothic" w:hAnsi="Arial"/>
                <w:color w:val="0D1B2E"/>
                <w:sz w:val="22"/>
                <w:szCs w:val="22"/>
              </w:rPr>
              <w:t xml:space="preserve">2025년 인건비를 전임 인력 263명으로 나누면 1인당 연 약 </w:t>
            </w:r>
            <w:r>
              <w:rPr>
                <w:rFonts w:ascii="Arial" w:cs="Arial" w:eastAsia="Malgun Gothic" w:hAnsi="Arial"/>
                <w:b/>
                <w:bCs/>
                <w:color w:val="0D1B2E"/>
                <w:sz w:val="22"/>
                <w:szCs w:val="22"/>
              </w:rPr>
              <w:t xml:space="preserve">2억 900만 동(약 1,132만 원), 월 약 1,740만 동(약 94만 원)</w:t>
            </w:r>
            <w:r>
              <w:rPr>
                <w:rFonts w:ascii="Arial" w:cs="Arial" w:eastAsia="Malgun Gothic" w:hAnsi="Arial"/>
                <w:color w:val="0D1B2E"/>
                <w:sz w:val="22"/>
                <w:szCs w:val="22"/>
              </w:rPr>
              <w:t xml:space="preserve">, 연 약 8,160 USD입니다. 이는 학교 차원의 평균 비용으로 보험료 부담분과 시간강사 보수 등이 포함될 수 있으며, 실수령 급여가 아닙니다.</w:t>
            </w:r>
          </w:p>
        </w:tc>
      </w:tr>
    </w:tbl>
    <w:p>
      <w:pPr>
        <w:spacing w:after="120" w:before="0"/>
      </w:pPr>
    </w:p>
    <w:p>
      <w:pPr>
        <w:keepNext/>
        <w:spacing w:after="80" w:before="120" w:lineRule="auto" w:line="240"/>
        <w:jc w:val="center"/>
      </w:pPr>
      <w:r>
        <w:rPr>
          <w:rFonts w:ascii="Arial" w:cs="Arial" w:eastAsia="Malgun Gothic" w:hAnsi="Arial"/>
          <w:b/>
          <w:bCs/>
          <w:color w:val="0F2A4D"/>
          <w:sz w:val="22"/>
          <w:szCs w:val="22"/>
        </w:rPr>
        <w:t xml:space="preserve">표 9.2. </w:t>
      </w:r>
      <w:r>
        <w:rPr>
          <w:rFonts w:ascii="Arial" w:cs="Arial" w:eastAsia="Malgun Gothic" w:hAnsi="Arial"/>
          <w:i w:val="false"/>
          <w:iCs w:val="false"/>
          <w:color w:val="0D1B2E"/>
          <w:sz w:val="22"/>
          <w:szCs w:val="22"/>
        </w:rPr>
        <w:t xml:space="preserve">호찌민시 급여 참고 수준(UMT 수치 아님)</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876"/>
        <w:gridCol w:w="2835"/>
        <w:gridCol w:w="1360"/>
      </w:tblGrid>
      <w:tr>
        <w:trPr>
          <w:cantSplit/>
          <w:tblHeader/>
        </w:trPr>
        <w:tc>
          <w:tcPr>
            <w:tcW w:type="dxa" w:w="4876"/>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대상</w:t>
            </w:r>
          </w:p>
        </w:tc>
        <w:tc>
          <w:tcPr>
            <w:tcW w:type="dxa" w:w="283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참고 수준(월)</w:t>
            </w:r>
          </w:p>
        </w:tc>
        <w:tc>
          <w:tcPr>
            <w:tcW w:type="dxa" w:w="1360"/>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원화 환산(월)</w:t>
            </w:r>
          </w:p>
        </w:tc>
      </w:tr>
      <w:tr>
        <w:trPr>
          <w:cantSplit/>
        </w:trPr>
        <w:tc>
          <w:tcPr>
            <w:tcW w:type="dxa" w:w="487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지역 I(호찌민시) 최저임금, 2026.1.1부터</w:t>
            </w:r>
          </w:p>
        </w:tc>
        <w:tc>
          <w:tcPr>
            <w:tcW w:type="dxa" w:w="283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531만 동</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약 28.7만 원</w:t>
            </w:r>
          </w:p>
        </w:tc>
      </w:tr>
      <w:tr>
        <w:trPr>
          <w:cantSplit/>
        </w:trPr>
        <w:tc>
          <w:tcPr>
            <w:tcW w:type="dxa" w:w="487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호찌민시 국립대학교 8개 회원대학: 직무급</w:t>
            </w:r>
          </w:p>
        </w:tc>
        <w:tc>
          <w:tcPr>
            <w:tcW w:type="dxa" w:w="283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1,050만–2,910만 동</w:t>
            </w:r>
          </w:p>
        </w:tc>
        <w:tc>
          <w:tcPr>
            <w:tcW w:type="dxa" w:w="136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약 57만–158만 원</w:t>
            </w:r>
          </w:p>
        </w:tc>
      </w:tr>
      <w:tr>
        <w:trPr>
          <w:cantSplit/>
        </w:trPr>
        <w:tc>
          <w:tcPr>
            <w:tcW w:type="dxa" w:w="487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경제법률대학교: 석사 / 박사</w:t>
            </w:r>
          </w:p>
        </w:tc>
        <w:tc>
          <w:tcPr>
            <w:tcW w:type="dxa" w:w="283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1,800만–3,200만 / 2,800만–4,500만 동</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약 97만–173만 / 152만–244만 원</w:t>
            </w:r>
          </w:p>
        </w:tc>
      </w:tr>
      <w:tr>
        <w:trPr>
          <w:cantSplit/>
        </w:trPr>
        <w:tc>
          <w:tcPr>
            <w:tcW w:type="dxa" w:w="4876"/>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경제법률대학교: 부교수 / 교수</w:t>
            </w:r>
          </w:p>
        </w:tc>
        <w:tc>
          <w:tcPr>
            <w:tcW w:type="dxa" w:w="283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5,300만–6,500만 / 6,500만–7,500만 동</w:t>
            </w:r>
          </w:p>
        </w:tc>
        <w:tc>
          <w:tcPr>
            <w:tcW w:type="dxa" w:w="136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약 287만–352만 / 352만–406만 원</w:t>
            </w:r>
          </w:p>
        </w:tc>
      </w:tr>
      <w:tr>
        <w:trPr>
          <w:cantSplit/>
        </w:trPr>
        <w:tc>
          <w:tcPr>
            <w:tcW w:type="dxa" w:w="487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호찌민시 공과대학교: 박사 / 부교수·교수(3년 이상)</w:t>
            </w:r>
          </w:p>
        </w:tc>
        <w:tc>
          <w:tcPr>
            <w:tcW w:type="dxa" w:w="283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color w:val="0D1B2E"/>
                <w:sz w:val="20"/>
                <w:szCs w:val="20"/>
              </w:rPr>
              <w:t xml:space="preserve">약 3,500만–4,500만 / 약 8,500만 동</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color w:val="0D1B2E"/>
                <w:sz w:val="20"/>
                <w:szCs w:val="20"/>
              </w:rPr>
              <w:t xml:space="preserve">약 190만–244만 / 460만 원</w:t>
            </w:r>
          </w:p>
        </w:tc>
      </w:tr>
    </w:tbl>
    <w:p>
      <w:pPr>
        <w:spacing w:after="200" w:before="20" w:lineRule="auto" w:line="240"/>
        <w:jc w:val="left"/>
      </w:pPr>
      <w:r>
        <w:rPr>
          <w:rFonts w:ascii="Arial" w:cs="Arial" w:eastAsia="Malgun Gothic" w:hAnsi="Arial"/>
          <w:i w:val="false"/>
          <w:iCs w:val="false"/>
          <w:color w:val="435066"/>
          <w:sz w:val="19"/>
          <w:szCs w:val="19"/>
        </w:rPr>
        <w:t xml:space="preserve">출처: 법령(시행령 제293/2025호), 언론 보도(2026.10). 호찌민시 국립대학교 소속 자율 공립대학은 박사 교원 채용 시 경쟁 상대입니다. UMT의 실제 급여는 실사 단계에서 요청해야 합니다.</w:t>
      </w:r>
    </w:p>
    <w:p>
      <w:pPr>
        <w:pStyle w:val="Heading1"/>
        <w:pageBreakBefore/>
      </w:pPr>
      <w:r>
        <w:t xml:space="preserve">10. 재무 및 운영비</w:t>
      </w:r>
    </w:p>
    <w:p>
      <w:pPr>
        <w:keepNext w:val="false"/>
        <w:spacing w:after="120" w:before="0" w:lineRule="auto" w:line="264"/>
        <w:jc w:val="both"/>
      </w:pPr>
      <w:r>
        <w:rPr>
          <w:rFonts w:ascii="Arial" w:cs="Arial" w:eastAsia="Malgun Gothic" w:hAnsi="Arial"/>
          <w:color w:val="0D1B2E"/>
          <w:sz w:val="24"/>
          <w:szCs w:val="24"/>
        </w:rPr>
        <w:t xml:space="preserve">공시보고서 제16/2026/BC-UMT호는 UMT의 수입·지출 수치를 담은 최초의 공식 자료입니다. 이는 시행규칙 제09/2024호에 따른 공시 양식이며 감사받은 재무제표가 아닙니다. 재무상태표, 현금흐름, 감가상각, 투자 지출은 포함되어 있지 않습니다. 웹사이트의 “공시 정보” 메뉴에는 “2025년 연차보고서(Báo cáo thường niên năm 2025)”도 게시되어 있으나, 제공받은 자료에는 포함되지 않았으므로 가장 먼저 요청해야 합니다.</w:t>
      </w:r>
    </w:p>
    <w:p>
      <w:pPr>
        <w:pStyle w:val="Heading2"/>
        <w:keepNext/>
      </w:pPr>
      <w:r>
        <w:t xml:space="preserve">10.1 2024–2025년 수입·지출 실적</w:t>
      </w:r>
    </w:p>
    <w:p>
      <w:pPr>
        <w:keepNext/>
        <w:spacing w:after="80" w:before="120" w:lineRule="auto" w:line="240"/>
        <w:jc w:val="center"/>
      </w:pPr>
      <w:r>
        <w:rPr>
          <w:rFonts w:ascii="Arial" w:cs="Arial" w:eastAsia="Malgun Gothic" w:hAnsi="Arial"/>
          <w:b/>
          <w:bCs/>
          <w:color w:val="0F2A4D"/>
          <w:sz w:val="22"/>
          <w:szCs w:val="22"/>
        </w:rPr>
        <w:t xml:space="preserve">표 10.1. </w:t>
      </w:r>
      <w:r>
        <w:rPr>
          <w:rFonts w:ascii="Arial" w:cs="Arial" w:eastAsia="Malgun Gothic" w:hAnsi="Arial"/>
          <w:i w:val="false"/>
          <w:iCs w:val="false"/>
          <w:color w:val="0D1B2E"/>
          <w:sz w:val="22"/>
          <w:szCs w:val="22"/>
        </w:rPr>
        <w:t xml:space="preserve">운영 수입·지출 실적(단위: 백만 동)</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7"/>
        <w:gridCol w:w="4422"/>
        <w:gridCol w:w="1361"/>
        <w:gridCol w:w="1361"/>
        <w:gridCol w:w="1360"/>
      </w:tblGrid>
      <w:tr>
        <w:trPr>
          <w:cantSplit/>
          <w:tblHeader/>
        </w:trPr>
        <w:tc>
          <w:tcPr>
            <w:tcW w:type="dxa" w:w="56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20"/>
                <w:szCs w:val="20"/>
              </w:rPr>
              <w:t xml:space="preserve">구분</w:t>
            </w:r>
          </w:p>
        </w:tc>
        <w:tc>
          <w:tcPr>
            <w:tcW w:type="dxa" w:w="442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항목</w:t>
            </w:r>
          </w:p>
        </w:tc>
        <w:tc>
          <w:tcPr>
            <w:tcW w:type="dxa" w:w="13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2025년</w:t>
            </w:r>
          </w:p>
        </w:tc>
        <w:tc>
          <w:tcPr>
            <w:tcW w:type="dxa" w:w="13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2024년</w:t>
            </w:r>
          </w:p>
        </w:tc>
        <w:tc>
          <w:tcPr>
            <w:tcW w:type="dxa" w:w="1360"/>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증감</w:t>
            </w:r>
          </w:p>
        </w:tc>
      </w:tr>
      <w:tr>
        <w:trPr>
          <w:cantSplit/>
        </w:trPr>
        <w:tc>
          <w:tcPr>
            <w:tcW w:type="dxa" w:w="567"/>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b/>
                <w:bCs/>
                <w:color w:val="0D1B2E"/>
                <w:sz w:val="20"/>
                <w:szCs w:val="20"/>
              </w:rPr>
              <w:t xml:space="preserve">A</w:t>
            </w:r>
          </w:p>
        </w:tc>
        <w:tc>
          <w:tcPr>
            <w:tcW w:type="dxa" w:w="4422"/>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운영 수입 합계</w:t>
            </w:r>
          </w:p>
        </w:tc>
        <w:tc>
          <w:tcPr>
            <w:tcW w:type="dxa" w:w="1361"/>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bCs/>
                <w:color w:val="0D1B2E"/>
                <w:sz w:val="20"/>
                <w:szCs w:val="20"/>
              </w:rPr>
              <w:t xml:space="preserve">85,062</w:t>
            </w:r>
          </w:p>
        </w:tc>
        <w:tc>
          <w:tcPr>
            <w:tcW w:type="dxa" w:w="1361"/>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bCs/>
                <w:color w:val="0D1B2E"/>
                <w:sz w:val="20"/>
                <w:szCs w:val="20"/>
              </w:rPr>
              <w:t xml:space="preserve">65,242</w:t>
            </w:r>
          </w:p>
        </w:tc>
        <w:tc>
          <w:tcPr>
            <w:tcW w:type="dxa" w:w="1360"/>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bCs/>
                <w:color w:val="0D1B2E"/>
                <w:sz w:val="20"/>
                <w:szCs w:val="20"/>
              </w:rPr>
              <w:t xml:space="preserve">+30.4%</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I</w:t>
            </w:r>
          </w:p>
        </w:tc>
        <w:tc>
          <w:tcPr>
            <w:tcW w:type="dxa" w:w="442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국가·투자자의 경상비 지원</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54,000</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45,610</w:t>
            </w:r>
          </w:p>
        </w:tc>
        <w:tc>
          <w:tcPr>
            <w:tcW w:type="dxa" w:w="136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+18.4%</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II</w:t>
            </w:r>
          </w:p>
        </w:tc>
        <w:tc>
          <w:tcPr>
            <w:tcW w:type="dxa" w:w="442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교육 수입</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30,862</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18,527</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+66.6%</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p>
        </w:tc>
        <w:tc>
          <w:tcPr>
            <w:tcW w:type="dxa" w:w="442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 학생 등록금·수수료</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30,862</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18,518</w:t>
            </w:r>
          </w:p>
        </w:tc>
        <w:tc>
          <w:tcPr>
            <w:tcW w:type="dxa" w:w="136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+66.7%</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c>
          <w:tcPr>
            <w:tcW w:type="dxa" w:w="442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 기타</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9</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III</w:t>
            </w:r>
          </w:p>
        </w:tc>
        <w:tc>
          <w:tcPr>
            <w:tcW w:type="dxa" w:w="442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과학기술 수입(외부 계약·후원)</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160</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w:t>
            </w:r>
          </w:p>
        </w:tc>
        <w:tc>
          <w:tcPr>
            <w:tcW w:type="dxa" w:w="136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IV</w:t>
            </w:r>
          </w:p>
        </w:tc>
        <w:tc>
          <w:tcPr>
            <w:tcW w:type="dxa" w:w="442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기타 수입(순수입)</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40</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1,105</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−96.4%</w:t>
            </w:r>
          </w:p>
        </w:tc>
      </w:tr>
      <w:tr>
        <w:trPr>
          <w:cantSplit/>
        </w:trPr>
        <w:tc>
          <w:tcPr>
            <w:tcW w:type="dxa" w:w="567"/>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b/>
                <w:bCs/>
                <w:color w:val="0D1B2E"/>
                <w:sz w:val="20"/>
                <w:szCs w:val="20"/>
              </w:rPr>
              <w:t xml:space="preserve">B</w:t>
            </w:r>
          </w:p>
        </w:tc>
        <w:tc>
          <w:tcPr>
            <w:tcW w:type="dxa" w:w="4422"/>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운영 지출 합계</w:t>
            </w:r>
          </w:p>
        </w:tc>
        <w:tc>
          <w:tcPr>
            <w:tcW w:type="dxa" w:w="1361"/>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bCs/>
                <w:color w:val="0D1B2E"/>
                <w:sz w:val="20"/>
                <w:szCs w:val="20"/>
              </w:rPr>
              <w:t xml:space="preserve">80,660</w:t>
            </w:r>
          </w:p>
        </w:tc>
        <w:tc>
          <w:tcPr>
            <w:tcW w:type="dxa" w:w="1361"/>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bCs/>
                <w:color w:val="0D1B2E"/>
                <w:sz w:val="20"/>
                <w:szCs w:val="20"/>
              </w:rPr>
              <w:t xml:space="preserve">65,195</w:t>
            </w:r>
          </w:p>
        </w:tc>
        <w:tc>
          <w:tcPr>
            <w:tcW w:type="dxa" w:w="1360"/>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b/>
                <w:bCs/>
                <w:color w:val="0D1B2E"/>
                <w:sz w:val="20"/>
                <w:szCs w:val="20"/>
              </w:rPr>
              <w:t xml:space="preserve">+23.7%</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I</w:t>
            </w:r>
          </w:p>
        </w:tc>
        <w:tc>
          <w:tcPr>
            <w:tcW w:type="dxa" w:w="442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인건비(급여·수당)</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54,992</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45,304</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+21.4%</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II</w:t>
            </w:r>
          </w:p>
        </w:tc>
        <w:tc>
          <w:tcPr>
            <w:tcW w:type="dxa" w:w="442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시설·서비스비</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25,158</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19,391</w:t>
            </w:r>
          </w:p>
        </w:tc>
        <w:tc>
          <w:tcPr>
            <w:tcW w:type="dxa" w:w="136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+29.7%</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c>
          <w:tcPr>
            <w:tcW w:type="dxa" w:w="442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 교육비</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24,759</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19,361</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+27.9%</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p>
        </w:tc>
        <w:tc>
          <w:tcPr>
            <w:tcW w:type="dxa" w:w="442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 연구비</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223</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w:t>
            </w:r>
          </w:p>
        </w:tc>
        <w:tc>
          <w:tcPr>
            <w:tcW w:type="dxa" w:w="136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c>
          <w:tcPr>
            <w:tcW w:type="dxa" w:w="442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 일반관리비·기타</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176</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30</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III</w:t>
            </w:r>
          </w:p>
        </w:tc>
        <w:tc>
          <w:tcPr>
            <w:tcW w:type="dxa" w:w="442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학생 지원(장학금, 학업 지원)</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10</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w:t>
            </w:r>
          </w:p>
        </w:tc>
        <w:tc>
          <w:tcPr>
            <w:tcW w:type="dxa" w:w="136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IV</w:t>
            </w:r>
          </w:p>
        </w:tc>
        <w:tc>
          <w:tcPr>
            <w:tcW w:type="dxa" w:w="442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기타 지출</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500</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500</w:t>
            </w:r>
          </w:p>
        </w:tc>
        <w:tc>
          <w:tcPr>
            <w:tcW w:type="dxa" w:w="136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0.0%</w:t>
            </w:r>
          </w:p>
        </w:tc>
      </w:tr>
      <w:tr>
        <w:trPr>
          <w:cantSplit/>
        </w:trPr>
        <w:tc>
          <w:tcPr>
            <w:tcW w:type="dxa" w:w="567"/>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center"/>
            </w:pPr>
            <w:r>
              <w:rPr>
                <w:rFonts w:ascii="Arial" w:cs="Arial" w:eastAsia="Malgun Gothic" w:hAnsi="Arial"/>
                <w:b/>
                <w:bCs/>
                <w:color w:val="0D1B2E"/>
                <w:sz w:val="20"/>
                <w:szCs w:val="20"/>
              </w:rPr>
              <w:t xml:space="preserve">C</w:t>
            </w:r>
          </w:p>
        </w:tc>
        <w:tc>
          <w:tcPr>
            <w:tcW w:type="dxa" w:w="4422"/>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수지차</w:t>
            </w:r>
          </w:p>
        </w:tc>
        <w:tc>
          <w:tcPr>
            <w:tcW w:type="dxa" w:w="1361"/>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b/>
                <w:bCs/>
                <w:color w:val="0D1B2E"/>
                <w:sz w:val="20"/>
                <w:szCs w:val="20"/>
              </w:rPr>
              <w:t xml:space="preserve">4,402</w:t>
            </w:r>
          </w:p>
        </w:tc>
        <w:tc>
          <w:tcPr>
            <w:tcW w:type="dxa" w:w="1361"/>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b/>
                <w:bCs/>
                <w:color w:val="0D1B2E"/>
                <w:sz w:val="20"/>
                <w:szCs w:val="20"/>
              </w:rPr>
              <w:t xml:space="preserve">47</w:t>
            </w:r>
          </w:p>
        </w:tc>
        <w:tc>
          <w:tcPr>
            <w:tcW w:type="dxa" w:w="1360"/>
            <w:tcBorders>
              <w:top w:val="single" w:color="B7C1D0" w:sz="4"/>
              <w:left w:val="single" w:color="B7C1D0" w:sz="4"/>
              <w:bottom w:val="single" w:color="B7C1D0" w:sz="4"/>
              <w:right w:val="single" w:color="B7C1D0" w:sz="4"/>
            </w:tcBorders>
            <w:shd w:fill="E3EAF4" w:color="auto" w:val="clear"/>
            <w:tcMar>
              <w:top w:type="dxa" w:w="50"/>
              <w:left w:type="dxa" w:w="90"/>
              <w:bottom w:type="dxa" w:w="50"/>
              <w:right w:type="dxa" w:w="90"/>
            </w:tcMar>
            <w:vAlign w:val="center"/>
          </w:tcPr>
          <w:p>
            <w:pPr>
              <w:keepNext/>
              <w:spacing w:after="0" w:before="0" w:lineRule="auto" w:line="240"/>
              <w:jc w:val="right"/>
            </w:pP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II.2; “증감” 열은 컨설턴트 산출. 1백만 동 ≈ 5.4만 원.</w:t>
      </w:r>
    </w:p>
    <w:p>
      <w:pPr>
        <w:keepNext/>
        <w:spacing w:after="40" w:before="120"/>
        <w:jc w:val="center"/>
      </w:pPr>
      <w:r>
        <w:drawing>
          <wp:inline distT="0" distB="0" distL="0" distR="0">
            <wp:extent cx="5762625"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62625" cy="3800475"/>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10.1. </w:t>
      </w:r>
      <w:r>
        <w:rPr>
          <w:rFonts w:ascii="Arial" w:cs="Arial" w:eastAsia="Malgun Gothic" w:hAnsi="Arial"/>
          <w:i w:val="false"/>
          <w:iCs w:val="false"/>
          <w:color w:val="0D1B2E"/>
          <w:sz w:val="22"/>
          <w:szCs w:val="22"/>
        </w:rPr>
        <w:t xml:space="preserve">2024–2025년 운영 수입·지출 구성(억 동)</w:t>
      </w:r>
    </w:p>
    <w:p>
      <w:pPr>
        <w:spacing w:after="200" w:before="20" w:lineRule="auto" w:line="240"/>
        <w:jc w:val="left"/>
      </w:pPr>
      <w:r>
        <w:rPr>
          <w:rFonts w:ascii="Arial" w:cs="Arial" w:eastAsia="Malgun Gothic" w:hAnsi="Arial"/>
          <w:i w:val="false"/>
          <w:iCs w:val="false"/>
          <w:color w:val="435066"/>
          <w:sz w:val="19"/>
          <w:szCs w:val="19"/>
        </w:rPr>
        <w:t xml:space="preserve">출처: 공시보고서 II.2를 바탕으로 컨설턴트 작성.</w:t>
      </w:r>
    </w:p>
    <w:p>
      <w:pPr>
        <w:keepNext/>
        <w:spacing w:after="40" w:before="120"/>
        <w:jc w:val="center"/>
      </w:pPr>
      <w:r>
        <w:drawing>
          <wp:inline distT="0" distB="0" distL="0" distR="0">
            <wp:extent cx="57626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62625" cy="3209925"/>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10.2. </w:t>
      </w:r>
      <w:r>
        <w:rPr>
          <w:rFonts w:ascii="Arial" w:cs="Arial" w:eastAsia="Malgun Gothic" w:hAnsi="Arial"/>
          <w:i w:val="false"/>
          <w:iCs w:val="false"/>
          <w:color w:val="0D1B2E"/>
          <w:sz w:val="22"/>
          <w:szCs w:val="22"/>
        </w:rPr>
        <w:t xml:space="preserve">2025년 수입에서 수지차까지(억 동)</w:t>
      </w:r>
    </w:p>
    <w:p>
      <w:pPr>
        <w:spacing w:after="200" w:before="20" w:lineRule="auto" w:line="240"/>
        <w:jc w:val="left"/>
      </w:pPr>
      <w:r>
        <w:rPr>
          <w:rFonts w:ascii="Arial" w:cs="Arial" w:eastAsia="Malgun Gothic" w:hAnsi="Arial"/>
          <w:i w:val="false"/>
          <w:iCs w:val="false"/>
          <w:color w:val="435066"/>
          <w:sz w:val="19"/>
          <w:szCs w:val="19"/>
        </w:rPr>
        <w:t xml:space="preserve">출처: 공시보고서 II.2를 바탕으로 컨설턴트 작성.</w:t>
      </w:r>
    </w:p>
    <w:p>
      <w:pPr>
        <w:pStyle w:val="Heading2"/>
        <w:keepNext/>
      </w:pPr>
      <w:r>
        <w:t xml:space="preserve">10.2 재무 지표</w:t>
      </w:r>
    </w:p>
    <w:p>
      <w:pPr>
        <w:keepNext/>
        <w:spacing w:after="80" w:before="120" w:lineRule="auto" w:line="240"/>
        <w:jc w:val="center"/>
      </w:pPr>
      <w:r>
        <w:rPr>
          <w:rFonts w:ascii="Arial" w:cs="Arial" w:eastAsia="Malgun Gothic" w:hAnsi="Arial"/>
          <w:b/>
          <w:bCs/>
          <w:color w:val="0F2A4D"/>
          <w:sz w:val="22"/>
          <w:szCs w:val="22"/>
        </w:rPr>
        <w:t xml:space="preserve">표 10.2. </w:t>
      </w:r>
      <w:r>
        <w:rPr>
          <w:rFonts w:ascii="Arial" w:cs="Arial" w:eastAsia="Malgun Gothic" w:hAnsi="Arial"/>
          <w:i w:val="false"/>
          <w:iCs w:val="false"/>
          <w:color w:val="0D1B2E"/>
          <w:sz w:val="22"/>
          <w:szCs w:val="22"/>
        </w:rPr>
        <w:t xml:space="preserve">주요 재무 지표</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95"/>
        <w:gridCol w:w="1644"/>
        <w:gridCol w:w="1644"/>
        <w:gridCol w:w="1588"/>
      </w:tblGrid>
      <w:tr>
        <w:trPr>
          <w:cantSplit/>
          <w:tblHeader/>
        </w:trPr>
        <w:tc>
          <w:tcPr>
            <w:tcW w:type="dxa" w:w="419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지표</w:t>
            </w:r>
          </w:p>
        </w:tc>
        <w:tc>
          <w:tcPr>
            <w:tcW w:type="dxa" w:w="164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2025년</w:t>
            </w:r>
          </w:p>
        </w:tc>
        <w:tc>
          <w:tcPr>
            <w:tcW w:type="dxa" w:w="164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2024년</w:t>
            </w:r>
          </w:p>
        </w:tc>
        <w:tc>
          <w:tcPr>
            <w:tcW w:type="dxa" w:w="158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근거</w:t>
            </w:r>
          </w:p>
        </w:tc>
      </w:tr>
      <w:tr>
        <w:trPr>
          <w:cantSplit/>
        </w:trPr>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3년 평균 운영수지율</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3.11%</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신설 대학</w:t>
            </w:r>
          </w:p>
        </w:tc>
        <w:tc>
          <w:tcPr>
            <w:tcW w:type="dxa" w:w="158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공시보고서</w:t>
            </w:r>
          </w:p>
        </w:tc>
      </w:tr>
      <w:tr>
        <w:trPr>
          <w:cantSplit/>
        </w:trPr>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지속가능 성장지수</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신설 대학</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신설 대학</w:t>
            </w:r>
          </w:p>
        </w:tc>
        <w:tc>
          <w:tcPr>
            <w:tcW w:type="dxa" w:w="158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공시보고서</w:t>
            </w:r>
          </w:p>
        </w:tc>
      </w:tr>
      <w:tr>
        <w:trPr>
          <w:cantSplit/>
        </w:trPr>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연간 운영수지율(수지차 ÷ 총수입)</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5.18%</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0.07%</w:t>
            </w:r>
          </w:p>
        </w:tc>
        <w:tc>
          <w:tcPr>
            <w:tcW w:type="dxa" w:w="158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컨설턴트 산출</w:t>
            </w:r>
          </w:p>
        </w:tc>
      </w:tr>
      <w:tr>
        <w:trPr>
          <w:cantSplit/>
        </w:trPr>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총수입 중 투자자 지원 비중</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63.5%</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69.9%</w:t>
            </w:r>
          </w:p>
        </w:tc>
        <w:tc>
          <w:tcPr>
            <w:tcW w:type="dxa" w:w="158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컨설턴트 산출</w:t>
            </w:r>
          </w:p>
        </w:tc>
      </w:tr>
      <w:tr>
        <w:trPr>
          <w:cantSplit/>
        </w:trPr>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등록금·수수료 ÷ 총지출</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38.3%</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28.4%</w:t>
            </w:r>
          </w:p>
        </w:tc>
        <w:tc>
          <w:tcPr>
            <w:tcW w:type="dxa" w:w="158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컨설턴트 산출</w:t>
            </w:r>
          </w:p>
        </w:tc>
      </w:tr>
      <w:tr>
        <w:trPr>
          <w:cantSplit/>
        </w:trPr>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인건비 ÷ 총지출</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68.2%</w:t>
            </w:r>
          </w:p>
        </w:tc>
        <w:tc>
          <w:tcPr>
            <w:tcW w:type="dxa" w:w="164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69.5%</w:t>
            </w:r>
          </w:p>
        </w:tc>
        <w:tc>
          <w:tcPr>
            <w:tcW w:type="dxa" w:w="158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컨설턴트 산출</w:t>
            </w:r>
          </w:p>
        </w:tc>
      </w:tr>
      <w:tr>
        <w:trPr>
          <w:cantSplit/>
        </w:trPr>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투자자 지원 제외 시 수지차(백만 동)</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color w:val="0D1B2E"/>
                <w:sz w:val="20"/>
                <w:szCs w:val="20"/>
              </w:rPr>
              <w:t xml:space="preserve">−49,598</w:t>
            </w:r>
          </w:p>
        </w:tc>
        <w:tc>
          <w:tcPr>
            <w:tcW w:type="dxa" w:w="164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color w:val="0D1B2E"/>
                <w:sz w:val="20"/>
                <w:szCs w:val="20"/>
              </w:rPr>
              <w:t xml:space="preserve">−45,563</w:t>
            </w:r>
          </w:p>
        </w:tc>
        <w:tc>
          <w:tcPr>
            <w:tcW w:type="dxa" w:w="158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컨설턴트 산출</w:t>
            </w: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II.1–II.2 및 컨설턴트 산출.</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Arial" w:cs="Arial" w:eastAsia="Malgun Gothic" w:hAnsi="Arial"/>
                <w:b/>
                <w:bCs/>
                <w:color w:val="0F2A4D"/>
                <w:sz w:val="22"/>
                <w:szCs w:val="22"/>
              </w:rPr>
              <w:t xml:space="preserve">분석 · 재무 자립도</w:t>
            </w:r>
          </w:p>
          <w:p>
            <w:pPr>
              <w:spacing w:after="60" w:before="0" w:lineRule="auto" w:line="253"/>
              <w:ind w:left="300" w:hanging="220"/>
              <w:jc w:val="both"/>
            </w:pPr>
            <w:r>
              <w:rPr>
                <w:rFonts w:ascii="Arial" w:cs="Arial" w:eastAsia="Malgun Gothic" w:hAnsi="Arial"/>
                <w:color w:val="0D1B2E"/>
                <w:sz w:val="22"/>
                <w:szCs w:val="22"/>
              </w:rPr>
              <w:t xml:space="preserve">• 2025년 자체 수입(등록금, 과학기술, 기타)은 310.6억 동으로 총지출의 38.5%만 충당합니다. 나머지는 투자자가 보전합니다.</w:t>
            </w:r>
          </w:p>
          <w:p>
            <w:pPr>
              <w:spacing w:after="60" w:before="0" w:lineRule="auto" w:line="253"/>
              <w:ind w:left="300" w:hanging="220"/>
              <w:jc w:val="both"/>
            </w:pPr>
            <w:r>
              <w:rPr>
                <w:rFonts w:ascii="Arial" w:cs="Arial" w:eastAsia="Malgun Gothic" w:hAnsi="Arial"/>
                <w:color w:val="0D1B2E"/>
                <w:sz w:val="22"/>
                <w:szCs w:val="22"/>
              </w:rPr>
              <w:t xml:space="preserve">• 시행규칙 제83/2026호의 “3년 평균 운영수지율 비음수” 지표는 투자자 지원금을 수입에 포함해 계산합니다. 학교가 이 지표를 충족하는지는 소유주의 지원이 계속되는지에 달려 있습니다.</w:t>
            </w:r>
          </w:p>
          <w:p>
            <w:pPr>
              <w:spacing w:after="60" w:before="0" w:lineRule="auto" w:line="253"/>
              <w:ind w:left="300" w:hanging="220"/>
              <w:jc w:val="both"/>
            </w:pPr>
            <w:r>
              <w:rPr>
                <w:rFonts w:ascii="Arial" w:cs="Arial" w:eastAsia="Malgun Gothic" w:hAnsi="Arial"/>
                <w:color w:val="0D1B2E"/>
                <w:sz w:val="22"/>
                <w:szCs w:val="22"/>
              </w:rPr>
              <w:t xml:space="preserve">• 2025년 등록금 수입은 66.7% 늘어난 반면 지출은 23.7% 늘었습니다. 지원 전 적자는 총지출 대비로는 69.9%에서 61.5%로 줄었지만, 절대액은 455.6억 동에서 496.0억 동(약 26.9억 원)으로 늘었습니다.</w:t>
            </w:r>
          </w:p>
        </w:tc>
      </w:tr>
    </w:tbl>
    <w:p>
      <w:pPr>
        <w:spacing w:after="120" w:before="0"/>
      </w:pPr>
    </w:p>
    <w:p>
      <w:pPr>
        <w:pStyle w:val="Heading2"/>
        <w:keepNext/>
      </w:pPr>
      <w:r>
        <w:t xml:space="preserve">10.3 규모별 손익분기점</w:t>
      </w:r>
    </w:p>
    <w:p>
      <w:pPr>
        <w:keepNext/>
        <w:spacing w:after="40" w:before="120"/>
        <w:jc w:val="center"/>
      </w:pPr>
      <w:r>
        <w:drawing>
          <wp:inline distT="0" distB="0" distL="0" distR="0">
            <wp:extent cx="503872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038725" cy="2647950"/>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10.3. </w:t>
      </w:r>
      <w:r>
        <w:rPr>
          <w:rFonts w:ascii="Arial" w:cs="Arial" w:eastAsia="Malgun Gothic" w:hAnsi="Arial"/>
          <w:i w:val="false"/>
          <w:iCs w:val="false"/>
          <w:color w:val="0D1B2E"/>
          <w:sz w:val="22"/>
          <w:szCs w:val="22"/>
        </w:rPr>
        <w:t xml:space="preserve">등록금만으로 2025년 운영비를 충당하는 데 필요한 학생 수</w:t>
      </w:r>
    </w:p>
    <w:p>
      <w:pPr>
        <w:spacing w:after="200" w:before="20" w:lineRule="auto" w:line="240"/>
        <w:jc w:val="left"/>
      </w:pPr>
      <w:r>
        <w:rPr>
          <w:rFonts w:ascii="Arial" w:cs="Arial" w:eastAsia="Malgun Gothic" w:hAnsi="Arial"/>
          <w:i w:val="false"/>
          <w:iCs w:val="false"/>
          <w:color w:val="435066"/>
          <w:sz w:val="19"/>
          <w:szCs w:val="19"/>
        </w:rPr>
        <w:t xml:space="preserve">출처: 컨설턴트 산출; 비용은 공시보고서의 806.6억 동으로 고정.</w:t>
      </w:r>
    </w:p>
    <w:p>
      <w:pPr>
        <w:keepNext/>
        <w:spacing w:after="80" w:before="120" w:lineRule="auto" w:line="240"/>
        <w:jc w:val="center"/>
      </w:pPr>
      <w:r>
        <w:rPr>
          <w:rFonts w:ascii="Arial" w:cs="Arial" w:eastAsia="Malgun Gothic" w:hAnsi="Arial"/>
          <w:b/>
          <w:bCs/>
          <w:color w:val="0F2A4D"/>
          <w:sz w:val="22"/>
          <w:szCs w:val="22"/>
        </w:rPr>
        <w:t xml:space="preserve">표 10.3. </w:t>
      </w:r>
      <w:r>
        <w:rPr>
          <w:rFonts w:ascii="Arial" w:cs="Arial" w:eastAsia="Malgun Gothic" w:hAnsi="Arial"/>
          <w:i w:val="false"/>
          <w:iCs w:val="false"/>
          <w:color w:val="0D1B2E"/>
          <w:sz w:val="22"/>
          <w:szCs w:val="22"/>
        </w:rPr>
        <w:t xml:space="preserve">평균 실수납 등록금별 손익분기 규모</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42"/>
        <w:gridCol w:w="1814"/>
        <w:gridCol w:w="1814"/>
        <w:gridCol w:w="1701"/>
      </w:tblGrid>
      <w:tr>
        <w:trPr>
          <w:cantSplit/>
          <w:tblHeader/>
        </w:trPr>
        <w:tc>
          <w:tcPr>
            <w:tcW w:type="dxa" w:w="374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실수납 등록금 시나리오</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백만 동/인/년</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필요 학생 수</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727명 대비</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2025년 실수납, 분모 727명</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42.5</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1,898명</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2.6배</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2025년 실수납, 분모 연평균 약 509명</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60.6</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1,331명</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1.8배</w:t>
            </w:r>
          </w:p>
        </w:tc>
      </w:tr>
      <w:tr>
        <w:trPr>
          <w:cantSplit/>
        </w:trPr>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최저 장학금 9,000만 동 차감 후</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78.0</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1,034명</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1.4배</w:t>
            </w:r>
          </w:p>
        </w:tc>
      </w:tr>
      <w:tr>
        <w:trPr>
          <w:cantSplit/>
        </w:trPr>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추정 정가(장학금 없음)</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color w:val="0D1B2E"/>
                <w:sz w:val="20"/>
                <w:szCs w:val="20"/>
              </w:rPr>
              <w:t xml:space="preserve">103.7</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color w:val="0D1B2E"/>
                <w:sz w:val="20"/>
                <w:szCs w:val="20"/>
              </w:rPr>
              <w:t xml:space="preserve">778명</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color w:val="0D1B2E"/>
                <w:sz w:val="20"/>
                <w:szCs w:val="20"/>
              </w:rPr>
              <w:t xml:space="preserve">1.1배</w:t>
            </w:r>
          </w:p>
        </w:tc>
      </w:tr>
    </w:tbl>
    <w:p>
      <w:pPr>
        <w:spacing w:after="200" w:before="20" w:lineRule="auto" w:line="240"/>
        <w:jc w:val="left"/>
      </w:pPr>
      <w:r>
        <w:rPr>
          <w:rFonts w:ascii="Arial" w:cs="Arial" w:eastAsia="Malgun Gothic" w:hAnsi="Arial"/>
          <w:i w:val="false"/>
          <w:iCs w:val="false"/>
          <w:color w:val="435066"/>
          <w:sz w:val="19"/>
          <w:szCs w:val="19"/>
        </w:rPr>
        <w:t xml:space="preserve">출처: 컨설턴트 산출. 비용을 2025년 수준으로 고정했으나 실제로는 인건비와 장학금이 규모에 따라 늘어나므로 실제 손익분기 규모는 더 큽니다.</w:t>
      </w:r>
    </w:p>
    <w:p>
      <w:pPr>
        <w:pStyle w:val="Heading2"/>
        <w:keepNext/>
      </w:pPr>
      <w:r>
        <w:t xml:space="preserve">10.4 외화 환산</w:t>
      </w:r>
    </w:p>
    <w:p>
      <w:pPr>
        <w:keepNext/>
        <w:spacing w:after="80" w:before="120" w:lineRule="auto" w:line="240"/>
        <w:jc w:val="center"/>
      </w:pPr>
      <w:r>
        <w:rPr>
          <w:rFonts w:ascii="Arial" w:cs="Arial" w:eastAsia="Malgun Gothic" w:hAnsi="Arial"/>
          <w:b/>
          <w:bCs/>
          <w:color w:val="0F2A4D"/>
          <w:sz w:val="22"/>
          <w:szCs w:val="22"/>
        </w:rPr>
        <w:t xml:space="preserve">표 10.4. </w:t>
      </w:r>
      <w:r>
        <w:rPr>
          <w:rFonts w:ascii="Arial" w:cs="Arial" w:eastAsia="Malgun Gothic" w:hAnsi="Arial"/>
          <w:i w:val="false"/>
          <w:iCs w:val="false"/>
          <w:color w:val="0D1B2E"/>
          <w:sz w:val="22"/>
          <w:szCs w:val="22"/>
        </w:rPr>
        <w:t xml:space="preserve">주요 재무 지표의 USD·원화 환산</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814"/>
        <w:gridCol w:w="1814"/>
        <w:gridCol w:w="1815"/>
      </w:tblGrid>
      <w:tr>
        <w:trPr>
          <w:cantSplit/>
          <w:tblHeader/>
        </w:trPr>
        <w:tc>
          <w:tcPr>
            <w:tcW w:type="dxa" w:w="362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2025년 항목</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백만 동</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USD</w:t>
            </w:r>
          </w:p>
        </w:tc>
        <w:tc>
          <w:tcPr>
            <w:tcW w:type="dxa" w:w="181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원</w:t>
            </w:r>
          </w:p>
        </w:tc>
      </w:tr>
      <w:tr>
        <w:trPr>
          <w:cantSplit/>
        </w:trPr>
        <w:tc>
          <w:tcPr>
            <w:tcW w:type="dxa" w:w="36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운영 수입 합계</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85,062</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약 332만</w:t>
            </w:r>
          </w:p>
        </w:tc>
        <w:tc>
          <w:tcPr>
            <w:tcW w:type="dxa" w:w="18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약 46.1억</w:t>
            </w:r>
          </w:p>
        </w:tc>
      </w:tr>
      <w:tr>
        <w:trPr>
          <w:cantSplit/>
        </w:trPr>
        <w:tc>
          <w:tcPr>
            <w:tcW w:type="dxa" w:w="36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 투자자 지원금</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54,000</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약 211만</w:t>
            </w:r>
          </w:p>
        </w:tc>
        <w:tc>
          <w:tcPr>
            <w:tcW w:type="dxa" w:w="18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약 29.2억</w:t>
            </w:r>
          </w:p>
        </w:tc>
      </w:tr>
      <w:tr>
        <w:trPr>
          <w:cantSplit/>
        </w:trPr>
        <w:tc>
          <w:tcPr>
            <w:tcW w:type="dxa" w:w="36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 등록금·수수료</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30,862</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약 120만</w:t>
            </w:r>
          </w:p>
        </w:tc>
        <w:tc>
          <w:tcPr>
            <w:tcW w:type="dxa" w:w="18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약 16.7억</w:t>
            </w:r>
          </w:p>
        </w:tc>
      </w:tr>
      <w:tr>
        <w:trPr>
          <w:cantSplit/>
        </w:trPr>
        <w:tc>
          <w:tcPr>
            <w:tcW w:type="dxa" w:w="36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운영 지출 합계</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80,660</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약 315만</w:t>
            </w:r>
          </w:p>
        </w:tc>
        <w:tc>
          <w:tcPr>
            <w:tcW w:type="dxa" w:w="18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약 43.7억</w:t>
            </w:r>
          </w:p>
        </w:tc>
      </w:tr>
      <w:tr>
        <w:trPr>
          <w:cantSplit/>
        </w:trPr>
        <w:tc>
          <w:tcPr>
            <w:tcW w:type="dxa" w:w="36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인건비</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54,992</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약 215만</w:t>
            </w:r>
          </w:p>
        </w:tc>
        <w:tc>
          <w:tcPr>
            <w:tcW w:type="dxa" w:w="18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약 29.8억</w:t>
            </w:r>
          </w:p>
        </w:tc>
      </w:tr>
      <w:tr>
        <w:trPr>
          <w:cantSplit/>
        </w:trPr>
        <w:tc>
          <w:tcPr>
            <w:tcW w:type="dxa" w:w="36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수지차</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color w:val="0D1B2E"/>
                <w:sz w:val="20"/>
                <w:szCs w:val="20"/>
              </w:rPr>
              <w:t xml:space="preserve">4,402</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color w:val="0D1B2E"/>
                <w:sz w:val="20"/>
                <w:szCs w:val="20"/>
              </w:rPr>
              <w:t xml:space="preserve">약 17만</w:t>
            </w:r>
          </w:p>
        </w:tc>
        <w:tc>
          <w:tcPr>
            <w:tcW w:type="dxa" w:w="18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color w:val="0D1B2E"/>
                <w:sz w:val="20"/>
                <w:szCs w:val="20"/>
              </w:rPr>
              <w:t xml:space="preserve">약 2.4억</w:t>
            </w:r>
          </w:p>
        </w:tc>
      </w:tr>
    </w:tbl>
    <w:p>
      <w:pPr>
        <w:spacing w:after="200" w:before="20" w:lineRule="auto" w:line="240"/>
        <w:jc w:val="left"/>
      </w:pPr>
      <w:r>
        <w:rPr>
          <w:rFonts w:ascii="Arial" w:cs="Arial" w:eastAsia="Malgun Gothic" w:hAnsi="Arial"/>
          <w:i w:val="false"/>
          <w:iCs w:val="false"/>
          <w:color w:val="435066"/>
          <w:sz w:val="19"/>
          <w:szCs w:val="19"/>
        </w:rPr>
        <w:t xml:space="preserve">환율: 1 USD = 25,634동; 1원 ≈ 18.47동.</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C98500" w:sz="24"/>
              <w:bottom w:val="none" w:color="FFFFFF" w:sz="0"/>
              <w:right w:val="none" w:color="FFFFFF" w:sz="0"/>
            </w:tcBorders>
            <w:shd w:fill="FDF3E3" w:color="auto" w:val="clear"/>
            <w:tcMar>
              <w:top w:type="dxa" w:w="120"/>
              <w:left w:type="dxa" w:w="200"/>
              <w:bottom w:type="dxa" w:w="80"/>
              <w:right w:type="dxa" w:w="200"/>
            </w:tcMar>
          </w:tcPr>
          <w:p>
            <w:pPr>
              <w:keepNext/>
              <w:spacing w:after="80" w:before="0"/>
            </w:pPr>
            <w:r>
              <w:rPr>
                <w:rFonts w:ascii="Arial" w:cs="Arial" w:eastAsia="Malgun Gothic" w:hAnsi="Arial"/>
                <w:b/>
                <w:bCs/>
                <w:color w:val="0F2A4D"/>
                <w:sz w:val="22"/>
                <w:szCs w:val="22"/>
              </w:rPr>
              <w:t xml:space="preserve">재무 자료의 한계</w:t>
            </w:r>
          </w:p>
          <w:p>
            <w:pPr>
              <w:spacing w:after="80" w:before="0" w:lineRule="auto" w:line="253"/>
              <w:jc w:val="both"/>
            </w:pPr>
            <w:r>
              <w:rPr>
                <w:rFonts w:ascii="Arial" w:cs="Arial" w:eastAsia="Malgun Gothic" w:hAnsi="Arial"/>
                <w:color w:val="0D1B2E"/>
                <w:sz w:val="22"/>
                <w:szCs w:val="22"/>
              </w:rPr>
              <w:t xml:space="preserve">공시보고서로는 부지·건물의 소유 여부(학교 소유 또는 소유주로부터 임차), 감가상각·투자 지출, 차입금, 관계자 거래, 장학금 회계 처리를 알 수 없습니다. 2021–2025년 감사받은 재무제표와 2026년 9개월 실적이 필요합니다.</w:t>
            </w:r>
          </w:p>
        </w:tc>
      </w:tr>
    </w:tbl>
    <w:p>
      <w:pPr>
        <w:spacing w:after="120" w:before="0"/>
      </w:pPr>
    </w:p>
    <w:p>
      <w:pPr>
        <w:pStyle w:val="Heading1"/>
        <w:pageBreakBefore/>
      </w:pPr>
      <w:r>
        <w:t xml:space="preserve">11. 연구 및 대외 협력</w:t>
      </w:r>
    </w:p>
    <w:p>
      <w:pPr>
        <w:pStyle w:val="Heading2"/>
        <w:keepNext/>
      </w:pPr>
      <w:r>
        <w:t xml:space="preserve">11.1 연구</w:t>
      </w:r>
    </w:p>
    <w:p>
      <w:pPr>
        <w:keepNext w:val="false"/>
        <w:spacing w:after="120" w:before="0" w:lineRule="auto" w:line="264"/>
        <w:jc w:val="both"/>
      </w:pPr>
      <w:r>
        <w:rPr>
          <w:rFonts w:ascii="Arial" w:cs="Arial" w:eastAsia="Malgun Gothic" w:hAnsi="Arial"/>
          <w:color w:val="0D1B2E"/>
          <w:sz w:val="24"/>
          <w:szCs w:val="24"/>
        </w:rPr>
        <w:t xml:space="preserve">보고 연도에 학교는 교내 연구과제 13건을 주관했습니다. 12건은 예산 0동, 1건은 예산 2,000만 동입니다. 연구성과는 19건으로, 학술지 논문 4편(Q1 1편, Q4 1편, 국가교수위원회 인정 학술지 2편), 학술대회 논문집 14편, 저서·교재 1권입니다. 2025년 과학기술 분야 수입은 1.6억 동, 지출은 2.2억 동이었습니다.</w:t>
      </w:r>
    </w:p>
    <w:p>
      <w:pPr>
        <w:keepNext/>
        <w:spacing w:after="80" w:before="120" w:lineRule="auto" w:line="240"/>
        <w:jc w:val="center"/>
      </w:pPr>
      <w:r>
        <w:rPr>
          <w:rFonts w:ascii="Arial" w:cs="Arial" w:eastAsia="Malgun Gothic" w:hAnsi="Arial"/>
          <w:b/>
          <w:bCs/>
          <w:color w:val="0F2A4D"/>
          <w:sz w:val="22"/>
          <w:szCs w:val="22"/>
        </w:rPr>
        <w:t xml:space="preserve">표 11.1. </w:t>
      </w:r>
      <w:r>
        <w:rPr>
          <w:rFonts w:ascii="Arial" w:cs="Arial" w:eastAsia="Malgun Gothic" w:hAnsi="Arial"/>
          <w:i w:val="false"/>
          <w:iCs w:val="false"/>
          <w:color w:val="0D1B2E"/>
          <w:sz w:val="22"/>
          <w:szCs w:val="22"/>
        </w:rPr>
        <w:t xml:space="preserve">교내 연구과제</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7"/>
        <w:gridCol w:w="3855"/>
        <w:gridCol w:w="2041"/>
        <w:gridCol w:w="1474"/>
        <w:gridCol w:w="1134"/>
      </w:tblGrid>
      <w:tr>
        <w:trPr>
          <w:cantSplit/>
          <w:tblHeader/>
        </w:trPr>
        <w:tc>
          <w:tcPr>
            <w:tcW w:type="dxa" w:w="56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19"/>
                <w:szCs w:val="19"/>
              </w:rPr>
              <w:t xml:space="preserve">번호</w:t>
            </w:r>
          </w:p>
        </w:tc>
        <w:tc>
          <w:tcPr>
            <w:tcW w:type="dxa" w:w="385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과제명</w:t>
            </w:r>
          </w:p>
        </w:tc>
        <w:tc>
          <w:tcPr>
            <w:tcW w:type="dxa" w:w="204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책임자</w:t>
            </w:r>
          </w:p>
        </w:tc>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소속</w:t>
            </w:r>
          </w:p>
        </w:tc>
        <w:tc>
          <w:tcPr>
            <w:tcW w:type="dxa" w:w="113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기간</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베트남 뉴스 미디어의 아동 자폐 보도 프레임</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TS. Lý Lê Tường Minh</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미디어·응용예술학부</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2025.7–2026.7</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2</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베트남 PR 학사과정 평가</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TS. Lý Lê Tường Minh</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미디어·응용예술학부</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2025.7–2026.7</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3</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출입통제 시스템의 고객 프라이버시 보호를 위한 엣지 컴퓨팅 적용</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ThS. Nguyễn Duy Diệu</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기술학부</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2025.7–2026.7</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4</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블록체인 기반 자격증 관리</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ThS. Trần Hữu Quốc Văn</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기술학부</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2025.7–2026.7</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5</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베트남 지속가능 농산물의 장애·촉진 요인</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TS. Lê Thị Ngọc Tú</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경영학부</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2025.10–2026.9</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6</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항공 물류 부품 수요예측·재고 최적화를 위한 빅데이터 분석</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TS. Trần Thị Thái Bình</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경영학부</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2026.1–2026.12</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7</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UMT 학생지원 서비스 품질 평가</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Đặng Thùy Mạnh Trâm</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One UMT Hub</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2025.10–2026.10</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8</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스포츠경영 전공 학생의 대학 선택 요인</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TS. Chu Chung Cang</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경영학부</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2026.1–2026.12</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9</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스포츠경영 전공 학생의 창업 의도 촉진 요인</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TS. Chu Chung Cang</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경영학부</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2026.1–2026.12</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10</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UMT 과학기술 활동 관리 시스템 구축(예산 2,000만 동)</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TS. Phạm Văn Huy</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기술학부</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2026.2–2026.8</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11</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그래프 신경망의 구조와 응용</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ThS. Nguyễn Quản Bá Hồng</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기술학부</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2026.2–2026.8</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12</w:t>
            </w:r>
          </w:p>
        </w:tc>
        <w:tc>
          <w:tcPr>
            <w:tcW w:type="dxa" w:w="385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운송·물류 문제에 대한 머신러닝·딥러닝 응용</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ThS. Nguyễn Quản Bá Hồng</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기술학부</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2026.2–2026.8</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center"/>
            </w:pPr>
            <w:r>
              <w:rPr>
                <w:rFonts w:ascii="Arial" w:cs="Arial" w:eastAsia="Malgun Gothic" w:hAnsi="Arial"/>
                <w:color w:val="0D1B2E"/>
                <w:sz w:val="19"/>
                <w:szCs w:val="19"/>
              </w:rPr>
              <w:t xml:space="preserve">13</w:t>
            </w:r>
          </w:p>
        </w:tc>
        <w:tc>
          <w:tcPr>
            <w:tcW w:type="dxa" w:w="385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19"/>
                <w:szCs w:val="19"/>
              </w:rPr>
              <w:t xml:space="preserve">소셜미디어 홍보가 호찌민시 3개 대학 학생의 스포츠 참여에 미치는 영향</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19"/>
                <w:szCs w:val="19"/>
              </w:rPr>
              <w:t xml:space="preserve">ThS. Khưu Kim Quyên</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19"/>
                <w:szCs w:val="19"/>
              </w:rPr>
              <w:t xml:space="preserve">미디어·응용예술학부</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19"/>
                <w:szCs w:val="19"/>
              </w:rPr>
              <w:t xml:space="preserve">2026.4–2026.9</w:t>
            </w: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IV.3a; 과제명은 요약 번역. TS = 박사, ThS = 석사.</w:t>
      </w:r>
    </w:p>
    <w:p>
      <w:pPr>
        <w:pStyle w:val="Heading2"/>
        <w:keepNext/>
      </w:pPr>
      <w:r>
        <w:t xml:space="preserve">11.2 국내외 협력</w:t>
      </w:r>
    </w:p>
    <w:p>
      <w:pPr>
        <w:keepNext w:val="false"/>
        <w:spacing w:after="120" w:before="0" w:lineRule="auto" w:line="264"/>
        <w:jc w:val="both"/>
      </w:pPr>
      <w:r>
        <w:rPr>
          <w:rFonts w:ascii="Arial" w:cs="Arial" w:eastAsia="Malgun Gothic" w:hAnsi="Arial"/>
          <w:color w:val="0D1B2E"/>
          <w:sz w:val="24"/>
          <w:szCs w:val="24"/>
        </w:rPr>
        <w:t xml:space="preserve">공시보고서는 학교가 </w:t>
      </w:r>
      <w:r>
        <w:rPr>
          <w:rFonts w:ascii="Arial" w:cs="Arial" w:eastAsia="Malgun Gothic" w:hAnsi="Arial"/>
          <w:b/>
          <w:bCs/>
          <w:color w:val="0D1B2E"/>
          <w:sz w:val="24"/>
          <w:szCs w:val="24"/>
        </w:rPr>
        <w:t xml:space="preserve">아직 연계(공동) 교육 과정을 운영하지 않는다</w:t>
      </w:r>
      <w:r>
        <w:rPr>
          <w:rFonts w:ascii="Arial" w:cs="Arial" w:eastAsia="Malgun Gothic" w:hAnsi="Arial"/>
          <w:color w:val="0D1B2E"/>
          <w:sz w:val="24"/>
          <w:szCs w:val="24"/>
        </w:rPr>
        <w:t xml:space="preserve">고 확인합니다. 현재의 협력은 협약, 단기 교류, 자원 공유, 기업 네트워크 형태입니다. 웹사이트는 “150+ 기업 파트너”와 “50+ 교육 파트너”를 내세우지만, 이는 명단이 첨부되지 않은 홍보용 수치입니다.</w:t>
      </w:r>
    </w:p>
    <w:tbl>
      <w:tblPr>
        <w:tblW w:type="dxa" w:w="9069"/>
        <w:tblBorders>
          <w:top w:val="none" w:color="FFFFFF" w:sz="0"/>
          <w:left w:val="none" w:color="FFFFFF" w:sz="0"/>
          <w:bottom w:val="none" w:color="FFFFFF" w:sz="0"/>
          <w:right w:val="none" w:color="FFFFFF" w:sz="0"/>
          <w:insideH w:val="none" w:color="FFFFFF" w:sz="0"/>
          <w:insideV w:val="none" w:color="FFFFFF" w:sz="0"/>
        </w:tblBorders>
      </w:tblPr>
      <w:tblGrid>
        <w:gridCol w:w="3023"/>
        <w:gridCol w:w="3023"/>
        <w:gridCol w:w="3023"/>
      </w:tblGrid>
      <w:tr>
        <w:trPr>
          <w:cantSplit/>
        </w:trPr>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(a) 태국 방콕대학교 Global Citizen Fellowship, 2025.9.8–14</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(b) 말레이시아 국립스포츠연구원(ISN) 방문단</w:t>
            </w:r>
          </w:p>
        </w:tc>
        <w:tc>
          <w:tcPr>
            <w:tcW w:type="dxa" w:w="3023"/>
            <w:tcBorders>
              <w:top w:val="none" w:color="FFFFFF" w:sz="0"/>
              <w:left w:val="none" w:color="FFFFFF" w:sz="0"/>
              <w:bottom w:val="none" w:color="FFFFFF" w:sz="0"/>
              <w:right w:val="none" w:color="FFFFFF" w:sz="0"/>
            </w:tcBorders>
            <w:tcMar>
              <w:top w:type="dxa" w:w="40"/>
              <w:left w:type="dxa" w:w="50"/>
              <w:bottom w:type="dxa" w:w="60"/>
              <w:right w:type="dxa" w:w="50"/>
            </w:tcMar>
          </w:tcPr>
          <w:p>
            <w:pPr>
              <w:keepNext/>
              <w:spacing w:after="30" w:before="0"/>
              <w:jc w:val="center"/>
            </w:pPr>
            <w:r>
              <w:drawing>
                <wp:inline distT="0" distB="0" distL="0" distR="0">
                  <wp:extent cx="1790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790700" cy="1343025"/>
                          </a:xfrm>
                          <a:prstGeom prst="rect">
                            <a:avLst/>
                          </a:prstGeom>
                        </pic:spPr>
                      </pic:pic>
                    </a:graphicData>
                  </a:graphic>
                </wp:inline>
              </w:drawing>
            </w:r>
          </w:p>
          <w:p>
            <w:pPr>
              <w:keepNext/>
              <w:spacing w:after="0" w:before="0" w:lineRule="auto" w:line="240"/>
              <w:jc w:val="center"/>
            </w:pPr>
            <w:r>
              <w:rPr>
                <w:rFonts w:ascii="Arial" w:cs="Arial" w:eastAsia="Malgun Gothic" w:hAnsi="Arial"/>
                <w:color w:val="435066"/>
                <w:sz w:val="18"/>
                <w:szCs w:val="18"/>
              </w:rPr>
              <w:t xml:space="preserve">(c) 자카르타국립대학교 Global Citizen Fellowship, 2025.6.9–21</w:t>
            </w:r>
          </w:p>
        </w:tc>
      </w:tr>
    </w:tbl>
    <w:p>
      <w:pPr>
        <w:keepNext/>
        <w:spacing w:after="40" w:before="60" w:lineRule="auto" w:line="240"/>
        <w:jc w:val="center"/>
      </w:pPr>
      <w:r>
        <w:rPr>
          <w:rFonts w:ascii="Arial" w:cs="Arial" w:eastAsia="Malgun Gothic" w:hAnsi="Arial"/>
          <w:b/>
          <w:bCs/>
          <w:color w:val="0F2A4D"/>
          <w:sz w:val="22"/>
          <w:szCs w:val="22"/>
        </w:rPr>
        <w:t xml:space="preserve">그림 11.1. </w:t>
      </w:r>
      <w:r>
        <w:rPr>
          <w:rFonts w:ascii="Arial" w:cs="Arial" w:eastAsia="Malgun Gothic" w:hAnsi="Arial"/>
          <w:i w:val="false"/>
          <w:iCs w:val="false"/>
          <w:color w:val="0D1B2E"/>
          <w:sz w:val="22"/>
          <w:szCs w:val="22"/>
        </w:rPr>
        <w:t xml:space="preserve">UMT 학생의 단기 해외 연수 프로그램</w:t>
      </w:r>
    </w:p>
    <w:p>
      <w:pPr>
        <w:spacing w:after="200" w:before="20" w:lineRule="auto" w:line="240"/>
        <w:jc w:val="left"/>
      </w:pPr>
      <w:r>
        <w:rPr>
          <w:rFonts w:ascii="Arial" w:cs="Arial" w:eastAsia="Malgun Gothic" w:hAnsi="Arial"/>
          <w:i w:val="false"/>
          <w:iCs w:val="false"/>
          <w:color w:val="435066"/>
          <w:sz w:val="19"/>
          <w:szCs w:val="19"/>
        </w:rPr>
        <w:t xml:space="preserve">출처: 리플릿 5쪽; 캡션 정보는 사진 속 현수막에서 확인.</w:t>
      </w:r>
    </w:p>
    <w:p>
      <w:pPr>
        <w:keepNext/>
        <w:spacing w:after="80" w:before="120" w:lineRule="auto" w:line="240"/>
        <w:jc w:val="center"/>
      </w:pPr>
      <w:r>
        <w:rPr>
          <w:rFonts w:ascii="Arial" w:cs="Arial" w:eastAsia="Malgun Gothic" w:hAnsi="Arial"/>
          <w:b/>
          <w:bCs/>
          <w:color w:val="0F2A4D"/>
          <w:sz w:val="22"/>
          <w:szCs w:val="22"/>
        </w:rPr>
        <w:t xml:space="preserve">표 11.2. </w:t>
      </w:r>
      <w:r>
        <w:rPr>
          <w:rFonts w:ascii="Arial" w:cs="Arial" w:eastAsia="Malgun Gothic" w:hAnsi="Arial"/>
          <w:i w:val="false"/>
          <w:iCs w:val="false"/>
          <w:color w:val="0D1B2E"/>
          <w:sz w:val="22"/>
          <w:szCs w:val="22"/>
        </w:rPr>
        <w:t xml:space="preserve">공개된 협력 네트워크</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1"/>
        <w:gridCol w:w="3175"/>
        <w:gridCol w:w="4195"/>
      </w:tblGrid>
      <w:tr>
        <w:trPr>
          <w:cantSplit/>
          <w:tblHeader/>
        </w:trPr>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구분</w:t>
            </w:r>
          </w:p>
        </w:tc>
        <w:tc>
          <w:tcPr>
            <w:tcW w:type="dxa" w:w="317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파트너</w:t>
            </w:r>
          </w:p>
        </w:tc>
        <w:tc>
          <w:tcPr>
            <w:tcW w:type="dxa" w:w="419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내용</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한국</w:t>
            </w:r>
          </w:p>
        </w:tc>
        <w:tc>
          <w:tcPr>
            <w:tcW w:type="dxa" w:w="317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EasyCS Co., Ltd.</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AI·컴퓨터비전 분야 협력; 혁신창업센터가 창구; EasyCS가 한국 대학·기업과의 연결 지원</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한국</w:t>
            </w:r>
          </w:p>
        </w:tc>
        <w:tc>
          <w:tcPr>
            <w:tcW w:type="dxa" w:w="317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UR Planner</w:t>
            </w:r>
          </w:p>
        </w:tc>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K-뷰티 브랜드의 베트남·아세안 진출 지원; 디지털 커머스 분야 진로 기회</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한국</w:t>
            </w:r>
          </w:p>
        </w:tc>
        <w:tc>
          <w:tcPr>
            <w:tcW w:type="dxa" w:w="317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신한은행</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등록금 무이자 분할납부(ACB와 함께, 2022); 학생 대상 신용 교육 세미나</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해외 학술</w:t>
            </w:r>
          </w:p>
        </w:tc>
        <w:tc>
          <w:tcPr>
            <w:tcW w:type="dxa" w:w="317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서던레이테주립대학교(필리핀); RMIT 대학교; 커틴대학교(말레이시아); QTS Australia; Aletheia University</w:t>
            </w:r>
          </w:p>
        </w:tc>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도서관 자원 공유(SLSU, RMIT); 커틴대 3+2 경로 합의 등 협약(2022–2023)</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단기 교류</w:t>
            </w:r>
          </w:p>
        </w:tc>
        <w:tc>
          <w:tcPr>
            <w:tcW w:type="dxa" w:w="317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방콕대학교; 자카르타국립대학교; 말레이시아 국립스포츠연구원; 와튼스쿨(UPenn)</w:t>
            </w:r>
          </w:p>
        </w:tc>
        <w:tc>
          <w:tcPr>
            <w:tcW w:type="dxa" w:w="41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Global Citizen Fellowship 2025; 미국 유학 진로 협의</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국내</w:t>
            </w:r>
          </w:p>
        </w:tc>
        <w:tc>
          <w:tcPr>
            <w:tcW w:type="dxa" w:w="317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달랏대학교; 사이공 신항(Tân Cảng Sài Gòn); 타인니엔(Thanh Niên)신문 및 약 30개 기업</w:t>
            </w:r>
          </w:p>
        </w:tc>
        <w:tc>
          <w:tcPr>
            <w:tcW w:type="dxa" w:w="41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도서관 자원 공유; Hackathon Digiport Logistics 2025; 2025.5.16 진로개발 협약</w:t>
            </w: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리플릿, UMT 웹사이트 및 언론 보도.</w:t>
      </w:r>
    </w:p>
    <w:p>
      <w:pPr>
        <w:pStyle w:val="Heading1"/>
        <w:pageBreakBefore/>
      </w:pPr>
      <w:r>
        <w:t xml:space="preserve">12. 홍보 및 브랜드</w:t>
      </w:r>
    </w:p>
    <w:p>
      <w:pPr>
        <w:pStyle w:val="Heading2"/>
        <w:keepNext/>
      </w:pPr>
      <w:r>
        <w:t xml:space="preserve">12.1 홍보 채널</w:t>
      </w:r>
    </w:p>
    <w:p>
      <w:pPr>
        <w:keepNext/>
        <w:spacing w:after="80" w:before="120" w:lineRule="auto" w:line="240"/>
        <w:jc w:val="center"/>
      </w:pPr>
      <w:r>
        <w:rPr>
          <w:rFonts w:ascii="Arial" w:cs="Arial" w:eastAsia="Malgun Gothic" w:hAnsi="Arial"/>
          <w:b/>
          <w:bCs/>
          <w:color w:val="0F2A4D"/>
          <w:sz w:val="22"/>
          <w:szCs w:val="22"/>
        </w:rPr>
        <w:t xml:space="preserve">표 12.1. </w:t>
      </w:r>
      <w:r>
        <w:rPr>
          <w:rFonts w:ascii="Arial" w:cs="Arial" w:eastAsia="Malgun Gothic" w:hAnsi="Arial"/>
          <w:i w:val="false"/>
          <w:iCs w:val="false"/>
          <w:color w:val="0D1B2E"/>
          <w:sz w:val="22"/>
          <w:szCs w:val="22"/>
        </w:rPr>
        <w:t xml:space="preserve">공식 홍보 채널</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1"/>
        <w:gridCol w:w="3061"/>
        <w:gridCol w:w="4309"/>
      </w:tblGrid>
      <w:tr>
        <w:trPr>
          <w:cantSplit/>
          <w:tblHeader/>
        </w:trPr>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채널</w:t>
            </w:r>
          </w:p>
        </w:tc>
        <w:tc>
          <w:tcPr>
            <w:tcW w:type="dxa" w:w="30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주소·명칭</w:t>
            </w:r>
          </w:p>
        </w:tc>
        <w:tc>
          <w:tcPr>
            <w:tcW w:type="dxa" w:w="4309"/>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규모·관찰 사항</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웹사이트</w:t>
            </w:r>
          </w:p>
        </w:tc>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umt.edu.vn(베트남어, 영어)</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챗봇, 전화 버튼, Messenger, Zalo; 상담 신청 양식; 입학·원서접수·도서관·채용 하위 포털</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페이스북</w:t>
            </w:r>
          </w:p>
        </w:tc>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“UMT – Trường Đại học Quản lý và Công nghệ TP.HCM”</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팔로워 47,905명(2026.10.27 웹사이트 표시)</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유튜브, 틱톡</w:t>
            </w:r>
          </w:p>
        </w:tc>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@umtuniversity</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웹사이트 하단에 링크; 규모 미확인</w:t>
            </w:r>
          </w:p>
        </w:tc>
      </w:tr>
      <w:tr>
        <w:trPr>
          <w:cantSplit/>
        </w:trPr>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인스타그램, 링크드인</w:t>
            </w:r>
          </w:p>
        </w:tc>
        <w:tc>
          <w:tcPr>
            <w:tcW w:type="dxa" w:w="30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@umt.edu.vn; umt-university</w:t>
            </w:r>
          </w:p>
        </w:tc>
        <w:tc>
          <w:tcPr>
            <w:tcW w:type="dxa" w:w="4309"/>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검색 색인 기준 팔로워 각각 약 183명, 99명</w:t>
            </w:r>
          </w:p>
        </w:tc>
      </w:tr>
      <w:tr>
        <w:trPr>
          <w:cantSplit/>
        </w:trPr>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대표 전화</w:t>
            </w:r>
          </w:p>
        </w:tc>
        <w:tc>
          <w:tcPr>
            <w:tcW w:type="dxa" w:w="30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(028) 3636 9119; (028) 3535 9119</w:t>
            </w:r>
          </w:p>
        </w:tc>
        <w:tc>
          <w:tcPr>
            <w:tcW w:type="dxa" w:w="4309"/>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학교; 입학 상담</w:t>
            </w:r>
          </w:p>
        </w:tc>
      </w:tr>
    </w:tbl>
    <w:p>
      <w:pPr>
        <w:spacing w:after="200" w:before="20" w:lineRule="auto" w:line="240"/>
        <w:jc w:val="left"/>
      </w:pPr>
      <w:r>
        <w:rPr>
          <w:rFonts w:ascii="Arial" w:cs="Arial" w:eastAsia="Malgun Gothic" w:hAnsi="Arial"/>
          <w:i w:val="false"/>
          <w:iCs w:val="false"/>
          <w:color w:val="435066"/>
          <w:sz w:val="19"/>
          <w:szCs w:val="19"/>
        </w:rPr>
        <w:t xml:space="preserve">출처: 웹사이트 및 검색 색인.</w:t>
      </w:r>
    </w:p>
    <w:p>
      <w:pPr>
        <w:keepNext/>
        <w:spacing w:after="40" w:before="120"/>
        <w:jc w:val="center"/>
      </w:pPr>
      <w:r>
        <w:drawing>
          <wp:inline distT="0" distB="0" distL="0" distR="0">
            <wp:extent cx="467677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676775" cy="2619375"/>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12.1. </w:t>
      </w:r>
      <w:r>
        <w:rPr>
          <w:rFonts w:ascii="Arial" w:cs="Arial" w:eastAsia="Malgun Gothic" w:hAnsi="Arial"/>
          <w:i w:val="false"/>
          <w:iCs w:val="false"/>
          <w:color w:val="0D1B2E"/>
          <w:sz w:val="22"/>
          <w:szCs w:val="22"/>
        </w:rPr>
        <w:t xml:space="preserve">웹사이트 첫 화면: (a) “행복과 성공의 대학”; (b) “0+”가 표시된 카운터가 있는 “You Make Tomorrow” 블록; (c) “디지털 시대의 전공”; (d) “왜 UMT인가?”</w:t>
      </w:r>
    </w:p>
    <w:p>
      <w:pPr>
        <w:spacing w:after="200" w:before="20" w:lineRule="auto" w:line="240"/>
        <w:jc w:val="left"/>
      </w:pPr>
      <w:r>
        <w:rPr>
          <w:rFonts w:ascii="Arial" w:cs="Arial" w:eastAsia="Malgun Gothic" w:hAnsi="Arial"/>
          <w:i w:val="false"/>
          <w:iCs w:val="false"/>
          <w:color w:val="435066"/>
          <w:sz w:val="19"/>
          <w:szCs w:val="19"/>
        </w:rPr>
        <w:t xml:space="preserve">출처: 웹사이트, 2026.10.27 14:45–14:46 화면 캡처.</w:t>
      </w:r>
    </w:p>
    <w:p>
      <w:pPr>
        <w:pStyle w:val="Heading2"/>
        <w:keepNext/>
      </w:pPr>
      <w:r>
        <w:t xml:space="preserve">12.2 웹사이트 관찰 사항(2026.10.27)</w:t>
      </w:r>
    </w:p>
    <w:p>
      <w:pPr>
        <w:keepNext/>
        <w:spacing w:after="80" w:before="120" w:lineRule="auto" w:line="240"/>
        <w:jc w:val="center"/>
      </w:pPr>
      <w:r>
        <w:rPr>
          <w:rFonts w:ascii="Arial" w:cs="Arial" w:eastAsia="Malgun Gothic" w:hAnsi="Arial"/>
          <w:b/>
          <w:bCs/>
          <w:color w:val="0F2A4D"/>
          <w:sz w:val="22"/>
          <w:szCs w:val="22"/>
        </w:rPr>
        <w:t xml:space="preserve">표 12.2. </w:t>
      </w:r>
      <w:r>
        <w:rPr>
          <w:rFonts w:ascii="Arial" w:cs="Arial" w:eastAsia="Malgun Gothic" w:hAnsi="Arial"/>
          <w:i w:val="false"/>
          <w:iCs w:val="false"/>
          <w:color w:val="0D1B2E"/>
          <w:sz w:val="22"/>
          <w:szCs w:val="22"/>
        </w:rPr>
        <w:t xml:space="preserve">투자자가 유의할 웹사이트 관찰 사항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7"/>
        <w:gridCol w:w="5102"/>
        <w:gridCol w:w="3402"/>
      </w:tblGrid>
      <w:tr>
        <w:trPr>
          <w:cantSplit/>
          <w:tblHeader/>
        </w:trPr>
        <w:tc>
          <w:tcPr>
            <w:tcW w:type="dxa" w:w="56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20"/>
                <w:szCs w:val="20"/>
              </w:rPr>
              <w:t xml:space="preserve">번호</w:t>
            </w:r>
          </w:p>
        </w:tc>
        <w:tc>
          <w:tcPr>
            <w:tcW w:type="dxa" w:w="510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관찰 사항</w:t>
            </w:r>
          </w:p>
        </w:tc>
        <w:tc>
          <w:tcPr>
            <w:tcW w:type="dxa" w:w="340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의미</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1</w:t>
            </w:r>
          </w:p>
        </w:tc>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화면 녹화에서 첫 화면 카운터가 모든 프레임에 걸쳐 “0+ tỷ đồng học bổng tuyển sinh”(입학 장학금 0+십억 동), “0+ đối tác chiến lược”(전략 파트너 0+)로 표시되었고, 옆의 두 지표는 “678+”, “8+”로 표시됨</w:t>
            </w:r>
          </w:p>
        </w:tc>
        <w:tc>
          <w:tcPr>
            <w:tcW w:type="dxa" w:w="34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데이터 또는 표시 오류일 가능성이 높음; 주요 모집 채널의 전문성 저하</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2</w:t>
            </w:r>
          </w:p>
        </w:tc>
        <w:tc>
          <w:tcPr>
            <w:tcW w:type="dxa" w:w="51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“8+ha 그린 캠퍼스”</w:t>
            </w:r>
          </w:p>
        </w:tc>
        <w:tc>
          <w:tcPr>
            <w:tcW w:type="dxa" w:w="34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3개 캠퍼스 공시 부지 합계 7.42 ha보다 큼</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3</w:t>
            </w:r>
          </w:p>
        </w:tc>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ASIIN, ACBSP, FIBAA 로고와 “국제 인증 기준” 표기</w:t>
            </w:r>
          </w:p>
        </w:tc>
        <w:tc>
          <w:tcPr>
            <w:tcW w:type="dxa" w:w="34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학교는 아직 어떤 인증도 받지 않음; 오해의 소지</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4</w:t>
            </w:r>
          </w:p>
        </w:tc>
        <w:tc>
          <w:tcPr>
            <w:tcW w:type="dxa" w:w="51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2026년 10월 말에도 “2026 입학 장학금” 게시</w:t>
            </w:r>
          </w:p>
        </w:tc>
        <w:tc>
          <w:tcPr>
            <w:tcW w:type="dxa" w:w="34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2027학년도 모집 시즌에 맞춰 갱신되지 않음</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20"/>
                <w:szCs w:val="20"/>
              </w:rPr>
              <w:t xml:space="preserve">5</w:t>
            </w:r>
          </w:p>
        </w:tc>
        <w:tc>
          <w:tcPr>
            <w:tcW w:type="dxa" w:w="51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“공시 정보” 페이지가 시행규칙 제36/2017호를 근거로 표기</w:t>
            </w:r>
          </w:p>
        </w:tc>
        <w:tc>
          <w:tcPr>
            <w:tcW w:type="dxa" w:w="340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시행규칙 제36/2017호는 제09/2024호로 대체됨; 2025년 공시보고서는 이미 제09/2024호를 따름</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center"/>
            </w:pPr>
            <w:r>
              <w:rPr>
                <w:rFonts w:ascii="Arial" w:cs="Arial" w:eastAsia="Malgun Gothic" w:hAnsi="Arial"/>
                <w:color w:val="0D1B2E"/>
                <w:sz w:val="20"/>
                <w:szCs w:val="20"/>
              </w:rPr>
              <w:t xml:space="preserve">6</w:t>
            </w:r>
          </w:p>
        </w:tc>
        <w:tc>
          <w:tcPr>
            <w:tcW w:type="dxa" w:w="51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대학이사회 8명 표시; 주소 “Khu phố 19”; 이메일 oaa.info@umt.edu.vn</w:t>
            </w:r>
          </w:p>
        </w:tc>
        <w:tc>
          <w:tcPr>
            <w:tcW w:type="dxa" w:w="340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공시보고서와 다름(9명; “Khu phố 9”; info@umt.edu.vn)</w:t>
            </w:r>
          </w:p>
        </w:tc>
      </w:tr>
    </w:tbl>
    <w:p>
      <w:pPr>
        <w:spacing w:after="200" w:before="20" w:lineRule="auto" w:line="240"/>
        <w:jc w:val="left"/>
      </w:pPr>
      <w:r>
        <w:rPr>
          <w:rFonts w:ascii="Arial" w:cs="Arial" w:eastAsia="Malgun Gothic" w:hAnsi="Arial"/>
          <w:i w:val="false"/>
          <w:iCs w:val="false"/>
          <w:color w:val="435066"/>
          <w:sz w:val="19"/>
          <w:szCs w:val="19"/>
        </w:rPr>
        <w:t xml:space="preserve">출처: 웹사이트; 공시보고서와 대조.</w:t>
      </w:r>
    </w:p>
    <w:p>
      <w:pPr>
        <w:keepNext/>
        <w:spacing w:after="40" w:before="120"/>
        <w:jc w:val="center"/>
      </w:pPr>
      <w:r>
        <w:drawing>
          <wp:inline distT="0" distB="0" distL="0" distR="0">
            <wp:extent cx="467677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676775" cy="2619375"/>
                    </a:xfrm>
                    <a:prstGeom prst="rect">
                      <a:avLst/>
                    </a:prstGeom>
                  </pic:spPr>
                </pic:pic>
              </a:graphicData>
            </a:graphic>
          </wp:inline>
        </w:drawing>
      </w:r>
    </w:p>
    <w:p>
      <w:pPr>
        <w:keepNext/>
        <w:spacing w:after="40" w:before="60" w:lineRule="auto" w:line="240"/>
        <w:jc w:val="center"/>
      </w:pPr>
      <w:r>
        <w:rPr>
          <w:rFonts w:ascii="Arial" w:cs="Arial" w:eastAsia="Malgun Gothic" w:hAnsi="Arial"/>
          <w:b/>
          <w:bCs/>
          <w:color w:val="0F2A4D"/>
          <w:sz w:val="22"/>
          <w:szCs w:val="22"/>
        </w:rPr>
        <w:t xml:space="preserve">그림 12.2. </w:t>
      </w:r>
      <w:r>
        <w:rPr>
          <w:rFonts w:ascii="Arial" w:cs="Arial" w:eastAsia="Malgun Gothic" w:hAnsi="Arial"/>
          <w:i w:val="false"/>
          <w:iCs w:val="false"/>
          <w:color w:val="0D1B2E"/>
          <w:sz w:val="22"/>
          <w:szCs w:val="22"/>
        </w:rPr>
        <w:t xml:space="preserve">학교 소개 페이지: (a) 비전·사명; (b) 2026년 주요 연혁; (c) “공시 정보” 메뉴; (d) 주소, 대표 전화, 페이스북 팔로워 47,905명이 표시된 하단</w:t>
      </w:r>
    </w:p>
    <w:p>
      <w:pPr>
        <w:spacing w:after="200" w:before="20" w:lineRule="auto" w:line="240"/>
        <w:jc w:val="left"/>
      </w:pPr>
      <w:r>
        <w:rPr>
          <w:rFonts w:ascii="Arial" w:cs="Arial" w:eastAsia="Malgun Gothic" w:hAnsi="Arial"/>
          <w:i w:val="false"/>
          <w:iCs w:val="false"/>
          <w:color w:val="435066"/>
          <w:sz w:val="19"/>
          <w:szCs w:val="19"/>
        </w:rPr>
        <w:t xml:space="preserve">출처: 웹사이트, 2026.10.27 14:47–14:48 화면 캡처.</w:t>
      </w:r>
    </w:p>
    <w:p>
      <w:pPr>
        <w:pStyle w:val="Heading2"/>
        <w:keepNext/>
      </w:pPr>
      <w:r>
        <w:t xml:space="preserve">12.3 언론 노출</w:t>
      </w:r>
    </w:p>
    <w:p>
      <w:pPr>
        <w:keepNext w:val="false"/>
        <w:spacing w:after="120" w:before="0" w:lineRule="auto" w:line="264"/>
        <w:jc w:val="both"/>
      </w:pPr>
      <w:r>
        <w:rPr>
          <w:rFonts w:ascii="Arial" w:cs="Arial" w:eastAsia="Malgun Gothic" w:hAnsi="Arial"/>
          <w:color w:val="0D1B2E"/>
          <w:sz w:val="24"/>
          <w:szCs w:val="24"/>
        </w:rPr>
        <w:t xml:space="preserve">UMT는 뚜오이째(Tuổi Trẻ), 타인니엔(Thanh Niên), VnExpress, 단찌(Dân trí), 띠엔퐁(Tiền Phong)과 정부 포털에 자주 등장하며, 대부분 입학·장학금·행사 소식입니다. 핵심 메시지는 “그린 대학”, “리조트” 스타일 캠퍼스입니다. 부정적 보도로는 2023년 등록금 징수 방식에 대한 학생 불만, 2025년 한 연구원장의 직무정지 및 퇴직 건이 있습니다.</w:t>
      </w:r>
    </w:p>
    <w:p>
      <w:pPr>
        <w:pStyle w:val="Heading1"/>
        <w:pageBreakBefore/>
      </w:pPr>
      <w:r>
        <w:t xml:space="preserve">13. 시장 및 경쟁</w:t>
      </w:r>
    </w:p>
    <w:p>
      <w:pPr>
        <w:keepNext/>
        <w:spacing w:after="80" w:before="120" w:lineRule="auto" w:line="240"/>
        <w:jc w:val="center"/>
      </w:pPr>
      <w:r>
        <w:rPr>
          <w:rFonts w:ascii="Arial" w:cs="Arial" w:eastAsia="Malgun Gothic" w:hAnsi="Arial"/>
          <w:b/>
          <w:bCs/>
          <w:color w:val="0F2A4D"/>
          <w:sz w:val="22"/>
          <w:szCs w:val="22"/>
        </w:rPr>
        <w:t xml:space="preserve">표 13.1. </w:t>
      </w:r>
      <w:r>
        <w:rPr>
          <w:rFonts w:ascii="Arial" w:cs="Arial" w:eastAsia="Malgun Gothic" w:hAnsi="Arial"/>
          <w:i w:val="false"/>
          <w:iCs w:val="false"/>
          <w:color w:val="0D1B2E"/>
          <w:sz w:val="22"/>
          <w:szCs w:val="22"/>
        </w:rPr>
        <w:t xml:space="preserve">베트남 고등교육 규모</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15"/>
        <w:gridCol w:w="1928"/>
        <w:gridCol w:w="3628"/>
      </w:tblGrid>
      <w:tr>
        <w:trPr>
          <w:cantSplit/>
          <w:tblHeader/>
        </w:trPr>
        <w:tc>
          <w:tcPr>
            <w:tcW w:type="dxa" w:w="351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지표</w:t>
            </w:r>
          </w:p>
        </w:tc>
        <w:tc>
          <w:tcPr>
            <w:tcW w:type="dxa" w:w="192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right"/>
            </w:pPr>
            <w:r>
              <w:rPr>
                <w:rFonts w:ascii="Arial" w:cs="Arial" w:eastAsia="Malgun Gothic" w:hAnsi="Arial"/>
                <w:b/>
                <w:bCs/>
                <w:color w:val="FFFFFF"/>
                <w:sz w:val="20"/>
                <w:szCs w:val="20"/>
              </w:rPr>
              <w:t xml:space="preserve">값</w:t>
            </w:r>
          </w:p>
        </w:tc>
        <w:tc>
          <w:tcPr>
            <w:tcW w:type="dxa" w:w="362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시점·근거</w:t>
            </w:r>
          </w:p>
        </w:tc>
      </w:tr>
      <w:tr>
        <w:trPr>
          <w:cantSplit/>
        </w:trPr>
        <w:tc>
          <w:tcPr>
            <w:tcW w:type="dxa" w:w="35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고등교육기관</w:t>
            </w:r>
          </w:p>
        </w:tc>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226개</w:t>
            </w:r>
          </w:p>
        </w:tc>
        <w:tc>
          <w:tcPr>
            <w:tcW w:type="dxa" w:w="36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HEMIS, 2026.6.30</w:t>
            </w:r>
          </w:p>
        </w:tc>
      </w:tr>
      <w:tr>
        <w:trPr>
          <w:cantSplit/>
        </w:trPr>
        <w:tc>
          <w:tcPr>
            <w:tcW w:type="dxa" w:w="35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그중 사립</w:t>
            </w:r>
          </w:p>
        </w:tc>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68개</w:t>
            </w:r>
          </w:p>
        </w:tc>
        <w:tc>
          <w:tcPr>
            <w:tcW w:type="dxa" w:w="36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HEMIS, 2026.6.30</w:t>
            </w:r>
          </w:p>
        </w:tc>
      </w:tr>
      <w:tr>
        <w:trPr>
          <w:cantSplit/>
        </w:trPr>
        <w:tc>
          <w:tcPr>
            <w:tcW w:type="dxa" w:w="35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학부생</w:t>
            </w:r>
          </w:p>
        </w:tc>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253만 명</w:t>
            </w:r>
          </w:p>
        </w:tc>
        <w:tc>
          <w:tcPr>
            <w:tcW w:type="dxa" w:w="36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HEMIS, 2026.6.30; 석사과정 14만 명, 박사과정 1.62만 명 별도</w:t>
            </w:r>
          </w:p>
        </w:tc>
      </w:tr>
      <w:tr>
        <w:trPr>
          <w:cantSplit/>
        </w:trPr>
        <w:tc>
          <w:tcPr>
            <w:tcW w:type="dxa" w:w="35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비공립 대학 재학생 비율</w:t>
            </w:r>
          </w:p>
        </w:tc>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22.76%</w:t>
            </w:r>
          </w:p>
        </w:tc>
        <w:tc>
          <w:tcPr>
            <w:tcW w:type="dxa" w:w="36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2024년</w:t>
            </w:r>
          </w:p>
        </w:tc>
      </w:tr>
      <w:tr>
        <w:trPr>
          <w:cantSplit/>
        </w:trPr>
        <w:tc>
          <w:tcPr>
            <w:tcW w:type="dxa" w:w="351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2030년 목표</w:t>
            </w:r>
          </w:p>
        </w:tc>
        <w:tc>
          <w:tcPr>
            <w:tcW w:type="dxa" w:w="19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right"/>
            </w:pPr>
            <w:r>
              <w:rPr>
                <w:rFonts w:ascii="Arial" w:cs="Arial" w:eastAsia="Malgun Gothic" w:hAnsi="Arial"/>
                <w:color w:val="0D1B2E"/>
                <w:sz w:val="20"/>
                <w:szCs w:val="20"/>
              </w:rPr>
              <w:t xml:space="preserve">학생 300만 명 이상</w:t>
            </w:r>
          </w:p>
        </w:tc>
        <w:tc>
          <w:tcPr>
            <w:tcW w:type="dxa" w:w="362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20"/>
                <w:szCs w:val="20"/>
              </w:rPr>
              <w:t xml:space="preserve">고등교육기관 네트워크 계획; 공립 70%, 사립 30% 구성</w:t>
            </w:r>
          </w:p>
        </w:tc>
      </w:tr>
      <w:tr>
        <w:trPr>
          <w:cantSplit/>
        </w:trPr>
        <w:tc>
          <w:tcPr>
            <w:tcW w:type="dxa" w:w="351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비영리 사립대학</w:t>
            </w:r>
          </w:p>
        </w:tc>
        <w:tc>
          <w:tcPr>
            <w:tcW w:type="dxa" w:w="19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right"/>
            </w:pPr>
            <w:r>
              <w:rPr>
                <w:rFonts w:ascii="Arial" w:cs="Arial" w:eastAsia="Malgun Gothic" w:hAnsi="Arial"/>
                <w:color w:val="0D1B2E"/>
                <w:sz w:val="20"/>
                <w:szCs w:val="20"/>
              </w:rPr>
              <w:t xml:space="preserve">2개</w:t>
            </w:r>
          </w:p>
        </w:tc>
        <w:tc>
          <w:tcPr>
            <w:tcW w:type="dxa" w:w="362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20"/>
                <w:szCs w:val="20"/>
              </w:rPr>
              <w:t xml:space="preserve">사립대학 약 70곳 중 VinUni와 UMT만 이 모델로 설립(타인니엔, 2026.6)</w:t>
            </w:r>
          </w:p>
        </w:tc>
      </w:tr>
    </w:tbl>
    <w:p>
      <w:pPr>
        <w:spacing w:after="200" w:before="20" w:lineRule="auto" w:line="240"/>
        <w:jc w:val="left"/>
      </w:pPr>
      <w:r>
        <w:rPr>
          <w:rFonts w:ascii="Arial" w:cs="Arial" w:eastAsia="Malgun Gothic" w:hAnsi="Arial"/>
          <w:i w:val="false"/>
          <w:iCs w:val="false"/>
          <w:color w:val="435066"/>
          <w:sz w:val="19"/>
          <w:szCs w:val="19"/>
        </w:rPr>
        <w:t xml:space="preserve">출처: 언론 보도(HEMIS 데이터 인용), 정부 계획.</w:t>
      </w:r>
    </w:p>
    <w:p>
      <w:pPr>
        <w:keepNext w:val="false"/>
        <w:spacing w:after="120" w:before="0" w:lineRule="auto" w:line="264"/>
        <w:jc w:val="both"/>
      </w:pPr>
      <w:r>
        <w:rPr>
          <w:rFonts w:ascii="Arial" w:cs="Arial" w:eastAsia="Malgun Gothic" w:hAnsi="Arial"/>
          <w:b/>
          <w:bCs/>
          <w:color w:val="0D1B2E"/>
          <w:sz w:val="24"/>
          <w:szCs w:val="24"/>
        </w:rPr>
        <w:t xml:space="preserve">호찌민시 경쟁 구도.</w:t>
      </w:r>
      <w:r>
        <w:rPr>
          <w:rFonts w:ascii="Arial" w:cs="Arial" w:eastAsia="Malgun Gothic" w:hAnsi="Arial"/>
          <w:color w:val="0D1B2E"/>
          <w:sz w:val="24"/>
          <w:szCs w:val="24"/>
        </w:rPr>
        <w:t xml:space="preserve"> UMT는 운영 기간이 길고 규모가 큰 사립대학 및 자율 공립대학과 경쟁합니다. 2026학년도 등록금은 UEF 연 8,000만–8,800만 동(약 433만–476만 원), 호아센대 연 4,500만–8,500만 동(약 244만–460만 원), 반랑대 학기당 2,200만–3,200만 동, FPT대 학기당 1,548만–3,160만 동입니다. UMT의 추정 정가는 이들보다 높지만, 2025년 평균 실수납 등록금(4,250만–6,060만 동)은 오히려 낮습니다(</w:t>
      </w:r>
      <w:r>
        <w:rPr>
          <w:rFonts w:ascii="Arial" w:cs="Arial" w:eastAsia="Malgun Gothic" w:hAnsi="Arial"/>
          <w:color w:val="0D1B2E"/>
          <w:sz w:val="24"/>
          <w:szCs w:val="24"/>
        </w:rPr>
        <w:t xml:space="preserve">표 8.4</w:t>
      </w:r>
      <w:r>
        <w:rPr>
          <w:rFonts w:ascii="Arial" w:cs="Arial" w:eastAsia="Malgun Gothic" w:hAnsi="Arial"/>
          <w:color w:val="0D1B2E"/>
          <w:sz w:val="24"/>
          <w:szCs w:val="24"/>
        </w:rPr>
        <w:t xml:space="preserve">).</w:t>
      </w:r>
    </w:p>
    <w:p>
      <w:pPr>
        <w:keepNext w:val="false"/>
        <w:spacing w:after="120" w:before="0" w:lineRule="auto" w:line="264"/>
        <w:jc w:val="both"/>
      </w:pPr>
      <w:r>
        <w:rPr>
          <w:rFonts w:ascii="Arial" w:cs="Arial" w:eastAsia="Malgun Gothic" w:hAnsi="Arial"/>
          <w:b/>
          <w:bCs/>
          <w:color w:val="0D1B2E"/>
          <w:sz w:val="24"/>
          <w:szCs w:val="24"/>
        </w:rPr>
        <w:t xml:space="preserve">진입장벽 하락.</w:t>
      </w:r>
      <w:r>
        <w:rPr>
          <w:rFonts w:ascii="Arial" w:cs="Arial" w:eastAsia="Malgun Gothic" w:hAnsi="Arial"/>
          <w:color w:val="0D1B2E"/>
          <w:sz w:val="24"/>
          <w:szCs w:val="24"/>
        </w:rPr>
        <w:t xml:space="preserve"> 2026년 9월 17일부터 사립대학 설립 요건은 본교 부지 5 ha 이상, 실투자액 3,000억 동(약 162억 원, 토지사용권 가치 제외) 이상으로, 종전 1조 동(약 541억 원)에서 완화되었습니다. 신설 대학이 늘어날 수 있습니다.</w:t>
      </w:r>
    </w:p>
    <w:p>
      <w:pPr>
        <w:keepNext w:val="false"/>
        <w:spacing w:after="120" w:before="0" w:lineRule="auto" w:line="264"/>
        <w:jc w:val="both"/>
      </w:pPr>
      <w:r>
        <w:rPr>
          <w:rFonts w:ascii="Arial" w:cs="Arial" w:eastAsia="Malgun Gothic" w:hAnsi="Arial"/>
          <w:b/>
          <w:bCs/>
          <w:color w:val="0D1B2E"/>
          <w:sz w:val="24"/>
          <w:szCs w:val="24"/>
        </w:rPr>
        <w:t xml:space="preserve">정책 방향.</w:t>
      </w:r>
      <w:r>
        <w:rPr>
          <w:rFonts w:ascii="Arial" w:cs="Arial" w:eastAsia="Malgun Gothic" w:hAnsi="Arial"/>
          <w:color w:val="0D1B2E"/>
          <w:sz w:val="24"/>
          <w:szCs w:val="24"/>
        </w:rPr>
        <w:t xml:space="preserve"> 감독기관과 언론은 비공립 고등교육의 상업화를 경계하는 한편 비영리 모델을 장려하고 있습니다. UMT의 모델은 이 흐름에 부합합니다.</w:t>
      </w:r>
    </w:p>
    <w:p>
      <w:pPr>
        <w:pStyle w:val="Heading1"/>
        <w:pageBreakBefore/>
      </w:pPr>
      <w:r>
        <w:t xml:space="preserve">14. 투자자 관련 법규 및 기준 충족도</w:t>
      </w:r>
    </w:p>
    <w:p>
      <w:pPr>
        <w:pStyle w:val="Heading2"/>
        <w:keepNext/>
      </w:pPr>
      <w:r>
        <w:t xml:space="preserve">14.1 핵심 법령</w:t>
      </w:r>
    </w:p>
    <w:p>
      <w:pPr>
        <w:keepNext/>
        <w:spacing w:after="80" w:before="120" w:lineRule="auto" w:line="240"/>
        <w:jc w:val="center"/>
      </w:pPr>
      <w:r>
        <w:rPr>
          <w:rFonts w:ascii="Arial" w:cs="Arial" w:eastAsia="Malgun Gothic" w:hAnsi="Arial"/>
          <w:b/>
          <w:bCs/>
          <w:color w:val="0F2A4D"/>
          <w:sz w:val="22"/>
          <w:szCs w:val="22"/>
        </w:rPr>
        <w:t xml:space="preserve">표 14.1. </w:t>
      </w:r>
      <w:r>
        <w:rPr>
          <w:rFonts w:ascii="Arial" w:cs="Arial" w:eastAsia="Malgun Gothic" w:hAnsi="Arial"/>
          <w:i w:val="false"/>
          <w:iCs w:val="false"/>
          <w:color w:val="0D1B2E"/>
          <w:sz w:val="22"/>
          <w:szCs w:val="22"/>
        </w:rPr>
        <w:t xml:space="preserve">핵심 법령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95"/>
        <w:gridCol w:w="1531"/>
        <w:gridCol w:w="5045"/>
      </w:tblGrid>
      <w:tr>
        <w:trPr>
          <w:cantSplit/>
          <w:tblHeader/>
        </w:trPr>
        <w:tc>
          <w:tcPr>
            <w:tcW w:type="dxa" w:w="249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법령</w:t>
            </w:r>
          </w:p>
        </w:tc>
        <w:tc>
          <w:tcPr>
            <w:tcW w:type="dxa" w:w="153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시행</w:t>
            </w:r>
          </w:p>
        </w:tc>
        <w:tc>
          <w:tcPr>
            <w:tcW w:type="dxa" w:w="504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투자자 관련 내용</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고등교육법 개정법 제34/2018/QH14호</w:t>
            </w:r>
          </w:p>
        </w:tc>
        <w:tc>
          <w:tcPr>
            <w:tcW w:type="dxa" w:w="153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2019</w:t>
            </w:r>
          </w:p>
        </w:tc>
        <w:tc>
          <w:tcPr>
            <w:tcW w:type="dxa" w:w="504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비영리 사립대학: 투자자는 출자금 회수와 배당 포기를 약정; 매년 누적 이익은 분할할 수 없는 공동 소유로 재투자. 영리에서 비영리로의 전환만 허용(역방향 불가)</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고등교육법 제125/2025/QH15호</w:t>
            </w:r>
          </w:p>
        </w:tc>
        <w:tc>
          <w:tcPr>
            <w:tcW w:type="dxa" w:w="153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2026.1.1 (일부 조항 2026.7.1)</w:t>
            </w:r>
          </w:p>
        </w:tc>
        <w:tc>
          <w:tcPr>
            <w:tcW w:type="dxa" w:w="504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책무성과 결합된 자율; 사립대학은 수입·지출, 재무 결과 배분, 기금 설치를 자율 결정; 비영리 대학의 누적 수지차는 분할 불가 자산; 투자자가 사립대학의 사명·전략을 승인</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시행령 제91/2026/NĐ-CP호</w:t>
            </w:r>
          </w:p>
        </w:tc>
        <w:tc>
          <w:tcPr>
            <w:tcW w:type="dxa" w:w="153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2026.3.30</w:t>
            </w:r>
          </w:p>
        </w:tc>
        <w:tc>
          <w:tcPr>
            <w:tcW w:type="dxa" w:w="504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고등교육법 시행세칙; 비영리 전환에는 출자액의 75% 이상을 대표하는 투자자의 동의 필요</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시행령 제86/2018/NĐ-CP호(개정)</w:t>
            </w:r>
          </w:p>
        </w:tc>
        <w:tc>
          <w:tcPr>
            <w:tcW w:type="dxa" w:w="153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2018</w:t>
            </w:r>
          </w:p>
        </w:tc>
        <w:tc>
          <w:tcPr>
            <w:tcW w:type="dxa" w:w="504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외국인 투자자는 국내 자본 교육기관의 주식·출자분 취득 가능; 외국과의 연계 교육 규정</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시행령 제361/2026/NĐ-CP호</w:t>
            </w:r>
          </w:p>
        </w:tc>
        <w:tc>
          <w:tcPr>
            <w:tcW w:type="dxa" w:w="153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2026.9.17</w:t>
            </w:r>
          </w:p>
        </w:tc>
        <w:tc>
          <w:tcPr>
            <w:tcW w:type="dxa" w:w="504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대학 설립 요건: 본교 부지 5 ha 이상; 실투자액 3,000억 동 이상(토지 제외)</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시행규칙 제09/2024/TT-BGDĐT호</w:t>
            </w:r>
          </w:p>
        </w:tc>
        <w:tc>
          <w:tcPr>
            <w:tcW w:type="dxa" w:w="153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2024</w:t>
            </w:r>
          </w:p>
        </w:tc>
        <w:tc>
          <w:tcPr>
            <w:tcW w:type="dxa" w:w="504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교육기관 공시 규정; 공시보고서 제16/2026호의 근거</w:t>
            </w:r>
          </w:p>
        </w:tc>
      </w:tr>
      <w:tr>
        <w:trPr>
          <w:cantSplit/>
        </w:trPr>
        <w:tc>
          <w:tcPr>
            <w:tcW w:type="dxa" w:w="249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시행규칙 제83/2026/TT-BGDĐT호</w:t>
            </w:r>
          </w:p>
        </w:tc>
        <w:tc>
          <w:tcPr>
            <w:tcW w:type="dxa" w:w="153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2026.11.15</w:t>
            </w:r>
          </w:p>
        </w:tc>
        <w:tc>
          <w:tcPr>
            <w:tcW w:type="dxa" w:w="504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6개 분야의 고등교육기관 기준; 시행규칙 제01/2024호 대체</w:t>
            </w:r>
          </w:p>
        </w:tc>
      </w:tr>
      <w:tr>
        <w:trPr>
          <w:cantSplit/>
        </w:trPr>
        <w:tc>
          <w:tcPr>
            <w:tcW w:type="dxa" w:w="249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공문 제7314/BGDĐT-GDĐH호</w:t>
            </w:r>
          </w:p>
        </w:tc>
        <w:tc>
          <w:tcPr>
            <w:tcW w:type="dxa" w:w="153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2026.10.16</w:t>
            </w:r>
          </w:p>
        </w:tc>
        <w:tc>
          <w:tcPr>
            <w:tcW w:type="dxa" w:w="5045"/>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2027학년도 모집계획 재검토 요구; 기준 미달 과정은 모집 중단</w:t>
            </w:r>
          </w:p>
        </w:tc>
      </w:tr>
    </w:tbl>
    <w:p>
      <w:pPr>
        <w:spacing w:after="200" w:before="20" w:lineRule="auto" w:line="240"/>
        <w:jc w:val="left"/>
      </w:pPr>
      <w:r>
        <w:rPr>
          <w:rFonts w:ascii="Arial" w:cs="Arial" w:eastAsia="Malgun Gothic" w:hAnsi="Arial"/>
          <w:i w:val="false"/>
          <w:iCs w:val="false"/>
          <w:color w:val="435066"/>
          <w:sz w:val="19"/>
          <w:szCs w:val="19"/>
        </w:rPr>
        <w:t xml:space="preserve">본 표는 쟁점 파악용이며 베트남 변호사의 법률 의견을 대체하지 않습니다.</w:t>
      </w:r>
    </w:p>
    <w:p>
      <w:pPr>
        <w:pStyle w:val="Heading2"/>
        <w:keepNext/>
      </w:pPr>
      <w:r>
        <w:t xml:space="preserve">14.2 학교 공시 수치 기준 충족도</w:t>
      </w:r>
    </w:p>
    <w:p>
      <w:pPr>
        <w:keepNext w:val="false"/>
        <w:spacing w:after="120" w:before="0" w:lineRule="auto" w:line="264"/>
        <w:jc w:val="both"/>
      </w:pPr>
      <w:r>
        <w:rPr>
          <w:rFonts w:ascii="Arial" w:cs="Arial" w:eastAsia="Malgun Gothic" w:hAnsi="Arial"/>
          <w:color w:val="0D1B2E"/>
          <w:sz w:val="24"/>
          <w:szCs w:val="24"/>
        </w:rPr>
        <w:t xml:space="preserve">졸업생이 아직 없는 신설 기관에 대해 공시보고서는 고등교육기관 기준 중 제1·2·3 분야만 적용합니다.</w:t>
      </w:r>
    </w:p>
    <w:p>
      <w:pPr>
        <w:keepNext/>
        <w:spacing w:after="80" w:before="120" w:lineRule="auto" w:line="240"/>
        <w:jc w:val="center"/>
      </w:pPr>
      <w:r>
        <w:rPr>
          <w:rFonts w:ascii="Arial" w:cs="Arial" w:eastAsia="Malgun Gothic" w:hAnsi="Arial"/>
          <w:b/>
          <w:bCs/>
          <w:color w:val="0F2A4D"/>
          <w:sz w:val="22"/>
          <w:szCs w:val="22"/>
        </w:rPr>
        <w:t xml:space="preserve">표 14.2. </w:t>
      </w:r>
      <w:r>
        <w:rPr>
          <w:rFonts w:ascii="Arial" w:cs="Arial" w:eastAsia="Malgun Gothic" w:hAnsi="Arial"/>
          <w:i w:val="false"/>
          <w:iCs w:val="false"/>
          <w:color w:val="0D1B2E"/>
          <w:sz w:val="22"/>
          <w:szCs w:val="22"/>
        </w:rPr>
        <w:t xml:space="preserve">고등교육기관 기준: 학교 공시 수치</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7"/>
        <w:gridCol w:w="4082"/>
        <w:gridCol w:w="1134"/>
        <w:gridCol w:w="1474"/>
        <w:gridCol w:w="1814"/>
      </w:tblGrid>
      <w:tr>
        <w:trPr>
          <w:cantSplit/>
          <w:tblHeader/>
        </w:trPr>
        <w:tc>
          <w:tcPr>
            <w:tcW w:type="dxa" w:w="56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19"/>
                <w:szCs w:val="19"/>
              </w:rPr>
              <w:t xml:space="preserve">코드</w:t>
            </w:r>
          </w:p>
        </w:tc>
        <w:tc>
          <w:tcPr>
            <w:tcW w:type="dxa" w:w="408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지표</w:t>
            </w:r>
          </w:p>
        </w:tc>
        <w:tc>
          <w:tcPr>
            <w:tcW w:type="dxa" w:w="113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19"/>
                <w:szCs w:val="19"/>
              </w:rPr>
              <w:t xml:space="preserve">기준</w:t>
            </w:r>
          </w:p>
        </w:tc>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19"/>
                <w:szCs w:val="19"/>
              </w:rPr>
              <w:t xml:space="preserve">학교 공시</w:t>
            </w:r>
          </w:p>
        </w:tc>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평가</w:t>
            </w:r>
          </w:p>
        </w:tc>
      </w:tr>
      <w:tr>
        <w:trPr>
          <w:cantSplit/>
        </w:trPr>
        <w:tc>
          <w:tcPr>
            <w:tcW w:type="dxa" w:w="9071"/>
            <w:gridSpan w:val="5"/>
            <w:tcBorders>
              <w:top w:val="single" w:color="B7C1D0" w:sz="4"/>
              <w:left w:val="single" w:color="B7C1D0" w:sz="4"/>
              <w:bottom w:val="single" w:color="B7C1D0" w:sz="4"/>
              <w:right w:val="single" w:color="B7C1D0" w:sz="4"/>
            </w:tcBorders>
            <w:shd w:fill="EAF1FB" w:color="auto" w:val="clear"/>
            <w:tcMar>
              <w:top w:type="dxa" w:w="50"/>
              <w:left w:type="dxa" w:w="90"/>
              <w:bottom w:type="dxa" w:w="50"/>
              <w:right w:type="dxa" w:w="90"/>
            </w:tcMar>
          </w:tcPr>
          <w:p>
            <w:pPr>
              <w:keepNext w:val="false"/>
              <w:spacing w:after="0" w:before="0" w:lineRule="auto" w:line="240"/>
              <w:jc w:val="left"/>
            </w:pPr>
            <w:r>
              <w:rPr>
                <w:rFonts w:ascii="Arial" w:cs="Arial" w:eastAsia="Malgun Gothic" w:hAnsi="Arial"/>
                <w:b/>
                <w:bCs/>
                <w:color w:val="0F2A4D"/>
                <w:sz w:val="19"/>
                <w:szCs w:val="19"/>
              </w:rPr>
              <w:t xml:space="preserve">분야 1. 조직 및 지배구조</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1.1</w:t>
            </w:r>
          </w:p>
        </w:tc>
        <w:tc>
          <w:tcPr>
            <w:tcW w:type="dxa" w:w="408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핵심 경영진 공석 개월 수</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 6</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0</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19"/>
                <w:szCs w:val="19"/>
              </w:rPr>
              <w:t xml:space="preserve">● </w:t>
            </w:r>
            <w:r>
              <w:rPr>
                <w:rFonts w:ascii="Arial" w:cs="Arial" w:eastAsia="Malgun Gothic" w:hAnsi="Arial"/>
                <w:b/>
                <w:bCs/>
                <w:color w:val="006300"/>
                <w:sz w:val="19"/>
                <w:szCs w:val="19"/>
              </w:rPr>
              <w:t xml:space="preserve">충족</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1.2</w:t>
            </w:r>
          </w:p>
        </w:tc>
        <w:tc>
          <w:tcPr>
            <w:tcW w:type="dxa" w:w="408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고등교육법에 따른 규정 정비율</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100%</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100%</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19"/>
                <w:szCs w:val="19"/>
              </w:rPr>
              <w:t xml:space="preserve">● </w:t>
            </w:r>
            <w:r>
              <w:rPr>
                <w:rFonts w:ascii="Arial" w:cs="Arial" w:eastAsia="Malgun Gothic" w:hAnsi="Arial"/>
                <w:b/>
                <w:bCs/>
                <w:color w:val="006300"/>
                <w:sz w:val="19"/>
                <w:szCs w:val="19"/>
              </w:rPr>
              <w:t xml:space="preserve">충족</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1.3</w:t>
            </w:r>
          </w:p>
        </w:tc>
        <w:tc>
          <w:tcPr>
            <w:tcW w:type="dxa" w:w="408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주요 운영 지표의 개선 비율</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 50%</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100%</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19"/>
                <w:szCs w:val="19"/>
              </w:rPr>
              <w:t xml:space="preserve">● </w:t>
            </w:r>
            <w:r>
              <w:rPr>
                <w:rFonts w:ascii="Arial" w:cs="Arial" w:eastAsia="Malgun Gothic" w:hAnsi="Arial"/>
                <w:b/>
                <w:bCs/>
                <w:color w:val="006300"/>
                <w:sz w:val="19"/>
                <w:szCs w:val="19"/>
              </w:rPr>
              <w:t xml:space="preserve">충족</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1.4</w:t>
            </w:r>
          </w:p>
        </w:tc>
        <w:tc>
          <w:tcPr>
            <w:tcW w:type="dxa" w:w="408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HEMIS 관리 데이터 갱신율</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100%</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84.6%</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9"/>
                <w:szCs w:val="19"/>
              </w:rPr>
              <w:t xml:space="preserve">● </w:t>
            </w:r>
            <w:r>
              <w:rPr>
                <w:rFonts w:ascii="Arial" w:cs="Arial" w:eastAsia="Malgun Gothic" w:hAnsi="Arial"/>
                <w:b/>
                <w:bCs/>
                <w:color w:val="B42318"/>
                <w:sz w:val="19"/>
                <w:szCs w:val="19"/>
              </w:rPr>
              <w:t xml:space="preserve">미충족</w:t>
            </w:r>
          </w:p>
        </w:tc>
      </w:tr>
      <w:tr>
        <w:trPr>
          <w:cantSplit/>
        </w:trPr>
        <w:tc>
          <w:tcPr>
            <w:tcW w:type="dxa" w:w="9071"/>
            <w:gridSpan w:val="5"/>
            <w:tcBorders>
              <w:top w:val="single" w:color="B7C1D0" w:sz="4"/>
              <w:left w:val="single" w:color="B7C1D0" w:sz="4"/>
              <w:bottom w:val="single" w:color="B7C1D0" w:sz="4"/>
              <w:right w:val="single" w:color="B7C1D0" w:sz="4"/>
            </w:tcBorders>
            <w:shd w:fill="EAF1FB" w:color="auto" w:val="clear"/>
            <w:tcMar>
              <w:top w:type="dxa" w:w="50"/>
              <w:left w:type="dxa" w:w="90"/>
              <w:bottom w:type="dxa" w:w="50"/>
              <w:right w:type="dxa" w:w="90"/>
            </w:tcMar>
          </w:tcPr>
          <w:p>
            <w:pPr>
              <w:keepNext w:val="false"/>
              <w:spacing w:after="0" w:before="0" w:lineRule="auto" w:line="240"/>
              <w:jc w:val="left"/>
            </w:pPr>
            <w:r>
              <w:rPr>
                <w:rFonts w:ascii="Arial" w:cs="Arial" w:eastAsia="Malgun Gothic" w:hAnsi="Arial"/>
                <w:b/>
                <w:bCs/>
                <w:color w:val="0F2A4D"/>
                <w:sz w:val="19"/>
                <w:szCs w:val="19"/>
              </w:rPr>
              <w:t xml:space="preserve">분야 2. 교원</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2.1</w:t>
            </w:r>
          </w:p>
        </w:tc>
        <w:tc>
          <w:tcPr>
            <w:tcW w:type="dxa" w:w="408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교원 1인당 학생 수</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 40</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4.21</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19"/>
                <w:szCs w:val="19"/>
              </w:rPr>
              <w:t xml:space="preserve">● </w:t>
            </w:r>
            <w:r>
              <w:rPr>
                <w:rFonts w:ascii="Arial" w:cs="Arial" w:eastAsia="Malgun Gothic" w:hAnsi="Arial"/>
                <w:b/>
                <w:bCs/>
                <w:color w:val="006300"/>
                <w:sz w:val="19"/>
                <w:szCs w:val="19"/>
              </w:rPr>
              <w:t xml:space="preserve">충족</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2.2</w:t>
            </w:r>
          </w:p>
        </w:tc>
        <w:tc>
          <w:tcPr>
            <w:tcW w:type="dxa" w:w="408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생산가능연령 전임교원 비율</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 70%</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96.95%</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19"/>
                <w:szCs w:val="19"/>
              </w:rPr>
              <w:t xml:space="preserve">● </w:t>
            </w:r>
            <w:r>
              <w:rPr>
                <w:rFonts w:ascii="Arial" w:cs="Arial" w:eastAsia="Malgun Gothic" w:hAnsi="Arial"/>
                <w:b/>
                <w:bCs/>
                <w:color w:val="006300"/>
                <w:sz w:val="19"/>
                <w:szCs w:val="19"/>
              </w:rPr>
              <w:t xml:space="preserve">충족</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2.3</w:t>
            </w:r>
          </w:p>
        </w:tc>
        <w:tc>
          <w:tcPr>
            <w:tcW w:type="dxa" w:w="408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박사학위 교원 비율</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 20%</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23.17%</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19"/>
                <w:szCs w:val="19"/>
              </w:rPr>
              <w:t xml:space="preserve">● </w:t>
            </w:r>
            <w:r>
              <w:rPr>
                <w:rFonts w:ascii="Arial" w:cs="Arial" w:eastAsia="Malgun Gothic" w:hAnsi="Arial"/>
                <w:b/>
                <w:bCs/>
                <w:color w:val="8A5A00"/>
                <w:sz w:val="19"/>
                <w:szCs w:val="19"/>
              </w:rPr>
              <w:t xml:space="preserve">충족, 여유 적음</w:t>
            </w:r>
          </w:p>
        </w:tc>
      </w:tr>
      <w:tr>
        <w:trPr>
          <w:cantSplit/>
        </w:trPr>
        <w:tc>
          <w:tcPr>
            <w:tcW w:type="dxa" w:w="9071"/>
            <w:gridSpan w:val="5"/>
            <w:tcBorders>
              <w:top w:val="single" w:color="B7C1D0" w:sz="4"/>
              <w:left w:val="single" w:color="B7C1D0" w:sz="4"/>
              <w:bottom w:val="single" w:color="B7C1D0" w:sz="4"/>
              <w:right w:val="single" w:color="B7C1D0" w:sz="4"/>
            </w:tcBorders>
            <w:shd w:fill="EAF1FB" w:color="auto" w:val="clear"/>
            <w:tcMar>
              <w:top w:type="dxa" w:w="50"/>
              <w:left w:type="dxa" w:w="90"/>
              <w:bottom w:type="dxa" w:w="50"/>
              <w:right w:type="dxa" w:w="90"/>
            </w:tcMar>
          </w:tcPr>
          <w:p>
            <w:pPr>
              <w:keepNext w:val="false"/>
              <w:spacing w:after="0" w:before="0" w:lineRule="auto" w:line="240"/>
              <w:jc w:val="left"/>
            </w:pPr>
            <w:r>
              <w:rPr>
                <w:rFonts w:ascii="Arial" w:cs="Arial" w:eastAsia="Malgun Gothic" w:hAnsi="Arial"/>
                <w:b/>
                <w:bCs/>
                <w:color w:val="0F2A4D"/>
                <w:sz w:val="19"/>
                <w:szCs w:val="19"/>
              </w:rPr>
              <w:t xml:space="preserve">분야 3. 시설</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3.1</w:t>
            </w:r>
          </w:p>
        </w:tc>
        <w:tc>
          <w:tcPr>
            <w:tcW w:type="dxa" w:w="408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학생 1인당 부지 면적(m²)</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 25</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공란</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19"/>
                <w:szCs w:val="19"/>
              </w:rPr>
              <w:t xml:space="preserve">● </w:t>
            </w:r>
            <w:r>
              <w:rPr>
                <w:rFonts w:ascii="Arial" w:cs="Arial" w:eastAsia="Malgun Gothic" w:hAnsi="Arial"/>
                <w:b/>
                <w:bCs/>
                <w:color w:val="006300"/>
                <w:sz w:val="19"/>
                <w:szCs w:val="19"/>
              </w:rPr>
              <w:t xml:space="preserve">충족(재계산 102.1)</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3.2</w:t>
            </w:r>
          </w:p>
        </w:tc>
        <w:tc>
          <w:tcPr>
            <w:tcW w:type="dxa" w:w="408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학생 1인당 연면적(m²); 개인 연구 공간을 가진 교원 비율</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 2.8; ≥ 70%</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25.06; 98.2%</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19"/>
                <w:szCs w:val="19"/>
              </w:rPr>
              <w:t xml:space="preserve">● </w:t>
            </w:r>
            <w:r>
              <w:rPr>
                <w:rFonts w:ascii="Arial" w:cs="Arial" w:eastAsia="Malgun Gothic" w:hAnsi="Arial"/>
                <w:b/>
                <w:bCs/>
                <w:color w:val="006300"/>
                <w:sz w:val="19"/>
                <w:szCs w:val="19"/>
              </w:rPr>
              <w:t xml:space="preserve">충족</w:t>
            </w:r>
          </w:p>
        </w:tc>
      </w:tr>
      <w:tr>
        <w:trPr>
          <w:cantSplit/>
        </w:trPr>
        <w:tc>
          <w:tcPr>
            <w:tcW w:type="dxa" w:w="56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3.3</w:t>
            </w:r>
          </w:p>
        </w:tc>
        <w:tc>
          <w:tcPr>
            <w:tcW w:type="dxa" w:w="408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전공당 도서 종수; 학생 1인당 장서 수</w:t>
            </w:r>
          </w:p>
        </w:tc>
        <w:tc>
          <w:tcPr>
            <w:tcW w:type="dxa" w:w="113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 40; ≥ 5</w:t>
            </w:r>
          </w:p>
        </w:tc>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76.89; 5</w:t>
            </w:r>
          </w:p>
        </w:tc>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19"/>
                <w:szCs w:val="19"/>
              </w:rPr>
              <w:t xml:space="preserve">● </w:t>
            </w:r>
            <w:r>
              <w:rPr>
                <w:rFonts w:ascii="Arial" w:cs="Arial" w:eastAsia="Malgun Gothic" w:hAnsi="Arial"/>
                <w:b/>
                <w:bCs/>
                <w:color w:val="8A5A00"/>
                <w:sz w:val="19"/>
                <w:szCs w:val="19"/>
              </w:rPr>
              <w:t xml:space="preserve">기준선 근접</w:t>
            </w:r>
          </w:p>
        </w:tc>
      </w:tr>
      <w:tr>
        <w:trPr>
          <w:cantSplit/>
        </w:trPr>
        <w:tc>
          <w:tcPr>
            <w:tcW w:type="dxa" w:w="56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center"/>
            </w:pPr>
            <w:r>
              <w:rPr>
                <w:rFonts w:ascii="Arial" w:cs="Arial" w:eastAsia="Malgun Gothic" w:hAnsi="Arial"/>
                <w:color w:val="0D1B2E"/>
                <w:sz w:val="19"/>
                <w:szCs w:val="19"/>
              </w:rPr>
              <w:t xml:space="preserve">3.4</w:t>
            </w:r>
          </w:p>
        </w:tc>
        <w:tc>
          <w:tcPr>
            <w:tcW w:type="dxa" w:w="408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19"/>
                <w:szCs w:val="19"/>
              </w:rPr>
              <w:t xml:space="preserve">온라인 수업 준비 교과목 비율; 학생 1,000명당 인터넷 속도</w:t>
            </w:r>
          </w:p>
        </w:tc>
        <w:tc>
          <w:tcPr>
            <w:tcW w:type="dxa" w:w="113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center"/>
            </w:pPr>
            <w:r>
              <w:rPr>
                <w:rFonts w:ascii="Arial" w:cs="Arial" w:eastAsia="Malgun Gothic" w:hAnsi="Arial"/>
                <w:color w:val="0D1B2E"/>
                <w:sz w:val="19"/>
                <w:szCs w:val="19"/>
              </w:rPr>
              <w:t xml:space="preserve">≥ 10%; ≥ 100 Mbps</w:t>
            </w:r>
          </w:p>
        </w:tc>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center"/>
            </w:pPr>
            <w:r>
              <w:rPr>
                <w:rFonts w:ascii="Arial" w:cs="Arial" w:eastAsia="Malgun Gothic" w:hAnsi="Arial"/>
                <w:color w:val="0D1B2E"/>
                <w:sz w:val="19"/>
                <w:szCs w:val="19"/>
              </w:rPr>
              <w:t xml:space="preserve">27.81%; 700 Mbps</w:t>
            </w:r>
          </w:p>
        </w:tc>
        <w:tc>
          <w:tcPr>
            <w:tcW w:type="dxa" w:w="181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19"/>
                <w:szCs w:val="19"/>
              </w:rPr>
              <w:t xml:space="preserve">● </w:t>
            </w:r>
            <w:r>
              <w:rPr>
                <w:rFonts w:ascii="Arial" w:cs="Arial" w:eastAsia="Malgun Gothic" w:hAnsi="Arial"/>
                <w:b/>
                <w:bCs/>
                <w:color w:val="006300"/>
                <w:sz w:val="19"/>
                <w:szCs w:val="19"/>
              </w:rPr>
              <w:t xml:space="preserve">충족</w:t>
            </w:r>
          </w:p>
        </w:tc>
      </w:tr>
    </w:tbl>
    <w:p>
      <w:pPr>
        <w:spacing w:after="200" w:before="20" w:lineRule="auto" w:line="240"/>
        <w:jc w:val="left"/>
      </w:pPr>
      <w:r>
        <w:rPr>
          <w:rFonts w:ascii="Arial" w:cs="Arial" w:eastAsia="Malgun Gothic" w:hAnsi="Arial"/>
          <w:i w:val="false"/>
          <w:iCs w:val="false"/>
          <w:color w:val="435066"/>
          <w:sz w:val="19"/>
          <w:szCs w:val="19"/>
        </w:rPr>
        <w:t xml:space="preserve">출처: 공시보고서 III.1. “평가”는 컨설턴트 기재; 3.1은 학교가 공란으로 두어 재계산.</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none" w:color="FFFFFF" w:sz="0"/>
              <w:left w:val="single" w:color="1E5AA8" w:sz="24"/>
              <w:bottom w:val="none" w:color="FFFFFF" w:sz="0"/>
              <w:right w:val="none" w:color="FFFFFF" w:sz="0"/>
            </w:tcBorders>
            <w:shd w:fill="EAF1FB" w:color="auto" w:val="clear"/>
            <w:tcMar>
              <w:top w:type="dxa" w:w="120"/>
              <w:left w:type="dxa" w:w="200"/>
              <w:bottom w:type="dxa" w:w="80"/>
              <w:right w:type="dxa" w:w="200"/>
            </w:tcMar>
          </w:tcPr>
          <w:p>
            <w:pPr>
              <w:keepNext/>
              <w:spacing w:after="80" w:before="0"/>
            </w:pPr>
            <w:r>
              <w:rPr>
                <w:rFonts w:ascii="Arial" w:cs="Arial" w:eastAsia="Malgun Gothic" w:hAnsi="Arial"/>
                <w:b/>
                <w:bCs/>
                <w:color w:val="0F2A4D"/>
                <w:sz w:val="22"/>
                <w:szCs w:val="22"/>
              </w:rPr>
              <w:t xml:space="preserve">분석 · 2026.11.15 시행 신기준</w:t>
            </w:r>
          </w:p>
          <w:p>
            <w:pPr>
              <w:spacing w:after="60" w:before="0" w:lineRule="auto" w:line="253"/>
              <w:ind w:left="300" w:hanging="220"/>
              <w:jc w:val="both"/>
            </w:pPr>
            <w:r>
              <w:rPr>
                <w:rFonts w:ascii="Arial" w:cs="Arial" w:eastAsia="Malgun Gothic" w:hAnsi="Arial"/>
                <w:color w:val="0D1B2E"/>
                <w:sz w:val="22"/>
                <w:szCs w:val="22"/>
              </w:rPr>
              <w:t xml:space="preserve">• </w:t>
            </w:r>
            <w:r>
              <w:rPr>
                <w:rFonts w:ascii="Arial" w:cs="Arial" w:eastAsia="Malgun Gothic" w:hAnsi="Arial"/>
                <w:b/>
                <w:bCs/>
                <w:color w:val="0D1B2E"/>
                <w:sz w:val="22"/>
                <w:szCs w:val="22"/>
              </w:rPr>
              <w:t xml:space="preserve">박사 비율:</w:t>
            </w:r>
            <w:r>
              <w:rPr>
                <w:rFonts w:ascii="Arial" w:cs="Arial" w:eastAsia="Malgun Gothic" w:hAnsi="Arial"/>
                <w:color w:val="0D1B2E"/>
                <w:sz w:val="22"/>
                <w:szCs w:val="22"/>
              </w:rPr>
              <w:t xml:space="preserve"> 2030년부터 기준선 30%. 교원 182명 기준으로 박사 55명이 필요하며, 교원 수가 같다면 현재 40명에서 약 15명을 더 확보해야 합니다.</w:t>
            </w:r>
          </w:p>
          <w:p>
            <w:pPr>
              <w:spacing w:after="60" w:before="0" w:lineRule="auto" w:line="253"/>
              <w:ind w:left="300" w:hanging="220"/>
              <w:jc w:val="both"/>
            </w:pPr>
            <w:r>
              <w:rPr>
                <w:rFonts w:ascii="Arial" w:cs="Arial" w:eastAsia="Malgun Gothic" w:hAnsi="Arial"/>
                <w:color w:val="0D1B2E"/>
                <w:sz w:val="22"/>
                <w:szCs w:val="22"/>
              </w:rPr>
              <w:t xml:space="preserve">• </w:t>
            </w:r>
            <w:r>
              <w:rPr>
                <w:rFonts w:ascii="Arial" w:cs="Arial" w:eastAsia="Malgun Gothic" w:hAnsi="Arial"/>
                <w:b/>
                <w:bCs/>
                <w:color w:val="0D1B2E"/>
                <w:sz w:val="22"/>
                <w:szCs w:val="22"/>
              </w:rPr>
              <w:t xml:space="preserve">재무:</w:t>
            </w:r>
            <w:r>
              <w:rPr>
                <w:rFonts w:ascii="Arial" w:cs="Arial" w:eastAsia="Malgun Gothic" w:hAnsi="Arial"/>
                <w:color w:val="0D1B2E"/>
                <w:sz w:val="22"/>
                <w:szCs w:val="22"/>
              </w:rPr>
              <w:t xml:space="preserve"> 3년 평균 운영수지율이 음수가 아니어야 합니다. UMT의 3.11%는 투자자 지원 덕분이며, 지원이 줄면 이 지표는 음수가 됩니다.</w:t>
            </w:r>
          </w:p>
          <w:p>
            <w:pPr>
              <w:spacing w:after="60" w:before="0" w:lineRule="auto" w:line="253"/>
              <w:ind w:left="300" w:hanging="220"/>
              <w:jc w:val="both"/>
            </w:pPr>
            <w:r>
              <w:rPr>
                <w:rFonts w:ascii="Arial" w:cs="Arial" w:eastAsia="Malgun Gothic" w:hAnsi="Arial"/>
                <w:color w:val="0D1B2E"/>
                <w:sz w:val="22"/>
                <w:szCs w:val="22"/>
              </w:rPr>
              <w:t xml:space="preserve">• </w:t>
            </w:r>
            <w:r>
              <w:rPr>
                <w:rFonts w:ascii="Arial" w:cs="Arial" w:eastAsia="Malgun Gothic" w:hAnsi="Arial"/>
                <w:b/>
                <w:bCs/>
                <w:color w:val="0D1B2E"/>
                <w:sz w:val="22"/>
                <w:szCs w:val="22"/>
              </w:rPr>
              <w:t xml:space="preserve">부지:</w:t>
            </w:r>
            <w:r>
              <w:rPr>
                <w:rFonts w:ascii="Arial" w:cs="Arial" w:eastAsia="Malgun Gothic" w:hAnsi="Arial"/>
                <w:color w:val="0D1B2E"/>
                <w:sz w:val="22"/>
                <w:szCs w:val="22"/>
              </w:rPr>
              <w:t xml:space="preserve"> 학생 1인당 25 m² 기준으로 현재 부지의 수용 상한은 약 2,970명입니다(5.6절).</w:t>
            </w:r>
          </w:p>
          <w:p>
            <w:pPr>
              <w:spacing w:after="60" w:before="0" w:lineRule="auto" w:line="253"/>
              <w:ind w:left="300" w:hanging="220"/>
              <w:jc w:val="both"/>
            </w:pPr>
            <w:r>
              <w:rPr>
                <w:rFonts w:ascii="Arial" w:cs="Arial" w:eastAsia="Malgun Gothic" w:hAnsi="Arial"/>
                <w:color w:val="0D1B2E"/>
                <w:sz w:val="22"/>
                <w:szCs w:val="22"/>
              </w:rPr>
              <w:t xml:space="preserve">• </w:t>
            </w:r>
            <w:r>
              <w:rPr>
                <w:rFonts w:ascii="Arial" w:cs="Arial" w:eastAsia="Malgun Gothic" w:hAnsi="Arial"/>
                <w:b/>
                <w:bCs/>
                <w:color w:val="0D1B2E"/>
                <w:sz w:val="22"/>
                <w:szCs w:val="22"/>
              </w:rPr>
              <w:t xml:space="preserve">데이터:</w:t>
            </w:r>
            <w:r>
              <w:rPr>
                <w:rFonts w:ascii="Arial" w:cs="Arial" w:eastAsia="Malgun Gothic" w:hAnsi="Arial"/>
                <w:color w:val="0D1B2E"/>
                <w:sz w:val="22"/>
                <w:szCs w:val="22"/>
              </w:rPr>
              <w:t xml:space="preserve"> HEMIS 지표 84.6%는 미충족입니다. 개선은 어렵지 않지만 데이터 관리 역량을 보여 주는 지표입니다.</w:t>
            </w:r>
          </w:p>
          <w:p>
            <w:pPr>
              <w:spacing w:after="60" w:before="0" w:lineRule="auto" w:line="253"/>
              <w:ind w:left="300" w:hanging="220"/>
              <w:jc w:val="both"/>
            </w:pPr>
            <w:r>
              <w:rPr>
                <w:rFonts w:ascii="Arial" w:cs="Arial" w:eastAsia="Malgun Gothic" w:hAnsi="Arial"/>
                <w:color w:val="0D1B2E"/>
                <w:sz w:val="22"/>
                <w:szCs w:val="22"/>
              </w:rPr>
              <w:t xml:space="preserve">• 기준 미달 시 모집 제한, 전공 개설 제한, 나아가 해산까지 가능합니다. 품질인증을 받은 기관 명단은 교육훈련부 품질관리국이 공표합니다.</w:t>
            </w:r>
          </w:p>
        </w:tc>
      </w:tr>
    </w:tbl>
    <w:p>
      <w:pPr>
        <w:spacing w:after="120" w:before="0"/>
      </w:pPr>
    </w:p>
    <w:p>
      <w:pPr>
        <w:pStyle w:val="Heading1"/>
        <w:pageBreakBefore/>
      </w:pPr>
      <w:r>
        <w:t xml:space="preserve">15. SWOT 및 리스크 매트릭스</w:t>
      </w:r>
    </w:p>
    <w:p>
      <w:pPr>
        <w:keepNext/>
        <w:spacing w:after="80" w:before="120" w:lineRule="auto" w:line="240"/>
        <w:jc w:val="center"/>
      </w:pPr>
      <w:r>
        <w:rPr>
          <w:rFonts w:ascii="Arial" w:cs="Arial" w:eastAsia="Malgun Gothic" w:hAnsi="Arial"/>
          <w:b/>
          <w:bCs/>
          <w:color w:val="0F2A4D"/>
          <w:sz w:val="22"/>
          <w:szCs w:val="22"/>
        </w:rPr>
        <w:t xml:space="preserve">표 15.1. </w:t>
      </w:r>
      <w:r>
        <w:rPr>
          <w:rFonts w:ascii="Arial" w:cs="Arial" w:eastAsia="Malgun Gothic" w:hAnsi="Arial"/>
          <w:i w:val="false"/>
          <w:iCs w:val="false"/>
          <w:color w:val="0D1B2E"/>
          <w:sz w:val="22"/>
          <w:szCs w:val="22"/>
        </w:rPr>
        <w:t xml:space="preserve">SWOT 분석</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강점(S)</w:t>
            </w:r>
          </w:p>
        </w:tc>
        <w:tc>
          <w:tcPr>
            <w:tcW w:type="dxa" w:w="4535"/>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약점(W)</w:t>
            </w:r>
          </w:p>
        </w:tc>
      </w:tr>
      <w:tr>
        <w:trPr>
          <w:cantSplit/>
        </w:trPr>
        <w:tc>
          <w:tcPr>
            <w:tcW w:type="dxa" w:w="45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ind w:left="200" w:hanging="160"/>
              <w:jc w:val="left"/>
            </w:pPr>
            <w:r>
              <w:rPr>
                <w:rFonts w:ascii="Arial" w:cs="Arial" w:eastAsia="Malgun Gothic" w:hAnsi="Arial"/>
                <w:color w:val="0D1B2E"/>
                <w:sz w:val="20"/>
                <w:szCs w:val="20"/>
              </w:rPr>
              <w:t xml:space="preserve">• 깟라이 본교 부지 7.19 ha, 신축 시설, 사진 증빙 확보</w:t>
            </w:r>
          </w:p>
          <w:p>
            <w:pPr>
              <w:spacing w:after="0" w:before="0" w:lineRule="auto" w:line="240"/>
              <w:ind w:left="200" w:hanging="160"/>
              <w:jc w:val="left"/>
            </w:pPr>
            <w:r>
              <w:rPr>
                <w:rFonts w:ascii="Arial" w:cs="Arial" w:eastAsia="Malgun Gothic" w:hAnsi="Arial"/>
                <w:color w:val="0D1B2E"/>
                <w:sz w:val="20"/>
                <w:szCs w:val="20"/>
              </w:rPr>
              <w:t xml:space="preserve">• 드문 비영리 모델로 정책 방향에 부합</w:t>
            </w:r>
          </w:p>
          <w:p>
            <w:pPr>
              <w:spacing w:after="0" w:before="0" w:lineRule="auto" w:line="240"/>
              <w:ind w:left="200" w:hanging="160"/>
              <w:jc w:val="left"/>
            </w:pPr>
            <w:r>
              <w:rPr>
                <w:rFonts w:ascii="Arial" w:cs="Arial" w:eastAsia="Malgun Gothic" w:hAnsi="Arial"/>
                <w:color w:val="0D1B2E"/>
                <w:sz w:val="20"/>
                <w:szCs w:val="20"/>
              </w:rPr>
              <w:t xml:space="preserve">• 기술·경영·미디어 중심 전공; 2026년 AI·사이버보안 개설</w:t>
            </w:r>
          </w:p>
          <w:p>
            <w:pPr>
              <w:spacing w:after="0" w:before="0" w:lineRule="auto" w:line="240"/>
              <w:ind w:left="200" w:hanging="160"/>
              <w:jc w:val="left"/>
            </w:pPr>
            <w:r>
              <w:rPr>
                <w:rFonts w:ascii="Arial" w:cs="Arial" w:eastAsia="Malgun Gothic" w:hAnsi="Arial"/>
                <w:color w:val="0D1B2E"/>
                <w:sz w:val="20"/>
                <w:szCs w:val="20"/>
              </w:rPr>
              <w:t xml:space="preserve">• 낮은 중도탈락률(2.3%); 신설 대학 적용 기준 14개 중 13개 충족</w:t>
            </w:r>
          </w:p>
        </w:tc>
        <w:tc>
          <w:tcPr>
            <w:tcW w:type="dxa" w:w="453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ind w:left="200" w:hanging="160"/>
              <w:jc w:val="left"/>
            </w:pPr>
            <w:r>
              <w:rPr>
                <w:rFonts w:ascii="Arial" w:cs="Arial" w:eastAsia="Malgun Gothic" w:hAnsi="Arial"/>
                <w:color w:val="0D1B2E"/>
                <w:sz w:val="20"/>
                <w:szCs w:val="20"/>
              </w:rPr>
              <w:t xml:space="preserve">• 재학생 727명, 입학률 계획 대비 35.2%</w:t>
            </w:r>
          </w:p>
          <w:p>
            <w:pPr>
              <w:spacing w:after="0" w:before="0" w:lineRule="auto" w:line="240"/>
              <w:ind w:left="200" w:hanging="160"/>
              <w:jc w:val="left"/>
            </w:pPr>
            <w:r>
              <w:rPr>
                <w:rFonts w:ascii="Arial" w:cs="Arial" w:eastAsia="Malgun Gothic" w:hAnsi="Arial"/>
                <w:color w:val="0D1B2E"/>
                <w:sz w:val="20"/>
                <w:szCs w:val="20"/>
              </w:rPr>
              <w:t xml:space="preserve">• 소유주의 연간 540억 동 지원에 의존</w:t>
            </w:r>
          </w:p>
          <w:p>
            <w:pPr>
              <w:spacing w:after="0" w:before="0" w:lineRule="auto" w:line="240"/>
              <w:ind w:left="200" w:hanging="160"/>
              <w:jc w:val="left"/>
            </w:pPr>
            <w:r>
              <w:rPr>
                <w:rFonts w:ascii="Arial" w:cs="Arial" w:eastAsia="Malgun Gothic" w:hAnsi="Arial"/>
                <w:color w:val="0D1B2E"/>
                <w:sz w:val="20"/>
                <w:szCs w:val="20"/>
              </w:rPr>
              <w:t xml:space="preserve">• 최저 수준의 합격선; 대규모 추가 모집</w:t>
            </w:r>
          </w:p>
          <w:p>
            <w:pPr>
              <w:spacing w:after="0" w:before="0" w:lineRule="auto" w:line="240"/>
              <w:ind w:left="200" w:hanging="160"/>
              <w:jc w:val="left"/>
            </w:pPr>
            <w:r>
              <w:rPr>
                <w:rFonts w:ascii="Arial" w:cs="Arial" w:eastAsia="Malgun Gothic" w:hAnsi="Arial"/>
                <w:color w:val="0D1B2E"/>
                <w:sz w:val="20"/>
                <w:szCs w:val="20"/>
              </w:rPr>
              <w:t xml:space="preserve">• 품질인증 없음; 박사 23.17%; 연계 교육 과정 없음</w:t>
            </w:r>
          </w:p>
        </w:tc>
      </w:tr>
      <w:tr>
        <w:trPr>
          <w:cantSplit/>
        </w:trPr>
        <w:tc>
          <w:tcPr>
            <w:tcW w:type="dxa" w:w="4536"/>
            <w:tcBorders>
              <w:top w:val="single" w:color="B7C1D0" w:sz="4"/>
              <w:left w:val="single" w:color="B7C1D0" w:sz="4"/>
              <w:bottom w:val="single" w:color="B7C1D0" w:sz="4"/>
              <w:right w:val="single" w:color="B7C1D0" w:sz="4"/>
            </w:tcBorders>
            <w:shd w:fill="0F2A4D"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기회(O)</w:t>
            </w:r>
          </w:p>
        </w:tc>
        <w:tc>
          <w:tcPr>
            <w:tcW w:type="dxa" w:w="4535"/>
            <w:tcBorders>
              <w:top w:val="single" w:color="B7C1D0" w:sz="4"/>
              <w:left w:val="single" w:color="B7C1D0" w:sz="4"/>
              <w:bottom w:val="single" w:color="B7C1D0" w:sz="4"/>
              <w:right w:val="single" w:color="B7C1D0" w:sz="4"/>
            </w:tcBorders>
            <w:shd w:fill="0F2A4D"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위협(T)</w:t>
            </w:r>
          </w:p>
        </w:tc>
      </w:tr>
      <w:tr>
        <w:trPr>
          <w:cantSplit/>
        </w:trPr>
        <w:tc>
          <w:tcPr>
            <w:tcW w:type="dxa" w:w="4536"/>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ind w:left="200" w:hanging="160"/>
              <w:jc w:val="left"/>
            </w:pPr>
            <w:r>
              <w:rPr>
                <w:rFonts w:ascii="Arial" w:cs="Arial" w:eastAsia="Malgun Gothic" w:hAnsi="Arial"/>
                <w:color w:val="0D1B2E"/>
                <w:sz w:val="20"/>
                <w:szCs w:val="20"/>
              </w:rPr>
              <w:t xml:space="preserve">• 2030년 학생 300만 명 이상 목표</w:t>
            </w:r>
          </w:p>
          <w:p>
            <w:pPr>
              <w:spacing w:after="0" w:before="0" w:lineRule="auto" w:line="240"/>
              <w:ind w:left="200" w:hanging="160"/>
              <w:jc w:val="left"/>
            </w:pPr>
            <w:r>
              <w:rPr>
                <w:rFonts w:ascii="Arial" w:cs="Arial" w:eastAsia="Malgun Gothic" w:hAnsi="Arial"/>
                <w:color w:val="0D1B2E"/>
                <w:sz w:val="20"/>
                <w:szCs w:val="20"/>
              </w:rPr>
              <w:t xml:space="preserve">• 2025년 법 개정으로 자율성 확대</w:t>
            </w:r>
          </w:p>
          <w:p>
            <w:pPr>
              <w:spacing w:after="0" w:before="0" w:lineRule="auto" w:line="240"/>
              <w:ind w:left="200" w:hanging="160"/>
              <w:jc w:val="left"/>
            </w:pPr>
            <w:r>
              <w:rPr>
                <w:rFonts w:ascii="Arial" w:cs="Arial" w:eastAsia="Malgun Gothic" w:hAnsi="Arial"/>
                <w:color w:val="0D1B2E"/>
                <w:sz w:val="20"/>
                <w:szCs w:val="20"/>
              </w:rPr>
              <w:t xml:space="preserve">• 한국 기업과 연계한 인재·교육 수요; 협력 이미 시작</w:t>
            </w:r>
          </w:p>
          <w:p>
            <w:pPr>
              <w:spacing w:after="0" w:before="0" w:lineRule="auto" w:line="240"/>
              <w:ind w:left="200" w:hanging="160"/>
              <w:jc w:val="left"/>
            </w:pPr>
            <w:r>
              <w:rPr>
                <w:rFonts w:ascii="Arial" w:cs="Arial" w:eastAsia="Malgun Gothic" w:hAnsi="Arial"/>
                <w:color w:val="0D1B2E"/>
                <w:sz w:val="20"/>
                <w:szCs w:val="20"/>
              </w:rPr>
              <w:t xml:space="preserve">• 1기 졸업: 졸업생 성과 데이터 축적 시작</w:t>
            </w:r>
          </w:p>
        </w:tc>
        <w:tc>
          <w:tcPr>
            <w:tcW w:type="dxa" w:w="4535"/>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ind w:left="200" w:hanging="160"/>
              <w:jc w:val="left"/>
            </w:pPr>
            <w:r>
              <w:rPr>
                <w:rFonts w:ascii="Arial" w:cs="Arial" w:eastAsia="Malgun Gothic" w:hAnsi="Arial"/>
                <w:color w:val="0D1B2E"/>
                <w:sz w:val="20"/>
                <w:szCs w:val="20"/>
              </w:rPr>
              <w:t xml:space="preserve">• 신기준이 교원·재무 요건을 강화; 미달 전공은 모집 중단</w:t>
            </w:r>
          </w:p>
          <w:p>
            <w:pPr>
              <w:spacing w:after="0" w:before="0" w:lineRule="auto" w:line="240"/>
              <w:ind w:left="200" w:hanging="160"/>
              <w:jc w:val="left"/>
            </w:pPr>
            <w:r>
              <w:rPr>
                <w:rFonts w:ascii="Arial" w:cs="Arial" w:eastAsia="Malgun Gothic" w:hAnsi="Arial"/>
                <w:color w:val="0D1B2E"/>
                <w:sz w:val="20"/>
                <w:szCs w:val="20"/>
              </w:rPr>
              <w:t xml:space="preserve">• 업력이 긴 대학과의 경쟁; 설립 장벽 완화(시행령 제361/2026호)</w:t>
            </w:r>
          </w:p>
          <w:p>
            <w:pPr>
              <w:spacing w:after="0" w:before="0" w:lineRule="auto" w:line="240"/>
              <w:ind w:left="200" w:hanging="160"/>
              <w:jc w:val="left"/>
            </w:pPr>
            <w:r>
              <w:rPr>
                <w:rFonts w:ascii="Arial" w:cs="Arial" w:eastAsia="Malgun Gothic" w:hAnsi="Arial"/>
                <w:color w:val="0D1B2E"/>
                <w:sz w:val="20"/>
                <w:szCs w:val="20"/>
              </w:rPr>
              <w:t xml:space="preserve">• 평판 리스크: 2023년 등록금 문제, 2025년 인사 문제, 웹사이트 오류</w:t>
            </w:r>
          </w:p>
          <w:p>
            <w:pPr>
              <w:spacing w:after="0" w:before="0" w:lineRule="auto" w:line="240"/>
              <w:ind w:left="200" w:hanging="160"/>
              <w:jc w:val="left"/>
            </w:pPr>
            <w:r>
              <w:rPr>
                <w:rFonts w:ascii="Arial" w:cs="Arial" w:eastAsia="Malgun Gothic" w:hAnsi="Arial"/>
                <w:color w:val="0D1B2E"/>
                <w:sz w:val="20"/>
                <w:szCs w:val="20"/>
              </w:rPr>
              <w:t xml:space="preserve">• 언론이 보도한 투자자 그룹 내 유동성 리스크</w:t>
            </w:r>
          </w:p>
        </w:tc>
      </w:tr>
    </w:tbl>
    <w:p>
      <w:pPr>
        <w:spacing w:after="200" w:before="20" w:lineRule="auto" w:line="240"/>
        <w:jc w:val="left"/>
      </w:pPr>
      <w:r>
        <w:rPr>
          <w:rFonts w:ascii="Arial" w:cs="Arial" w:eastAsia="Malgun Gothic" w:hAnsi="Arial"/>
          <w:i w:val="false"/>
          <w:iCs w:val="false"/>
          <w:color w:val="435066"/>
          <w:sz w:val="19"/>
          <w:szCs w:val="19"/>
        </w:rPr>
        <w:t xml:space="preserve">출처: 인용 자료에 근거한 컨설턴트 분석.</w:t>
      </w:r>
    </w:p>
    <w:p>
      <w:pPr>
        <w:keepNext/>
        <w:spacing w:after="80" w:before="120" w:lineRule="auto" w:line="240"/>
        <w:jc w:val="center"/>
      </w:pPr>
      <w:r>
        <w:rPr>
          <w:rFonts w:ascii="Arial" w:cs="Arial" w:eastAsia="Malgun Gothic" w:hAnsi="Arial"/>
          <w:b/>
          <w:bCs/>
          <w:color w:val="0F2A4D"/>
          <w:sz w:val="22"/>
          <w:szCs w:val="22"/>
        </w:rPr>
        <w:t xml:space="preserve">표 15.2. </w:t>
      </w:r>
      <w:r>
        <w:rPr>
          <w:rFonts w:ascii="Arial" w:cs="Arial" w:eastAsia="Malgun Gothic" w:hAnsi="Arial"/>
          <w:i w:val="false"/>
          <w:iCs w:val="false"/>
          <w:color w:val="0D1B2E"/>
          <w:sz w:val="22"/>
          <w:szCs w:val="22"/>
        </w:rPr>
        <w:t xml:space="preserve">리스크 등록부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4"/>
        <w:gridCol w:w="2211"/>
        <w:gridCol w:w="2891"/>
        <w:gridCol w:w="1191"/>
        <w:gridCol w:w="2154"/>
      </w:tblGrid>
      <w:tr>
        <w:trPr>
          <w:cantSplit/>
          <w:tblHeader/>
        </w:trPr>
        <w:tc>
          <w:tcPr>
            <w:tcW w:type="dxa" w:w="62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19"/>
                <w:szCs w:val="19"/>
              </w:rPr>
              <w:t xml:space="preserve">코드</w:t>
            </w:r>
          </w:p>
        </w:tc>
        <w:tc>
          <w:tcPr>
            <w:tcW w:type="dxa" w:w="221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리스크</w:t>
            </w:r>
          </w:p>
        </w:tc>
        <w:tc>
          <w:tcPr>
            <w:tcW w:type="dxa" w:w="289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근거(표준화 수치)</w:t>
            </w:r>
          </w:p>
        </w:tc>
        <w:tc>
          <w:tcPr>
            <w:tcW w:type="dxa" w:w="119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수준</w:t>
            </w:r>
          </w:p>
        </w:tc>
        <w:tc>
          <w:tcPr>
            <w:tcW w:type="dxa" w:w="215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완화 방안</w:t>
            </w:r>
          </w:p>
        </w:tc>
      </w:tr>
      <w:tr>
        <w:trPr>
          <w:cantSplit/>
        </w:trPr>
        <w:tc>
          <w:tcPr>
            <w:tcW w:type="dxa" w:w="62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R1</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저조한 입학 규모의 장기화</w:t>
            </w:r>
          </w:p>
        </w:tc>
        <w:tc>
          <w:tcPr>
            <w:tcW w:type="dxa" w:w="28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재학생 727명; 입학률 계획 대비 35.2%; 최저 합격선</w:t>
            </w:r>
          </w:p>
        </w:tc>
        <w:tc>
          <w:tcPr>
            <w:tcW w:type="dxa" w:w="11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9"/>
                <w:szCs w:val="19"/>
              </w:rPr>
              <w:t xml:space="preserve">● </w:t>
            </w:r>
            <w:r>
              <w:rPr>
                <w:rFonts w:ascii="Arial" w:cs="Arial" w:eastAsia="Malgun Gothic" w:hAnsi="Arial"/>
                <w:b/>
                <w:bCs/>
                <w:color w:val="B42318"/>
                <w:sz w:val="19"/>
                <w:szCs w:val="19"/>
              </w:rPr>
              <w:t xml:space="preserve">매우 높음</w:t>
            </w:r>
          </w:p>
        </w:tc>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자금 집행을 입학 KPI와 연동; 한국 파트너를 통한 모집·장학 채널</w:t>
            </w:r>
          </w:p>
        </w:tc>
      </w:tr>
      <w:tr>
        <w:trPr>
          <w:cantSplit/>
        </w:trPr>
        <w:tc>
          <w:tcPr>
            <w:tcW w:type="dxa" w:w="62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R2</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배당 및 이익 실현 불가</w:t>
            </w:r>
          </w:p>
        </w:tc>
        <w:tc>
          <w:tcPr>
            <w:tcW w:type="dxa" w:w="28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비영리 모델</w:t>
            </w:r>
          </w:p>
        </w:tc>
        <w:tc>
          <w:tcPr>
            <w:tcW w:type="dxa" w:w="11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9"/>
                <w:szCs w:val="19"/>
              </w:rPr>
              <w:t xml:space="preserve">● </w:t>
            </w:r>
            <w:r>
              <w:rPr>
                <w:rFonts w:ascii="Arial" w:cs="Arial" w:eastAsia="Malgun Gothic" w:hAnsi="Arial"/>
                <w:b/>
                <w:bCs/>
                <w:color w:val="B42318"/>
                <w:sz w:val="19"/>
                <w:szCs w:val="19"/>
              </w:rPr>
              <w:t xml:space="preserve">매우 높음</w:t>
            </w:r>
          </w:p>
        </w:tc>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학교 출자 대신 협력·서비스 계약 구조 선택</w:t>
            </w:r>
          </w:p>
        </w:tc>
      </w:tr>
      <w:tr>
        <w:trPr>
          <w:cantSplit/>
        </w:trPr>
        <w:tc>
          <w:tcPr>
            <w:tcW w:type="dxa" w:w="62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R3</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소유주 지원에 대한 의존</w:t>
            </w:r>
          </w:p>
        </w:tc>
        <w:tc>
          <w:tcPr>
            <w:tcW w:type="dxa" w:w="28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540억 동, 2025년 총수입의 63.5%</w:t>
            </w:r>
          </w:p>
        </w:tc>
        <w:tc>
          <w:tcPr>
            <w:tcW w:type="dxa" w:w="11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9"/>
                <w:szCs w:val="19"/>
              </w:rPr>
              <w:t xml:space="preserve">● </w:t>
            </w:r>
            <w:r>
              <w:rPr>
                <w:rFonts w:ascii="Arial" w:cs="Arial" w:eastAsia="Malgun Gothic" w:hAnsi="Arial"/>
                <w:b/>
                <w:bCs/>
                <w:color w:val="B42318"/>
                <w:sz w:val="19"/>
                <w:szCs w:val="19"/>
              </w:rPr>
              <w:t xml:space="preserve">매우 높음</w:t>
            </w:r>
          </w:p>
        </w:tc>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소유주의 재무 능력 확인; 지원 약정의 문서화</w:t>
            </w:r>
          </w:p>
        </w:tc>
      </w:tr>
      <w:tr>
        <w:trPr>
          <w:cantSplit/>
        </w:trPr>
        <w:tc>
          <w:tcPr>
            <w:tcW w:type="dxa" w:w="62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R4</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신기준 미충족</w:t>
            </w:r>
          </w:p>
        </w:tc>
        <w:tc>
          <w:tcPr>
            <w:tcW w:type="dxa" w:w="28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박사 23.17% 대 2030년 30%; HEMIS 84.6%; 운영수지율의 지원 의존</w:t>
            </w:r>
          </w:p>
        </w:tc>
        <w:tc>
          <w:tcPr>
            <w:tcW w:type="dxa" w:w="11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9"/>
                <w:szCs w:val="19"/>
              </w:rPr>
              <w:t xml:space="preserve">● </w:t>
            </w:r>
            <w:r>
              <w:rPr>
                <w:rFonts w:ascii="Arial" w:cs="Arial" w:eastAsia="Malgun Gothic" w:hAnsi="Arial"/>
                <w:b/>
                <w:bCs/>
                <w:color w:val="B42318"/>
                <w:sz w:val="19"/>
                <w:szCs w:val="19"/>
              </w:rPr>
              <w:t xml:space="preserve">높음</w:t>
            </w:r>
          </w:p>
        </w:tc>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시행규칙 제83/2026호 기준 자체평가 보고서 요구; 계약상 선행조건</w:t>
            </w:r>
          </w:p>
        </w:tc>
      </w:tr>
      <w:tr>
        <w:trPr>
          <w:cantSplit/>
        </w:trPr>
        <w:tc>
          <w:tcPr>
            <w:tcW w:type="dxa" w:w="62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R5</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지배구조 집중, 관계자 거래</w:t>
            </w:r>
          </w:p>
        </w:tc>
        <w:tc>
          <w:tcPr>
            <w:tcW w:type="dxa" w:w="28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단일 소유주; 언론에 따르면 이사회 9명 중 3명이 창업자 가족</w:t>
            </w:r>
          </w:p>
        </w:tc>
        <w:tc>
          <w:tcPr>
            <w:tcW w:type="dxa" w:w="11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9"/>
                <w:szCs w:val="19"/>
              </w:rPr>
              <w:t xml:space="preserve">● </w:t>
            </w:r>
            <w:r>
              <w:rPr>
                <w:rFonts w:ascii="Arial" w:cs="Arial" w:eastAsia="Malgun Gothic" w:hAnsi="Arial"/>
                <w:b/>
                <w:bCs/>
                <w:color w:val="B42318"/>
                <w:sz w:val="19"/>
                <w:szCs w:val="19"/>
              </w:rPr>
              <w:t xml:space="preserve">높음</w:t>
            </w:r>
          </w:p>
        </w:tc>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이사회 의석, 관계자 거래 거부권, 독립 감사</w:t>
            </w:r>
          </w:p>
        </w:tc>
      </w:tr>
      <w:tr>
        <w:trPr>
          <w:cantSplit/>
        </w:trPr>
        <w:tc>
          <w:tcPr>
            <w:tcW w:type="dxa" w:w="62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R6</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정보의 투명성·일관성</w:t>
            </w:r>
          </w:p>
        </w:tc>
        <w:tc>
          <w:tcPr>
            <w:tcW w:type="dxa" w:w="28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웹사이트·리플릿·공시보고서 간 불일치(1.1절); 감사받은 재무제표 미공개</w:t>
            </w:r>
          </w:p>
        </w:tc>
        <w:tc>
          <w:tcPr>
            <w:tcW w:type="dxa" w:w="11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9"/>
                <w:szCs w:val="19"/>
              </w:rPr>
              <w:t xml:space="preserve">● </w:t>
            </w:r>
            <w:r>
              <w:rPr>
                <w:rFonts w:ascii="Arial" w:cs="Arial" w:eastAsia="Malgun Gothic" w:hAnsi="Arial"/>
                <w:b/>
                <w:bCs/>
                <w:color w:val="B42318"/>
                <w:sz w:val="19"/>
                <w:szCs w:val="19"/>
              </w:rPr>
              <w:t xml:space="preserve">높음</w:t>
            </w:r>
          </w:p>
        </w:tc>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데이터룸; 원본 대조</w:t>
            </w:r>
          </w:p>
        </w:tc>
      </w:tr>
      <w:tr>
        <w:trPr>
          <w:cantSplit/>
        </w:trPr>
        <w:tc>
          <w:tcPr>
            <w:tcW w:type="dxa" w:w="62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R7</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경쟁 심화</w:t>
            </w:r>
          </w:p>
        </w:tc>
        <w:tc>
          <w:tcPr>
            <w:tcW w:type="dxa" w:w="28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사립대학 68곳; 설립 장벽 완화</w:t>
            </w:r>
          </w:p>
        </w:tc>
        <w:tc>
          <w:tcPr>
            <w:tcW w:type="dxa" w:w="11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9"/>
                <w:szCs w:val="19"/>
              </w:rPr>
              <w:t xml:space="preserve">● </w:t>
            </w:r>
            <w:r>
              <w:rPr>
                <w:rFonts w:ascii="Arial" w:cs="Arial" w:eastAsia="Malgun Gothic" w:hAnsi="Arial"/>
                <w:b/>
                <w:bCs/>
                <w:color w:val="B42318"/>
                <w:sz w:val="19"/>
                <w:szCs w:val="19"/>
              </w:rPr>
              <w:t xml:space="preserve">높음</w:t>
            </w:r>
          </w:p>
        </w:tc>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차별화: 비영리, 한국 연계, 기술 중심</w:t>
            </w:r>
          </w:p>
        </w:tc>
      </w:tr>
      <w:tr>
        <w:trPr>
          <w:cantSplit/>
        </w:trPr>
        <w:tc>
          <w:tcPr>
            <w:tcW w:type="dxa" w:w="62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R8</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부지·자산의 법적 리스크</w:t>
            </w:r>
          </w:p>
        </w:tc>
        <w:tc>
          <w:tcPr>
            <w:tcW w:type="dxa" w:w="28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71,854 m²(공시) 대 80,092 m²(개설안); 마스터플랜은 렌더 이미지; 그룹 내 담보 제공</w:t>
            </w:r>
          </w:p>
        </w:tc>
        <w:tc>
          <w:tcPr>
            <w:tcW w:type="dxa" w:w="11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19"/>
                <w:szCs w:val="19"/>
              </w:rPr>
              <w:t xml:space="preserve">● </w:t>
            </w:r>
            <w:r>
              <w:rPr>
                <w:rFonts w:ascii="Arial" w:cs="Arial" w:eastAsia="Malgun Gothic" w:hAnsi="Arial"/>
                <w:b/>
                <w:bCs/>
                <w:color w:val="8A5A00"/>
                <w:sz w:val="19"/>
                <w:szCs w:val="19"/>
              </w:rPr>
              <w:t xml:space="preserve">중상</w:t>
            </w:r>
          </w:p>
        </w:tc>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토지사용권 증서, 담보 설정, 건축 서류 확인</w:t>
            </w:r>
          </w:p>
        </w:tc>
      </w:tr>
      <w:tr>
        <w:trPr>
          <w:cantSplit/>
        </w:trPr>
        <w:tc>
          <w:tcPr>
            <w:tcW w:type="dxa" w:w="62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color w:val="0D1B2E"/>
                <w:sz w:val="19"/>
                <w:szCs w:val="19"/>
              </w:rPr>
              <w:t xml:space="preserve">R9</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평판, 학생·인사 관계</w:t>
            </w:r>
          </w:p>
        </w:tc>
        <w:tc>
          <w:tcPr>
            <w:tcW w:type="dxa" w:w="28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2023년 등록금 불만; 2025년 인사 건; 웹사이트 오류</w:t>
            </w:r>
          </w:p>
        </w:tc>
        <w:tc>
          <w:tcPr>
            <w:tcW w:type="dxa" w:w="119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19"/>
                <w:szCs w:val="19"/>
              </w:rPr>
              <w:t xml:space="preserve">● </w:t>
            </w:r>
            <w:r>
              <w:rPr>
                <w:rFonts w:ascii="Arial" w:cs="Arial" w:eastAsia="Malgun Gothic" w:hAnsi="Arial"/>
                <w:b/>
                <w:bCs/>
                <w:color w:val="8A5A00"/>
                <w:sz w:val="19"/>
                <w:szCs w:val="19"/>
              </w:rPr>
              <w:t xml:space="preserve">중간</w:t>
            </w:r>
          </w:p>
        </w:tc>
        <w:tc>
          <w:tcPr>
            <w:tcW w:type="dxa" w:w="215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color w:val="0D1B2E"/>
                <w:sz w:val="19"/>
                <w:szCs w:val="19"/>
              </w:rPr>
              <w:t xml:space="preserve">민원·분쟁 검토; 투명한 등록금 정책</w:t>
            </w:r>
          </w:p>
        </w:tc>
      </w:tr>
      <w:tr>
        <w:trPr>
          <w:cantSplit/>
        </w:trPr>
        <w:tc>
          <w:tcPr>
            <w:tcW w:type="dxa" w:w="62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center"/>
            </w:pPr>
            <w:r>
              <w:rPr>
                <w:rFonts w:ascii="Arial" w:cs="Arial" w:eastAsia="Malgun Gothic" w:hAnsi="Arial"/>
                <w:color w:val="0D1B2E"/>
                <w:sz w:val="19"/>
                <w:szCs w:val="19"/>
              </w:rPr>
              <w:t xml:space="preserve">R10</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19"/>
                <w:szCs w:val="19"/>
              </w:rPr>
              <w:t xml:space="preserve">정책 변경</w:t>
            </w:r>
          </w:p>
        </w:tc>
        <w:tc>
          <w:tcPr>
            <w:tcW w:type="dxa" w:w="28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19"/>
                <w:szCs w:val="19"/>
              </w:rPr>
              <w:t xml:space="preserve">2026년 법률, 시행령 제91·361호, 시행규칙 제83호 동시 변경</w:t>
            </w:r>
          </w:p>
        </w:tc>
        <w:tc>
          <w:tcPr>
            <w:tcW w:type="dxa" w:w="119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19"/>
                <w:szCs w:val="19"/>
              </w:rPr>
              <w:t xml:space="preserve">● </w:t>
            </w:r>
            <w:r>
              <w:rPr>
                <w:rFonts w:ascii="Arial" w:cs="Arial" w:eastAsia="Malgun Gothic" w:hAnsi="Arial"/>
                <w:b/>
                <w:bCs/>
                <w:color w:val="8A5A00"/>
                <w:sz w:val="19"/>
                <w:szCs w:val="19"/>
              </w:rPr>
              <w:t xml:space="preserve">중간</w:t>
            </w:r>
          </w:p>
        </w:tc>
        <w:tc>
          <w:tcPr>
            <w:tcW w:type="dxa" w:w="215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color w:val="0D1B2E"/>
                <w:sz w:val="19"/>
                <w:szCs w:val="19"/>
              </w:rPr>
              <w:t xml:space="preserve">최신 법률 의견; 법령 변경 조항</w:t>
            </w:r>
          </w:p>
        </w:tc>
      </w:tr>
    </w:tbl>
    <w:p>
      <w:pPr>
        <w:spacing w:after="200" w:before="20" w:lineRule="auto" w:line="240"/>
        <w:jc w:val="left"/>
      </w:pPr>
      <w:r>
        <w:rPr>
          <w:rFonts w:ascii="Arial" w:cs="Arial" w:eastAsia="Malgun Gothic" w:hAnsi="Arial"/>
          <w:i w:val="false"/>
          <w:iCs w:val="false"/>
          <w:color w:val="435066"/>
          <w:sz w:val="19"/>
          <w:szCs w:val="19"/>
        </w:rPr>
        <w:t xml:space="preserve">출처: 인용 자료에 근거한 컨설턴트 분석.</w:t>
      </w:r>
    </w:p>
    <w:p>
      <w:pPr>
        <w:keepNext/>
        <w:spacing w:after="80" w:before="120" w:lineRule="auto" w:line="240"/>
        <w:jc w:val="center"/>
      </w:pPr>
      <w:r>
        <w:rPr>
          <w:rFonts w:ascii="Arial" w:cs="Arial" w:eastAsia="Malgun Gothic" w:hAnsi="Arial"/>
          <w:b/>
          <w:bCs/>
          <w:color w:val="0F2A4D"/>
          <w:sz w:val="22"/>
          <w:szCs w:val="22"/>
        </w:rPr>
        <w:t xml:space="preserve">표 15.3. </w:t>
      </w:r>
      <w:r>
        <w:rPr>
          <w:rFonts w:ascii="Arial" w:cs="Arial" w:eastAsia="Malgun Gothic" w:hAnsi="Arial"/>
          <w:i w:val="false"/>
          <w:iCs w:val="false"/>
          <w:color w:val="0D1B2E"/>
          <w:sz w:val="22"/>
          <w:szCs w:val="22"/>
        </w:rPr>
        <w:t xml:space="preserve">발생 가능성 × 영향도 매트릭스(1–5점)</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451"/>
        <w:gridCol w:w="1451"/>
        <w:gridCol w:w="1451"/>
        <w:gridCol w:w="1451"/>
        <w:gridCol w:w="1453"/>
      </w:tblGrid>
      <w:tr>
        <w:trPr>
          <w:cantSplit/>
          <w:tblHeader/>
        </w:trPr>
        <w:tc>
          <w:tcPr>
            <w:tcW w:type="dxa" w:w="181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가능성 \ 영향도</w:t>
            </w:r>
          </w:p>
        </w:tc>
        <w:tc>
          <w:tcPr>
            <w:tcW w:type="dxa" w:w="145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20"/>
                <w:szCs w:val="20"/>
              </w:rPr>
              <w:t xml:space="preserve">1 매우 낮음</w:t>
            </w:r>
          </w:p>
        </w:tc>
        <w:tc>
          <w:tcPr>
            <w:tcW w:type="dxa" w:w="145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20"/>
                <w:szCs w:val="20"/>
              </w:rPr>
              <w:t xml:space="preserve">2 낮음</w:t>
            </w:r>
          </w:p>
        </w:tc>
        <w:tc>
          <w:tcPr>
            <w:tcW w:type="dxa" w:w="145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20"/>
                <w:szCs w:val="20"/>
              </w:rPr>
              <w:t xml:space="preserve">3 중간</w:t>
            </w:r>
          </w:p>
        </w:tc>
        <w:tc>
          <w:tcPr>
            <w:tcW w:type="dxa" w:w="145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20"/>
                <w:szCs w:val="20"/>
              </w:rPr>
              <w:t xml:space="preserve">4 높음</w:t>
            </w:r>
          </w:p>
        </w:tc>
        <w:tc>
          <w:tcPr>
            <w:tcW w:type="dxa" w:w="1453"/>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center"/>
            </w:pPr>
            <w:r>
              <w:rPr>
                <w:rFonts w:ascii="Arial" w:cs="Arial" w:eastAsia="Malgun Gothic" w:hAnsi="Arial"/>
                <w:b/>
                <w:bCs/>
                <w:color w:val="FFFFFF"/>
                <w:sz w:val="20"/>
                <w:szCs w:val="20"/>
              </w:rPr>
              <w:t xml:space="preserve">5 매우 높음</w:t>
            </w:r>
          </w:p>
        </w:tc>
      </w:tr>
      <w:tr>
        <w:trPr>
          <w:cantSplit/>
        </w:trPr>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5 거의 확실</w:t>
            </w: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c>
          <w:tcPr>
            <w:tcW w:type="dxa" w:w="1451"/>
            <w:tcBorders>
              <w:top w:val="single" w:color="B7C1D0" w:sz="4"/>
              <w:left w:val="single" w:color="B7C1D0" w:sz="4"/>
              <w:bottom w:val="single" w:color="B7C1D0" w:sz="4"/>
              <w:right w:val="single" w:color="B7C1D0" w:sz="4"/>
            </w:tcBorders>
            <w:shd w:fill="F6D5D1"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b/>
                <w:bCs/>
                <w:sz w:val="20"/>
                <w:szCs w:val="20"/>
              </w:rPr>
              <w:t xml:space="preserve">R3</w:t>
            </w:r>
          </w:p>
        </w:tc>
        <w:tc>
          <w:tcPr>
            <w:tcW w:type="dxa" w:w="1453"/>
            <w:tcBorders>
              <w:top w:val="single" w:color="B7C1D0" w:sz="4"/>
              <w:left w:val="single" w:color="B7C1D0" w:sz="4"/>
              <w:bottom w:val="single" w:color="B7C1D0" w:sz="4"/>
              <w:right w:val="single" w:color="B7C1D0" w:sz="4"/>
            </w:tcBorders>
            <w:shd w:fill="F0B9B3"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b/>
                <w:bCs/>
                <w:sz w:val="20"/>
                <w:szCs w:val="20"/>
              </w:rPr>
              <w:t xml:space="preserve">R1, R2</w:t>
            </w:r>
          </w:p>
        </w:tc>
      </w:tr>
      <w:tr>
        <w:trPr>
          <w:cantSplit/>
        </w:trPr>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4 가능성 높음</w:t>
            </w: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c>
          <w:tcPr>
            <w:tcW w:type="dxa" w:w="1451"/>
            <w:tcBorders>
              <w:top w:val="single" w:color="B7C1D0" w:sz="4"/>
              <w:left w:val="single" w:color="B7C1D0" w:sz="4"/>
              <w:bottom w:val="single" w:color="B7C1D0" w:sz="4"/>
              <w:right w:val="single" w:color="B7C1D0" w:sz="4"/>
            </w:tcBorders>
            <w:shd w:fill="FBE7C6"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b/>
                <w:bCs/>
                <w:sz w:val="20"/>
                <w:szCs w:val="20"/>
              </w:rPr>
              <w:t xml:space="preserve">R7</w:t>
            </w:r>
          </w:p>
        </w:tc>
        <w:tc>
          <w:tcPr>
            <w:tcW w:type="dxa" w:w="1451"/>
            <w:tcBorders>
              <w:top w:val="single" w:color="B7C1D0" w:sz="4"/>
              <w:left w:val="single" w:color="B7C1D0" w:sz="4"/>
              <w:bottom w:val="single" w:color="B7C1D0" w:sz="4"/>
              <w:right w:val="single" w:color="B7C1D0" w:sz="4"/>
            </w:tcBorders>
            <w:shd w:fill="F6D5D1"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b/>
                <w:bCs/>
                <w:sz w:val="20"/>
                <w:szCs w:val="20"/>
              </w:rPr>
              <w:t xml:space="preserve">R5, R6</w:t>
            </w:r>
          </w:p>
        </w:tc>
        <w:tc>
          <w:tcPr>
            <w:tcW w:type="dxa" w:w="1453"/>
            <w:tcBorders>
              <w:top w:val="single" w:color="B7C1D0" w:sz="4"/>
              <w:left w:val="single" w:color="B7C1D0" w:sz="4"/>
              <w:bottom w:val="single" w:color="B7C1D0" w:sz="4"/>
              <w:right w:val="single" w:color="B7C1D0" w:sz="4"/>
            </w:tcBorders>
            <w:shd w:fill="F0B9B3"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b/>
                <w:bCs/>
                <w:sz w:val="20"/>
                <w:szCs w:val="20"/>
              </w:rPr>
              <w:t xml:space="preserve">R4</w:t>
            </w:r>
          </w:p>
        </w:tc>
      </w:tr>
      <w:tr>
        <w:trPr>
          <w:cantSplit/>
        </w:trPr>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3 가능</w:t>
            </w: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c>
          <w:tcPr>
            <w:tcW w:type="dxa" w:w="1451"/>
            <w:tcBorders>
              <w:top w:val="single" w:color="B7C1D0" w:sz="4"/>
              <w:left w:val="single" w:color="B7C1D0" w:sz="4"/>
              <w:bottom w:val="single" w:color="B7C1D0" w:sz="4"/>
              <w:right w:val="single" w:color="B7C1D0" w:sz="4"/>
            </w:tcBorders>
            <w:shd w:fill="FBE7C6"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b/>
                <w:bCs/>
                <w:sz w:val="20"/>
                <w:szCs w:val="20"/>
              </w:rPr>
              <w:t xml:space="preserve">R9, R10</w:t>
            </w:r>
          </w:p>
        </w:tc>
        <w:tc>
          <w:tcPr>
            <w:tcW w:type="dxa" w:w="1451"/>
            <w:tcBorders>
              <w:top w:val="single" w:color="B7C1D0" w:sz="4"/>
              <w:left w:val="single" w:color="B7C1D0" w:sz="4"/>
              <w:bottom w:val="single" w:color="B7C1D0" w:sz="4"/>
              <w:right w:val="single" w:color="B7C1D0" w:sz="4"/>
            </w:tcBorders>
            <w:shd w:fill="FBE7C6" w:color="auto" w:val="clear"/>
            <w:tcMar>
              <w:top w:type="dxa" w:w="50"/>
              <w:left w:type="dxa" w:w="90"/>
              <w:bottom w:type="dxa" w:w="50"/>
              <w:right w:type="dxa" w:w="90"/>
            </w:tcMar>
            <w:vAlign w:val="center"/>
          </w:tcPr>
          <w:p>
            <w:pPr>
              <w:keepNext w:val="false"/>
              <w:spacing w:after="0" w:before="0" w:lineRule="auto" w:line="240"/>
              <w:jc w:val="center"/>
            </w:pPr>
            <w:r>
              <w:rPr>
                <w:rFonts w:ascii="Arial" w:cs="Arial" w:eastAsia="Malgun Gothic" w:hAnsi="Arial"/>
                <w:b/>
                <w:bCs/>
                <w:sz w:val="20"/>
                <w:szCs w:val="20"/>
              </w:rPr>
              <w:t xml:space="preserve">R8</w:t>
            </w:r>
          </w:p>
        </w:tc>
        <w:tc>
          <w:tcPr>
            <w:tcW w:type="dxa" w:w="1453"/>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r>
      <w:tr>
        <w:trPr>
          <w:cantSplit/>
        </w:trPr>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2 가능성 낮음</w:t>
            </w: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c>
          <w:tcPr>
            <w:tcW w:type="dxa" w:w="1453"/>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center"/>
            </w:pPr>
          </w:p>
        </w:tc>
      </w:tr>
      <w:tr>
        <w:trPr>
          <w:cantSplit/>
        </w:trPr>
        <w:tc>
          <w:tcPr>
            <w:tcW w:type="dxa" w:w="181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1 드묾</w:t>
            </w: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center"/>
            </w:pPr>
          </w:p>
        </w:tc>
        <w:tc>
          <w:tcPr>
            <w:tcW w:type="dxa" w:w="145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center"/>
            </w:pPr>
          </w:p>
        </w:tc>
        <w:tc>
          <w:tcPr>
            <w:tcW w:type="dxa" w:w="1453"/>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center"/>
            </w:pPr>
          </w:p>
        </w:tc>
      </w:tr>
    </w:tbl>
    <w:p>
      <w:pPr>
        <w:spacing w:after="200" w:before="20" w:lineRule="auto" w:line="240"/>
        <w:jc w:val="left"/>
      </w:pPr>
      <w:r>
        <w:rPr>
          <w:rFonts w:ascii="Arial" w:cs="Arial" w:eastAsia="Malgun Gothic" w:hAnsi="Arial"/>
          <w:i w:val="false"/>
          <w:iCs w:val="false"/>
          <w:color w:val="435066"/>
          <w:sz w:val="19"/>
          <w:szCs w:val="19"/>
        </w:rPr>
        <w:t xml:space="preserve">출처: 컨설턴트 평가. 색이 진할수록 리스크가 큽니다; 칸 안은 리스크 코드.</w:t>
      </w:r>
    </w:p>
    <w:p>
      <w:pPr>
        <w:pStyle w:val="Heading1"/>
        <w:pageBreakBefore/>
      </w:pPr>
      <w:r>
        <w:t xml:space="preserve">16. 참여 방안 및 로드맵</w:t>
      </w:r>
    </w:p>
    <w:p>
      <w:pPr>
        <w:keepNext/>
        <w:spacing w:after="80" w:before="120" w:lineRule="auto" w:line="240"/>
        <w:jc w:val="center"/>
      </w:pPr>
      <w:r>
        <w:rPr>
          <w:rFonts w:ascii="Arial" w:cs="Arial" w:eastAsia="Malgun Gothic" w:hAnsi="Arial"/>
          <w:b/>
          <w:bCs/>
          <w:color w:val="0F2A4D"/>
          <w:sz w:val="22"/>
          <w:szCs w:val="22"/>
        </w:rPr>
        <w:t xml:space="preserve">표 16.1. </w:t>
      </w:r>
      <w:r>
        <w:rPr>
          <w:rFonts w:ascii="Arial" w:cs="Arial" w:eastAsia="Malgun Gothic" w:hAnsi="Arial"/>
          <w:i w:val="false"/>
          <w:iCs w:val="false"/>
          <w:color w:val="0D1B2E"/>
          <w:sz w:val="22"/>
          <w:szCs w:val="22"/>
        </w:rPr>
        <w:t xml:space="preserve">한국 투자자의 참여 방안</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41"/>
        <w:gridCol w:w="2608"/>
        <w:gridCol w:w="2041"/>
        <w:gridCol w:w="1361"/>
        <w:gridCol w:w="1020"/>
      </w:tblGrid>
      <w:tr>
        <w:trPr>
          <w:cantSplit/>
          <w:tblHeader/>
        </w:trPr>
        <w:tc>
          <w:tcPr>
            <w:tcW w:type="dxa" w:w="204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방안</w:t>
            </w:r>
          </w:p>
        </w:tc>
        <w:tc>
          <w:tcPr>
            <w:tcW w:type="dxa" w:w="2608"/>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내용</w:t>
            </w:r>
          </w:p>
        </w:tc>
        <w:tc>
          <w:tcPr>
            <w:tcW w:type="dxa" w:w="204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주요 유의사항</w:t>
            </w:r>
          </w:p>
        </w:tc>
        <w:tc>
          <w:tcPr>
            <w:tcW w:type="dxa" w:w="136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가치</w:t>
            </w:r>
          </w:p>
        </w:tc>
        <w:tc>
          <w:tcPr>
            <w:tcW w:type="dxa" w:w="1020"/>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9"/>
                <w:szCs w:val="19"/>
              </w:rPr>
              <w:t xml:space="preserve">우선순위</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19"/>
                <w:szCs w:val="19"/>
              </w:rPr>
              <w:t xml:space="preserve">A. 학술·산학 전략적 파트너</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9"/>
                <w:szCs w:val="19"/>
              </w:rPr>
              <w:t xml:space="preserve">장학금, 인턴십, 채용; 공동·편입 과정; 한국어·한국문화 센터</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9"/>
                <w:szCs w:val="19"/>
              </w:rPr>
              <w:t xml:space="preserve">연계 교육 규정 준수(시행령 제86/2018호); UMT는 아직 연계 과정이 없음</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9"/>
                <w:szCs w:val="19"/>
              </w:rPr>
              <w:t xml:space="preserve">인재 확보, 브랜드; 소규모 자본</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19"/>
                <w:szCs w:val="19"/>
              </w:rPr>
              <w:t xml:space="preserve">● </w:t>
            </w:r>
            <w:r>
              <w:rPr>
                <w:rFonts w:ascii="Arial" w:cs="Arial" w:eastAsia="Malgun Gothic" w:hAnsi="Arial"/>
                <w:b/>
                <w:bCs/>
                <w:color w:val="006300"/>
                <w:sz w:val="19"/>
                <w:szCs w:val="19"/>
              </w:rPr>
              <w:t xml:space="preserve">1</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19"/>
                <w:szCs w:val="19"/>
              </w:rPr>
              <w:t xml:space="preserve">B. 시장가격 기반 서비스·인프라 계약</w:t>
            </w:r>
          </w:p>
        </w:tc>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9"/>
                <w:szCs w:val="19"/>
              </w:rPr>
              <w:t xml:space="preserve">기숙사, 디지털 플랫폼, 단기 교육, 캠퍼스 서비스</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9"/>
                <w:szCs w:val="19"/>
              </w:rPr>
              <w:t xml:space="preserve">비영리 대학의 위장된 이익 배분이 되어서는 안 됨</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9"/>
                <w:szCs w:val="19"/>
              </w:rPr>
              <w:t xml:space="preserve">학교 실적과 무관한 계약 수입</w:t>
            </w:r>
          </w:p>
        </w:tc>
        <w:tc>
          <w:tcPr>
            <w:tcW w:type="dxa" w:w="102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006300"/>
                <w:sz w:val="19"/>
                <w:szCs w:val="19"/>
              </w:rPr>
              <w:t xml:space="preserve">● </w:t>
            </w:r>
            <w:r>
              <w:rPr>
                <w:rFonts w:ascii="Arial" w:cs="Arial" w:eastAsia="Malgun Gothic" w:hAnsi="Arial"/>
                <w:b/>
                <w:bCs/>
                <w:color w:val="006300"/>
                <w:sz w:val="19"/>
                <w:szCs w:val="19"/>
              </w:rPr>
              <w:t xml:space="preserve">2</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19"/>
                <w:szCs w:val="19"/>
              </w:rPr>
              <w:t xml:space="preserve">C. 소유주 단계 참여</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9"/>
                <w:szCs w:val="19"/>
              </w:rPr>
              <w:t xml:space="preserve">UMT 교육투자개발그룹 주식회사 또는 관계회사에 투자</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9"/>
                <w:szCs w:val="19"/>
              </w:rPr>
              <w:t xml:space="preserve">그룹 전체 실사: 차입금, 담보, 내부거래</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9"/>
                <w:szCs w:val="19"/>
              </w:rPr>
              <w:t xml:space="preserve">생태계 접근</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19"/>
                <w:szCs w:val="19"/>
              </w:rPr>
              <w:t xml:space="preserve">● </w:t>
            </w:r>
            <w:r>
              <w:rPr>
                <w:rFonts w:ascii="Arial" w:cs="Arial" w:eastAsia="Malgun Gothic" w:hAnsi="Arial"/>
                <w:b/>
                <w:bCs/>
                <w:color w:val="8A5A00"/>
                <w:sz w:val="19"/>
                <w:szCs w:val="19"/>
              </w:rPr>
              <w:t xml:space="preserve">검토</w:t>
            </w:r>
          </w:p>
        </w:tc>
      </w:tr>
      <w:tr>
        <w:trPr>
          <w:cantSplit/>
        </w:trPr>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19"/>
                <w:szCs w:val="19"/>
              </w:rPr>
              <w:t xml:space="preserve">D. UMT에 직접 출자</w:t>
            </w:r>
          </w:p>
        </w:tc>
        <w:tc>
          <w:tcPr>
            <w:tcW w:type="dxa" w:w="2608"/>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9"/>
                <w:szCs w:val="19"/>
              </w:rPr>
              <w:t xml:space="preserve">비영리 대학의 투자자가 됨</w:t>
            </w:r>
          </w:p>
        </w:tc>
        <w:tc>
          <w:tcPr>
            <w:tcW w:type="dxa" w:w="204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9"/>
                <w:szCs w:val="19"/>
              </w:rPr>
              <w:t xml:space="preserve">출자금 회수·배당 불가; 법률 의견 필요</w:t>
            </w:r>
          </w:p>
        </w:tc>
        <w:tc>
          <w:tcPr>
            <w:tcW w:type="dxa" w:w="136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9"/>
                <w:szCs w:val="19"/>
              </w:rPr>
              <w:t xml:space="preserve">지배구조 참여, 사명 공유</w:t>
            </w:r>
          </w:p>
        </w:tc>
        <w:tc>
          <w:tcPr>
            <w:tcW w:type="dxa" w:w="1020"/>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9"/>
                <w:szCs w:val="19"/>
              </w:rPr>
              <w:t xml:space="preserve">● </w:t>
            </w:r>
            <w:r>
              <w:rPr>
                <w:rFonts w:ascii="Arial" w:cs="Arial" w:eastAsia="Malgun Gothic" w:hAnsi="Arial"/>
                <w:b/>
                <w:bCs/>
                <w:color w:val="B42318"/>
                <w:sz w:val="19"/>
                <w:szCs w:val="19"/>
              </w:rPr>
              <w:t xml:space="preserve">재무 목적 비권장</w:t>
            </w:r>
          </w:p>
        </w:tc>
      </w:tr>
      <w:tr>
        <w:trPr>
          <w:cantSplit/>
        </w:trPr>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19"/>
                <w:szCs w:val="19"/>
              </w:rPr>
              <w:t xml:space="preserve">E. 외국인 투자 교육기관 독자 설립</w:t>
            </w:r>
          </w:p>
        </w:tc>
        <w:tc>
          <w:tcPr>
            <w:tcW w:type="dxa" w:w="2608"/>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19"/>
                <w:szCs w:val="19"/>
              </w:rPr>
              <w:t xml:space="preserve">대학, 분교 또는 독자 과정</w:t>
            </w:r>
          </w:p>
        </w:tc>
        <w:tc>
          <w:tcPr>
            <w:tcW w:type="dxa" w:w="204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19"/>
                <w:szCs w:val="19"/>
              </w:rPr>
              <w:t xml:space="preserve">부지 5 ha 이상, 실투자 3,000억 동 이상; 장기 소요</w:t>
            </w:r>
          </w:p>
        </w:tc>
        <w:tc>
          <w:tcPr>
            <w:tcW w:type="dxa" w:w="136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19"/>
                <w:szCs w:val="19"/>
              </w:rPr>
              <w:t xml:space="preserve">완전한 통제권</w:t>
            </w:r>
          </w:p>
        </w:tc>
        <w:tc>
          <w:tcPr>
            <w:tcW w:type="dxa" w:w="1020"/>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1E5AA8"/>
                <w:sz w:val="19"/>
                <w:szCs w:val="19"/>
              </w:rPr>
              <w:t xml:space="preserve">● </w:t>
            </w:r>
            <w:r>
              <w:rPr>
                <w:rFonts w:ascii="Arial" w:cs="Arial" w:eastAsia="Malgun Gothic" w:hAnsi="Arial"/>
                <w:b/>
                <w:bCs/>
                <w:color w:val="1E5AA8"/>
                <w:sz w:val="19"/>
                <w:szCs w:val="19"/>
              </w:rPr>
              <w:t xml:space="preserve">장기</w:t>
            </w:r>
          </w:p>
        </w:tc>
      </w:tr>
    </w:tbl>
    <w:p>
      <w:pPr>
        <w:spacing w:after="200" w:before="20" w:lineRule="auto" w:line="240"/>
        <w:jc w:val="left"/>
      </w:pPr>
      <w:r>
        <w:rPr>
          <w:rFonts w:ascii="Arial" w:cs="Arial" w:eastAsia="Malgun Gothic" w:hAnsi="Arial"/>
          <w:i w:val="false"/>
          <w:iCs w:val="false"/>
          <w:color w:val="435066"/>
          <w:sz w:val="19"/>
          <w:szCs w:val="19"/>
        </w:rPr>
        <w:t xml:space="preserve">컨설턴트 권고; 실행 전 법률 의견 필요.</w:t>
      </w:r>
    </w:p>
    <w:p>
      <w:pPr>
        <w:keepNext/>
        <w:spacing w:after="80" w:before="120" w:lineRule="auto" w:line="240"/>
        <w:jc w:val="center"/>
      </w:pPr>
      <w:r>
        <w:rPr>
          <w:rFonts w:ascii="Arial" w:cs="Arial" w:eastAsia="Malgun Gothic" w:hAnsi="Arial"/>
          <w:b/>
          <w:bCs/>
          <w:color w:val="0F2A4D"/>
          <w:sz w:val="22"/>
          <w:szCs w:val="22"/>
        </w:rPr>
        <w:t xml:space="preserve">표 16.2. </w:t>
      </w:r>
      <w:r>
        <w:rPr>
          <w:rFonts w:ascii="Arial" w:cs="Arial" w:eastAsia="Malgun Gothic" w:hAnsi="Arial"/>
          <w:i w:val="false"/>
          <w:iCs w:val="false"/>
          <w:color w:val="0D1B2E"/>
          <w:sz w:val="22"/>
          <w:szCs w:val="22"/>
        </w:rPr>
        <w:t xml:space="preserve">권장 로드맵</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74"/>
        <w:gridCol w:w="7597"/>
      </w:tblGrid>
      <w:tr>
        <w:trPr>
          <w:cantSplit/>
          <w:tblHeader/>
        </w:trPr>
        <w:tc>
          <w:tcPr>
            <w:tcW w:type="dxa" w:w="1474"/>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시기</w:t>
            </w:r>
          </w:p>
        </w:tc>
        <w:tc>
          <w:tcPr>
            <w:tcW w:type="dxa" w:w="759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20"/>
                <w:szCs w:val="20"/>
              </w:rPr>
              <w:t xml:space="preserve">업무</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1개월 차</w:t>
            </w:r>
          </w:p>
        </w:tc>
        <w:tc>
          <w:tcPr>
            <w:tcW w:type="dxa" w:w="759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비밀유지계약 체결; 요청 자료 목록 송부(제17장); 대학이사회, 총장단, 소유주 대표와 면담</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2–3개월 차</w:t>
            </w:r>
          </w:p>
        </w:tc>
        <w:tc>
          <w:tcPr>
            <w:tcW w:type="dxa" w:w="759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법률 실사(소유 구조, 토지, 비영리 약정, 관계자); 재무 실사(감사받은 재무제표); 운영 실사(입학, 교원, 기준); 17.2절에 따른 현장 실사</w:t>
            </w:r>
          </w:p>
        </w:tc>
      </w:tr>
      <w:tr>
        <w:trPr>
          <w:cantSplit/>
        </w:trPr>
        <w:tc>
          <w:tcPr>
            <w:tcW w:type="dxa" w:w="1474"/>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20"/>
                <w:szCs w:val="20"/>
              </w:rPr>
              <w:t xml:space="preserve">4개월 차</w:t>
            </w:r>
          </w:p>
        </w:tc>
        <w:tc>
          <w:tcPr>
            <w:tcW w:type="dxa" w:w="759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20"/>
                <w:szCs w:val="20"/>
              </w:rPr>
              <w:t xml:space="preserve">입학·품질 KPI와 투명성 선행조건을 포함한 방안 A 또는 B의 기본 합의</w:t>
            </w:r>
          </w:p>
        </w:tc>
      </w:tr>
      <w:tr>
        <w:trPr>
          <w:cantSplit/>
        </w:trPr>
        <w:tc>
          <w:tcPr>
            <w:tcW w:type="dxa" w:w="1474"/>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20"/>
                <w:szCs w:val="20"/>
              </w:rPr>
              <w:t xml:space="preserve">5–12개월 차</w:t>
            </w:r>
          </w:p>
        </w:tc>
        <w:tc>
          <w:tcPr>
            <w:tcW w:type="dxa" w:w="759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20"/>
                <w:szCs w:val="20"/>
              </w:rPr>
              <w:t xml:space="preserve">시범 사업(장학금·인턴십 프로그램 1건 또는 서비스 계약 1건); 확대 전 평가</w:t>
            </w:r>
          </w:p>
        </w:tc>
      </w:tr>
    </w:tbl>
    <w:p>
      <w:pPr>
        <w:spacing w:after="200" w:before="20" w:lineRule="auto" w:line="240"/>
        <w:jc w:val="left"/>
      </w:pPr>
      <w:r>
        <w:rPr>
          <w:rFonts w:ascii="Arial" w:cs="Arial" w:eastAsia="Malgun Gothic" w:hAnsi="Arial"/>
          <w:i w:val="false"/>
          <w:iCs w:val="false"/>
          <w:color w:val="435066"/>
          <w:sz w:val="19"/>
          <w:szCs w:val="19"/>
        </w:rPr>
        <w:t xml:space="preserve">출처: 컨설턴트 제안.</w:t>
      </w:r>
    </w:p>
    <w:p>
      <w:pPr>
        <w:pStyle w:val="Heading1"/>
        <w:pageBreakBefore/>
      </w:pPr>
      <w:r>
        <w:t xml:space="preserve">17. 요청 자료 및 현장 실사</w:t>
      </w:r>
    </w:p>
    <w:p>
      <w:pPr>
        <w:pStyle w:val="Heading2"/>
        <w:keepNext/>
      </w:pPr>
      <w:r>
        <w:t xml:space="preserve">17.1 요청 자료</w:t>
      </w:r>
    </w:p>
    <w:p>
      <w:pPr>
        <w:keepNext/>
        <w:spacing w:after="80" w:before="120" w:lineRule="auto" w:line="240"/>
        <w:jc w:val="center"/>
      </w:pPr>
      <w:r>
        <w:rPr>
          <w:rFonts w:ascii="Arial" w:cs="Arial" w:eastAsia="Malgun Gothic" w:hAnsi="Arial"/>
          <w:b/>
          <w:bCs/>
          <w:color w:val="0F2A4D"/>
          <w:sz w:val="22"/>
          <w:szCs w:val="22"/>
        </w:rPr>
        <w:t xml:space="preserve">표 17.1. </w:t>
      </w:r>
      <w:r>
        <w:rPr>
          <w:rFonts w:ascii="Arial" w:cs="Arial" w:eastAsia="Malgun Gothic" w:hAnsi="Arial"/>
          <w:i w:val="false"/>
          <w:iCs w:val="false"/>
          <w:color w:val="0D1B2E"/>
          <w:sz w:val="22"/>
          <w:szCs w:val="22"/>
        </w:rPr>
        <w:t xml:space="preserve">실사 요청 자료 목록</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17"/>
        <w:gridCol w:w="3742"/>
        <w:gridCol w:w="2211"/>
        <w:gridCol w:w="1701"/>
      </w:tblGrid>
      <w:tr>
        <w:trPr>
          <w:cantSplit/>
          <w:tblHeader/>
        </w:trPr>
        <w:tc>
          <w:tcPr>
            <w:tcW w:type="dxa" w:w="1417"/>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8"/>
                <w:szCs w:val="18"/>
              </w:rPr>
              <w:t xml:space="preserve">구분</w:t>
            </w:r>
          </w:p>
        </w:tc>
        <w:tc>
          <w:tcPr>
            <w:tcW w:type="dxa" w:w="3742"/>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8"/>
                <w:szCs w:val="18"/>
              </w:rPr>
              <w:t xml:space="preserve">자료</w:t>
            </w:r>
          </w:p>
        </w:tc>
        <w:tc>
          <w:tcPr>
            <w:tcW w:type="dxa" w:w="221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8"/>
                <w:szCs w:val="18"/>
              </w:rPr>
              <w:t xml:space="preserve">목적</w:t>
            </w:r>
          </w:p>
        </w:tc>
        <w:tc>
          <w:tcPr>
            <w:tcW w:type="dxa" w:w="1701"/>
            <w:tcBorders>
              <w:top w:val="single" w:color="0F2A4D" w:sz="4"/>
              <w:left w:val="single" w:color="0F2A4D" w:sz="4"/>
              <w:bottom w:val="single" w:color="0F2A4D" w:sz="4"/>
              <w:right w:val="single" w:color="0F2A4D" w:sz="4"/>
            </w:tcBorders>
            <w:shd w:fill="0F2A4D" w:color="auto" w:val="clear"/>
            <w:tcMar>
              <w:top w:type="dxa" w:w="60"/>
              <w:left w:type="dxa" w:w="90"/>
              <w:bottom w:type="dxa" w:w="60"/>
              <w:right w:type="dxa" w:w="90"/>
            </w:tcMar>
            <w:vAlign w:val="center"/>
          </w:tcPr>
          <w:p>
            <w:pPr>
              <w:keepNext w:val="false"/>
              <w:spacing w:after="0" w:before="0" w:lineRule="auto" w:line="240"/>
              <w:jc w:val="left"/>
            </w:pPr>
            <w:r>
              <w:rPr>
                <w:rFonts w:ascii="Arial" w:cs="Arial" w:eastAsia="Malgun Gothic" w:hAnsi="Arial"/>
                <w:b/>
                <w:bCs/>
                <w:color w:val="FFFFFF"/>
                <w:sz w:val="18"/>
                <w:szCs w:val="18"/>
              </w:rPr>
              <w:t xml:space="preserve">확보 현황</w:t>
            </w:r>
          </w:p>
        </w:tc>
      </w:tr>
      <w:tr>
        <w:trPr>
          <w:cantSplit/>
        </w:trPr>
        <w:tc>
          <w:tcPr>
            <w:tcW w:type="dxa" w:w="141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18"/>
                <w:szCs w:val="18"/>
              </w:rPr>
              <w:t xml:space="preserve">법적 근거</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총리 결정 제467/QĐ-TTg호; 교육훈련부 결정 제1676/QĐ-BGDĐT호; 조직·운영 규정(2021, 2026 개정); 결의 제08/2026/NQ-HĐQT호; 총장 승인 결정</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법적 지위와 의사결정 권한 확인</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18"/>
                <w:szCs w:val="18"/>
              </w:rPr>
              <w:t xml:space="preserve">● </w:t>
            </w:r>
            <w:r>
              <w:rPr>
                <w:rFonts w:ascii="Arial" w:cs="Arial" w:eastAsia="Malgun Gothic" w:hAnsi="Arial"/>
                <w:b/>
                <w:bCs/>
                <w:color w:val="8A5A00"/>
                <w:sz w:val="18"/>
                <w:szCs w:val="18"/>
              </w:rPr>
              <w:t xml:space="preserve">문서번호만 확인, 원본 필요</w:t>
            </w:r>
          </w:p>
        </w:tc>
      </w:tr>
      <w:tr>
        <w:trPr>
          <w:cantSplit/>
        </w:trPr>
        <w:tc>
          <w:tcPr>
            <w:tcW w:type="dxa" w:w="141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18"/>
                <w:szCs w:val="18"/>
              </w:rPr>
              <w:t xml:space="preserve">소유주</w:t>
            </w:r>
          </w:p>
        </w:tc>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UMT 교육투자개발그룹 주식회사의 사업자등록증, 정관, 주주명부; 비영리 약정서; 지원 결의</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학교의 실질 지배자와 지원 능력 확인</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8"/>
                <w:szCs w:val="18"/>
              </w:rPr>
              <w:t xml:space="preserve">● </w:t>
            </w:r>
            <w:r>
              <w:rPr>
                <w:rFonts w:ascii="Arial" w:cs="Arial" w:eastAsia="Malgun Gothic" w:hAnsi="Arial"/>
                <w:b/>
                <w:bCs/>
                <w:color w:val="B42318"/>
                <w:sz w:val="18"/>
                <w:szCs w:val="18"/>
              </w:rPr>
              <w:t xml:space="preserve">미확보</w:t>
            </w:r>
          </w:p>
        </w:tc>
      </w:tr>
      <w:tr>
        <w:trPr>
          <w:cantSplit/>
        </w:trPr>
        <w:tc>
          <w:tcPr>
            <w:tcW w:type="dxa" w:w="141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18"/>
                <w:szCs w:val="18"/>
              </w:rPr>
              <w:t xml:space="preserve">재무</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2025년 연차보고서(웹사이트에 게시됨); 2021–2025년 감사받은 재무제표, 2026년 9개월 실적; 2026–2027년 예산; 실제 장학금 지출; 감가상각, 투자</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운영수지율과 지원 필요액 평가</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18"/>
                <w:szCs w:val="18"/>
              </w:rPr>
              <w:t xml:space="preserve">● </w:t>
            </w:r>
            <w:r>
              <w:rPr>
                <w:rFonts w:ascii="Arial" w:cs="Arial" w:eastAsia="Malgun Gothic" w:hAnsi="Arial"/>
                <w:b/>
                <w:bCs/>
                <w:color w:val="8A5A00"/>
                <w:sz w:val="18"/>
                <w:szCs w:val="18"/>
              </w:rPr>
              <w:t xml:space="preserve">2024–2025년 수지만 확보</w:t>
            </w:r>
          </w:p>
        </w:tc>
      </w:tr>
      <w:tr>
        <w:trPr>
          <w:cantSplit/>
        </w:trPr>
        <w:tc>
          <w:tcPr>
            <w:tcW w:type="dxa" w:w="141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18"/>
                <w:szCs w:val="18"/>
              </w:rPr>
              <w:t xml:space="preserve">토지·건축</w:t>
            </w:r>
          </w:p>
        </w:tc>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3개 캠퍼스 토지사용권 증서; 건축허가, 준공 서류; 담보 설정, 임대차 계약 현황</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자산 리스크 배제</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8"/>
                <w:szCs w:val="18"/>
              </w:rPr>
              <w:t xml:space="preserve">● </w:t>
            </w:r>
            <w:r>
              <w:rPr>
                <w:rFonts w:ascii="Arial" w:cs="Arial" w:eastAsia="Malgun Gothic" w:hAnsi="Arial"/>
                <w:b/>
                <w:bCs/>
                <w:color w:val="B42318"/>
                <w:sz w:val="18"/>
                <w:szCs w:val="18"/>
              </w:rPr>
              <w:t xml:space="preserve">미확보</w:t>
            </w:r>
          </w:p>
        </w:tc>
      </w:tr>
      <w:tr>
        <w:trPr>
          <w:cantSplit/>
        </w:trPr>
        <w:tc>
          <w:tcPr>
            <w:tcW w:type="dxa" w:w="141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18"/>
                <w:szCs w:val="18"/>
              </w:rPr>
              <w:t xml:space="preserve">학생</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2022–2026년 학번별 정원, 합격, 입학 인원; 1기 졸업·취업 결과</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수요와 품질 검증</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18"/>
                <w:szCs w:val="18"/>
              </w:rPr>
              <w:t xml:space="preserve">● </w:t>
            </w:r>
            <w:r>
              <w:rPr>
                <w:rFonts w:ascii="Arial" w:cs="Arial" w:eastAsia="Malgun Gothic" w:hAnsi="Arial"/>
                <w:b/>
                <w:bCs/>
                <w:color w:val="8A5A00"/>
                <w:sz w:val="18"/>
                <w:szCs w:val="18"/>
              </w:rPr>
              <w:t xml:space="preserve">2025년 집계만 확보</w:t>
            </w:r>
          </w:p>
        </w:tc>
      </w:tr>
      <w:tr>
        <w:trPr>
          <w:cantSplit/>
        </w:trPr>
        <w:tc>
          <w:tcPr>
            <w:tcW w:type="dxa" w:w="141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18"/>
                <w:szCs w:val="18"/>
              </w:rPr>
              <w:t xml:space="preserve">인사</w:t>
            </w:r>
          </w:p>
        </w:tc>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학위·연령별 전임교원 명단; 표준 계약서; 급여표; 인건비 총액</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기준 대조; 비용 산정</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18"/>
                <w:szCs w:val="18"/>
              </w:rPr>
              <w:t xml:space="preserve">● </w:t>
            </w:r>
            <w:r>
              <w:rPr>
                <w:rFonts w:ascii="Arial" w:cs="Arial" w:eastAsia="Malgun Gothic" w:hAnsi="Arial"/>
                <w:b/>
                <w:bCs/>
                <w:color w:val="8A5A00"/>
                <w:sz w:val="18"/>
                <w:szCs w:val="18"/>
              </w:rPr>
              <w:t xml:space="preserve">인원만, 급여 미확보</w:t>
            </w:r>
          </w:p>
        </w:tc>
      </w:tr>
      <w:tr>
        <w:trPr>
          <w:cantSplit/>
        </w:trPr>
        <w:tc>
          <w:tcPr>
            <w:tcW w:type="dxa" w:w="141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18"/>
                <w:szCs w:val="18"/>
              </w:rPr>
              <w:t xml:space="preserve">품질</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시행규칙 제83/2026호 기준 자체평가 보고서; 인증 계획; HEMIS 데이터</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모집 제한 리스크 점검</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8"/>
                <w:szCs w:val="18"/>
              </w:rPr>
              <w:t xml:space="preserve">● </w:t>
            </w:r>
            <w:r>
              <w:rPr>
                <w:rFonts w:ascii="Arial" w:cs="Arial" w:eastAsia="Malgun Gothic" w:hAnsi="Arial"/>
                <w:b/>
                <w:bCs/>
                <w:color w:val="B42318"/>
                <w:sz w:val="18"/>
                <w:szCs w:val="18"/>
              </w:rPr>
              <w:t xml:space="preserve">미확보</w:t>
            </w:r>
          </w:p>
        </w:tc>
      </w:tr>
      <w:tr>
        <w:trPr>
          <w:cantSplit/>
        </w:trPr>
        <w:tc>
          <w:tcPr>
            <w:tcW w:type="dxa" w:w="141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18"/>
                <w:szCs w:val="18"/>
              </w:rPr>
              <w:t xml:space="preserve">관계자</w:t>
            </w:r>
          </w:p>
        </w:tc>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소유주, 끼엔아, 주이떤 중고등학교 및 그룹 계열사와의 계약</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이전가격, 숨은 의무 발견</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8"/>
                <w:szCs w:val="18"/>
              </w:rPr>
              <w:t xml:space="preserve">● </w:t>
            </w:r>
            <w:r>
              <w:rPr>
                <w:rFonts w:ascii="Arial" w:cs="Arial" w:eastAsia="Malgun Gothic" w:hAnsi="Arial"/>
                <w:b/>
                <w:bCs/>
                <w:color w:val="B42318"/>
                <w:sz w:val="18"/>
                <w:szCs w:val="18"/>
              </w:rPr>
              <w:t xml:space="preserve">미확보</w:t>
            </w:r>
          </w:p>
        </w:tc>
      </w:tr>
      <w:tr>
        <w:trPr>
          <w:cantSplit/>
        </w:trPr>
        <w:tc>
          <w:tcPr>
            <w:tcW w:type="dxa" w:w="141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18"/>
                <w:szCs w:val="18"/>
              </w:rPr>
              <w:t xml:space="preserve">협력</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EasyCS, UR Planner, 커틴대, SLSU, RMIT 등과의 협약: 범위, 유효기간, 참여 학생 수</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네트워크의 실질 가치 평가</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8"/>
                <w:szCs w:val="18"/>
              </w:rPr>
              <w:t xml:space="preserve">● </w:t>
            </w:r>
            <w:r>
              <w:rPr>
                <w:rFonts w:ascii="Arial" w:cs="Arial" w:eastAsia="Malgun Gothic" w:hAnsi="Arial"/>
                <w:b/>
                <w:bCs/>
                <w:color w:val="B42318"/>
                <w:sz w:val="18"/>
                <w:szCs w:val="18"/>
              </w:rPr>
              <w:t xml:space="preserve">미확보</w:t>
            </w:r>
          </w:p>
        </w:tc>
      </w:tr>
      <w:tr>
        <w:trPr>
          <w:cantSplit/>
        </w:trPr>
        <w:tc>
          <w:tcPr>
            <w:tcW w:type="dxa" w:w="1417"/>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bCs/>
                <w:color w:val="0D1B2E"/>
                <w:sz w:val="18"/>
                <w:szCs w:val="18"/>
              </w:rPr>
              <w:t xml:space="preserve">분쟁·준법</w:t>
            </w:r>
          </w:p>
        </w:tc>
        <w:tc>
          <w:tcPr>
            <w:tcW w:type="dxa" w:w="3742"/>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민원, 노동 분쟁(2025년 건 포함); 감사·점검 결과</w:t>
            </w:r>
          </w:p>
        </w:tc>
        <w:tc>
          <w:tcPr>
            <w:tcW w:type="dxa" w:w="221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keepNext w:val="false"/>
              <w:spacing w:after="0" w:before="0" w:lineRule="auto" w:line="240"/>
              <w:jc w:val="left"/>
            </w:pPr>
            <w:r>
              <w:rPr>
                <w:rFonts w:ascii="Arial" w:cs="Arial" w:eastAsia="Malgun Gothic" w:hAnsi="Arial"/>
                <w:b w:val="false"/>
                <w:bCs w:val="false"/>
                <w:color w:val="0D1B2E"/>
                <w:sz w:val="18"/>
                <w:szCs w:val="18"/>
              </w:rPr>
              <w:t xml:space="preserve">법적·평판 리스크</w:t>
            </w:r>
          </w:p>
        </w:tc>
        <w:tc>
          <w:tcPr>
            <w:tcW w:type="dxa" w:w="1701"/>
            <w:tcBorders>
              <w:top w:val="single" w:color="B7C1D0" w:sz="4"/>
              <w:left w:val="single" w:color="B7C1D0" w:sz="4"/>
              <w:bottom w:val="single" w:color="B7C1D0" w:sz="4"/>
              <w:right w:val="single" w:color="B7C1D0" w:sz="4"/>
            </w:tcBorders>
            <w:shd w:fill="F5F7FA"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B42318"/>
                <w:sz w:val="18"/>
                <w:szCs w:val="18"/>
              </w:rPr>
              <w:t xml:space="preserve">● </w:t>
            </w:r>
            <w:r>
              <w:rPr>
                <w:rFonts w:ascii="Arial" w:cs="Arial" w:eastAsia="Malgun Gothic" w:hAnsi="Arial"/>
                <w:b/>
                <w:bCs/>
                <w:color w:val="B42318"/>
                <w:sz w:val="18"/>
                <w:szCs w:val="18"/>
              </w:rPr>
              <w:t xml:space="preserve">미확보</w:t>
            </w:r>
          </w:p>
        </w:tc>
      </w:tr>
      <w:tr>
        <w:trPr>
          <w:cantSplit/>
        </w:trPr>
        <w:tc>
          <w:tcPr>
            <w:tcW w:type="dxa" w:w="1417"/>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bCs/>
                <w:color w:val="0D1B2E"/>
                <w:sz w:val="18"/>
                <w:szCs w:val="18"/>
              </w:rPr>
              <w:t xml:space="preserve">현장</w:t>
            </w:r>
          </w:p>
        </w:tc>
        <w:tc>
          <w:tcPr>
            <w:tcW w:type="dxa" w:w="3742"/>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18"/>
                <w:szCs w:val="18"/>
              </w:rPr>
              <w:t xml:space="preserve">항목별 위치·시각 정보가 포함된 사진·영상; 실사 보고서</w:t>
            </w:r>
          </w:p>
        </w:tc>
        <w:tc>
          <w:tcPr>
            <w:tcW w:type="dxa" w:w="221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keepNext/>
              <w:spacing w:after="0" w:before="0" w:lineRule="auto" w:line="240"/>
              <w:jc w:val="left"/>
            </w:pPr>
            <w:r>
              <w:rPr>
                <w:rFonts w:ascii="Arial" w:cs="Arial" w:eastAsia="Malgun Gothic" w:hAnsi="Arial"/>
                <w:b w:val="false"/>
                <w:bCs w:val="false"/>
                <w:color w:val="0D1B2E"/>
                <w:sz w:val="18"/>
                <w:szCs w:val="18"/>
              </w:rPr>
              <w:t xml:space="preserve">시설 현황 확인</w:t>
            </w:r>
          </w:p>
        </w:tc>
        <w:tc>
          <w:tcPr>
            <w:tcW w:type="dxa" w:w="1701"/>
            <w:tcBorders>
              <w:top w:val="single" w:color="B7C1D0" w:sz="4"/>
              <w:left w:val="single" w:color="B7C1D0" w:sz="4"/>
              <w:bottom w:val="single" w:color="B7C1D0" w:sz="4"/>
              <w:right w:val="single" w:color="B7C1D0" w:sz="4"/>
            </w:tcBorders>
            <w:shd w:fill="FFFFFF" w:color="auto" w:val="clear"/>
            <w:tcMar>
              <w:top w:type="dxa" w:w="50"/>
              <w:left w:type="dxa" w:w="90"/>
              <w:bottom w:type="dxa" w:w="50"/>
              <w:right w:type="dxa" w:w="90"/>
            </w:tcMar>
            <w:vAlign w:val="center"/>
          </w:tcPr>
          <w:p>
            <w:pPr>
              <w:spacing w:after="0" w:before="0" w:lineRule="auto" w:line="240"/>
              <w:jc w:val="left"/>
            </w:pPr>
            <w:r>
              <w:rPr>
                <w:rFonts w:ascii="Arial" w:cs="Arial" w:eastAsia="Malgun Gothic" w:hAnsi="Arial"/>
                <w:color w:val="8A5A00"/>
                <w:sz w:val="18"/>
                <w:szCs w:val="18"/>
              </w:rPr>
              <w:t xml:space="preserve">● </w:t>
            </w:r>
            <w:r>
              <w:rPr>
                <w:rFonts w:ascii="Arial" w:cs="Arial" w:eastAsia="Malgun Gothic" w:hAnsi="Arial"/>
                <w:b/>
                <w:bCs/>
                <w:color w:val="8A5A00"/>
                <w:sz w:val="18"/>
                <w:szCs w:val="18"/>
              </w:rPr>
              <w:t xml:space="preserve">학교 공개 사진만 확보</w:t>
            </w:r>
          </w:p>
        </w:tc>
      </w:tr>
    </w:tbl>
    <w:p>
      <w:pPr>
        <w:spacing w:after="200" w:before="20" w:lineRule="auto" w:line="240"/>
        <w:jc w:val="left"/>
      </w:pPr>
      <w:r>
        <w:rPr>
          <w:rFonts w:ascii="Arial" w:cs="Arial" w:eastAsia="Malgun Gothic" w:hAnsi="Arial"/>
          <w:i w:val="false"/>
          <w:iCs w:val="false"/>
          <w:color w:val="435066"/>
          <w:sz w:val="19"/>
          <w:szCs w:val="19"/>
        </w:rPr>
        <w:t xml:space="preserve">출처: 컨설턴트 제안. “확보 현황”은 제공받은 자료에 포함되어 있는지를 나타냅니다.</w:t>
      </w:r>
    </w:p>
    <w:p>
      <w:pPr>
        <w:pStyle w:val="Heading2"/>
        <w:keepNext/>
      </w:pPr>
      <w:r>
        <w:t xml:space="preserve">17.2 현장 실사</w:t>
      </w:r>
    </w:p>
    <w:p>
      <w:pPr>
        <w:keepNext w:val="false"/>
        <w:spacing w:after="120" w:before="0" w:lineRule="auto" w:line="264"/>
        <w:jc w:val="both"/>
      </w:pPr>
      <w:r>
        <w:rPr>
          <w:rFonts w:ascii="Arial" w:cs="Arial" w:eastAsia="Malgun Gothic" w:hAnsi="Arial"/>
          <w:color w:val="0D1B2E"/>
          <w:sz w:val="24"/>
          <w:szCs w:val="24"/>
        </w:rPr>
        <w:t xml:space="preserve">학교가 공개한 사진은 독립적인 현장 실사를 대체하지 못합니다. 기본 합의 체결 전에 </w:t>
      </w:r>
      <w:r>
        <w:rPr>
          <w:rFonts w:ascii="Arial" w:cs="Arial" w:eastAsia="Malgun Gothic" w:hAnsi="Arial"/>
          <w:color w:val="0D1B2E"/>
          <w:sz w:val="24"/>
          <w:szCs w:val="24"/>
        </w:rPr>
        <w:t xml:space="preserve">표 5.2</w:t>
      </w:r>
      <w:r>
        <w:rPr>
          <w:rFonts w:ascii="Arial" w:cs="Arial" w:eastAsia="Malgun Gothic" w:hAnsi="Arial"/>
          <w:color w:val="0D1B2E"/>
          <w:sz w:val="24"/>
          <w:szCs w:val="24"/>
        </w:rPr>
        <w:t xml:space="preserve">의 항목별로 실측하고 위치 정보가 담긴 사진을 촬영하며, 3개 캠퍼스의 토지사용권 증서, 건축허가, 준공 및 소방 검사 서류를 대조하고, 담보·임대 여부를 확인하며, 기숙사·구내식당·강의실의 실제 이용률을 점검할 것을 권고합니다.</w:t>
      </w:r>
    </w:p>
    <w:sectPr>
      <w:headerReference w:type="default" r:id="rId7"/>
      <w:headerReference w:type="first" r:id="rId8"/>
      <w:footerReference w:type="default" r:id="rId9"/>
      <w:footerReference w:type="first" r:id="rId10"/>
      <w:pgSz w:w="11906" w:h="16838" w:orient="portrait"/>
      <w:pgMar w:top="1134" w:right="1134" w:bottom="1134" w:left="1701"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Malgun Gothic" w:hAnsi="Arial"/>
        <w:color w:val="435066"/>
        <w:sz w:val="19"/>
        <w:szCs w:val="19"/>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1D0" w:sz="4" w:space="4"/>
      </w:pBdr>
      <w:spacing w:after="0"/>
      <w:jc w:val="right"/>
    </w:pPr>
    <w:r>
      <w:rPr>
        <w:rFonts w:ascii="Arial" w:cs="Arial" w:eastAsia="Malgun Gothic" w:hAnsi="Arial"/>
        <w:i w:val="false"/>
        <w:iCs w:val="false"/>
        <w:color w:val="6A7487"/>
        <w:sz w:val="17"/>
        <w:szCs w:val="17"/>
      </w:rPr>
      <w:t xml:space="preserve">UMT · 예비 실사 보고서 · 공식 자료 기준 표준화본 · 기준일 2026.10.27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4"/>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0D1B2E"/>
        <w:sz w:val="24"/>
        <w:szCs w:val="24"/>
        <w:lang w:val="en-US" w:eastAsia="ko-KR"/>
      </w:rPr>
    </w:rPrDefault>
    <w:pPrDefault>
      <w:pPr>
        <w:widowControl/>
        <w:wordWrap w:val="0"/>
        <w:spacing w:after="120" w:lineRule="auto"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Bdr>
        <w:bottom w:val="single" w:color="1E5AA8" w:sz="12" w:space="6"/>
      </w:pBdr>
      <w:spacing w:after="240" w:before="0" w:lineRule="auto" w:line="276"/>
    </w:pPr>
    <w:rPr>
      <w:rFonts w:ascii="Arial" w:cs="Arial" w:eastAsia="Malgun Gothic" w:hAnsi="Arial"/>
      <w:b/>
      <w:bCs/>
      <w:color w:val="0F2A4D"/>
      <w:sz w:val="32"/>
      <w:szCs w:val="32"/>
    </w:rPr>
  </w:style>
  <w:style w:type="paragraph" w:styleId="Heading2">
    <w:name w:val="Heading 2"/>
    <w:basedOn w:val="Normal"/>
    <w:next w:val="Normal"/>
    <w:qFormat/>
    <w:pPr>
      <w:keepNext/>
      <w:spacing w:after="120" w:before="280" w:lineRule="auto" w:line="276"/>
    </w:pPr>
    <w:rPr>
      <w:rFonts w:ascii="Arial" w:cs="Arial" w:eastAsia="Malgun Gothic" w:hAnsi="Arial"/>
      <w:b/>
      <w:bCs/>
      <w:color w:val="0F2A4D"/>
      <w:sz w:val="27"/>
      <w:szCs w:val="27"/>
    </w:rPr>
  </w:style>
  <w:style w:type="paragraph" w:styleId="Heading3">
    <w:name w:val="Heading 3"/>
    <w:basedOn w:val="Normal"/>
    <w:next w:val="Normal"/>
    <w:qFormat/>
    <w:pPr>
      <w:keepNext/>
      <w:spacing w:after="80" w:before="200" w:lineRule="auto" w:line="276"/>
    </w:pPr>
    <w:rPr>
      <w:rFonts w:ascii="Arial" w:cs="Arial" w:eastAsia="Malgun Gothic" w:hAnsi="Arial"/>
      <w:b/>
      <w:bCs/>
      <w:i w:val="false"/>
      <w:iCs w:val="false"/>
      <w:color w:val="1E5AA8"/>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20" w:before="100" w:lineRule="auto" w:line="264"/>
    </w:pPr>
    <w:rPr>
      <w:rFonts w:ascii="Arial" w:cs="Arial" w:eastAsia="Malgun Gothic" w:hAnsi="Arial"/>
      <w:b/>
      <w:bCs/>
      <w:color w:val="0F2A4D"/>
      <w:sz w:val="23"/>
      <w:szCs w:val="23"/>
    </w:rPr>
  </w:style>
  <w:style w:type="paragraph" w:styleId="TOC2">
    <w:name w:val="toc 2"/>
    <w:basedOn w:val="Normal"/>
    <w:next w:val="Normal"/>
    <w:pPr>
      <w:spacing w:after="10" w:before="0" w:lineRule="auto" w:line="264"/>
      <w:ind w:left="400"/>
    </w:pPr>
    <w:rPr>
      <w:rFonts w:ascii="Arial" w:cs="Arial" w:eastAsia="Malgun Gothic" w:hAnsi="Arial"/>
      <w:color w:val="0D1B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da9e96eb61db92ff03ef00809e57d574bb7137b.jpg"/><Relationship Id="rId12" Type="http://schemas.openxmlformats.org/officeDocument/2006/relationships/image" Target="media/cbad7a2a8c1cd0594146c61e3109fd5f04a01bb0.jpg"/><Relationship Id="rId13" Type="http://schemas.openxmlformats.org/officeDocument/2006/relationships/image" Target="media/3bb1848562743f89817f26a5ef562ce72353472d.jpg"/><Relationship Id="rId14" Type="http://schemas.openxmlformats.org/officeDocument/2006/relationships/image" Target="media/c0a2e66ab5464cd5cab5a49fabe5cdbafde012e3.jpg"/><Relationship Id="rId15" Type="http://schemas.openxmlformats.org/officeDocument/2006/relationships/image" Target="media/76845174116eb30b6317ffbc509783461a17c6b9.jpg"/><Relationship Id="rId16" Type="http://schemas.openxmlformats.org/officeDocument/2006/relationships/image" Target="media/5eafb2ea67d23642130ae5183b48b9faab89d501.jpg"/><Relationship Id="rId17" Type="http://schemas.openxmlformats.org/officeDocument/2006/relationships/image" Target="media/f0f18e135eddfc0d9306d46d3f48db97f6a4dc6b.jpg"/><Relationship Id="rId18" Type="http://schemas.openxmlformats.org/officeDocument/2006/relationships/image" Target="media/339a4c5729c7f12bca95307296794309cc7c9cd0.jpg"/><Relationship Id="rId19" Type="http://schemas.openxmlformats.org/officeDocument/2006/relationships/image" Target="media/dac29a027ca9b6c52cf370d540da7b9770a2b105.png"/><Relationship Id="rId20" Type="http://schemas.openxmlformats.org/officeDocument/2006/relationships/image" Target="media/84fd878a7bae076049a4d89518071205e50d0443.jpg"/><Relationship Id="rId21" Type="http://schemas.openxmlformats.org/officeDocument/2006/relationships/image" Target="media/360db1e58950b3aed5f1abc1e5cb4695268ee20e.jpg"/><Relationship Id="rId22" Type="http://schemas.openxmlformats.org/officeDocument/2006/relationships/image" Target="media/ea598f667002b32ba10164199c324f69de869f79.jpg"/><Relationship Id="rId23" Type="http://schemas.openxmlformats.org/officeDocument/2006/relationships/image" Target="media/de51eb9d85eea5b251cd0e2cb7b0d95c90bf9757.jpg"/><Relationship Id="rId24" Type="http://schemas.openxmlformats.org/officeDocument/2006/relationships/image" Target="media/d34828703bcffcc65d07fa9edc7e06a8fdb365b9.jpg"/><Relationship Id="rId25" Type="http://schemas.openxmlformats.org/officeDocument/2006/relationships/image" Target="media/515e7c4c78b310d3445f6334d6a563178c396682.jpg"/><Relationship Id="rId26" Type="http://schemas.openxmlformats.org/officeDocument/2006/relationships/image" Target="media/d0e40f371f2f9710ea887b50ad249f0e3a7cf3a3.jpg"/><Relationship Id="rId27" Type="http://schemas.openxmlformats.org/officeDocument/2006/relationships/image" Target="media/6455400ad6b12de2c7d183de7deabff1217875e9.png"/><Relationship Id="rId28" Type="http://schemas.openxmlformats.org/officeDocument/2006/relationships/image" Target="media/2d2d5207f07e51382e46de2d9c5fca2e61173fe2.jpg"/><Relationship Id="rId29" Type="http://schemas.openxmlformats.org/officeDocument/2006/relationships/image" Target="media/e38f9f731d358dc3d06042c05e2cc37d5f8638f3.jpg"/><Relationship Id="rId30" Type="http://schemas.openxmlformats.org/officeDocument/2006/relationships/image" Target="media/509633e1d234a2adfc7c5f20c6e12714073b15e7.jpg"/><Relationship Id="rId31" Type="http://schemas.openxmlformats.org/officeDocument/2006/relationships/image" Target="media/938ab16f375f180dc2a3dd4b87b4db08bd318bc6.jpg"/><Relationship Id="rId32" Type="http://schemas.openxmlformats.org/officeDocument/2006/relationships/image" Target="media/189d49f0e75422cfdf99a29873b8cae3d23f0fb2.jpg"/><Relationship Id="rId33" Type="http://schemas.openxmlformats.org/officeDocument/2006/relationships/image" Target="media/ec892846244c923d1f757ddb51fb4cdc9ad99770.jpg"/><Relationship Id="rId34" Type="http://schemas.openxmlformats.org/officeDocument/2006/relationships/image" Target="media/fb771bb088d3ff6057680d44d89afc52018e5b27.jpg"/><Relationship Id="rId35" Type="http://schemas.openxmlformats.org/officeDocument/2006/relationships/image" Target="media/b2c9041a2297826253de829b9d12fad3ee329500.jpg"/><Relationship Id="rId36" Type="http://schemas.openxmlformats.org/officeDocument/2006/relationships/image" Target="media/9c2a2cd2bd5c20328fa133dbe58fec47729d79aa.png"/><Relationship Id="rId37" Type="http://schemas.openxmlformats.org/officeDocument/2006/relationships/image" Target="media/09583a57d47638d3040f368ecaf435a1da5b62f6.jpg"/><Relationship Id="rId38" Type="http://schemas.openxmlformats.org/officeDocument/2006/relationships/image" Target="media/0f35fb78735385bf18db909e411d23c9497b4b9b.jpg"/><Relationship Id="rId39" Type="http://schemas.openxmlformats.org/officeDocument/2006/relationships/image" Target="media/82d36031a6ecb881779b3376c7694f221c4e8475.jpg"/><Relationship Id="rId40" Type="http://schemas.openxmlformats.org/officeDocument/2006/relationships/image" Target="media/ad3c658302b2f12559192dc170fd71c61cd3c16d.jpg"/><Relationship Id="rId41" Type="http://schemas.openxmlformats.org/officeDocument/2006/relationships/image" Target="media/c640dc9c6257e2f91d4ac48a28a867c338d57afe.png"/><Relationship Id="rId42" Type="http://schemas.openxmlformats.org/officeDocument/2006/relationships/image" Target="media/7fcd07b069b3a2b3dd541f36a57e777419f44e09.jpg"/><Relationship Id="rId43" Type="http://schemas.openxmlformats.org/officeDocument/2006/relationships/image" Target="media/58118d606753802c750063f625e3b9add57f5487.jpg"/><Relationship Id="rId44" Type="http://schemas.openxmlformats.org/officeDocument/2006/relationships/image" Target="media/09e6d6a5600e735346632be033f24cc2cade16ae.jpg"/><Relationship Id="rId45" Type="http://schemas.openxmlformats.org/officeDocument/2006/relationships/image" Target="media/9229723995d0cde845c20bd1c85ac523581e0dc9.jpg"/><Relationship Id="rId46" Type="http://schemas.openxmlformats.org/officeDocument/2006/relationships/image" Target="media/7c3e61a36f292ce597d7e342a216634cd54ff367.jpg"/><Relationship Id="rId47" Type="http://schemas.openxmlformats.org/officeDocument/2006/relationships/image" Target="media/ddff30191a76e5dfa6151dcc0be0a6c2dd92c2ff.jpg"/><Relationship Id="rId48" Type="http://schemas.openxmlformats.org/officeDocument/2006/relationships/image" Target="media/423e7401d923533476d377f3cb3d053783a77a1c.jpg"/><Relationship Id="rId49" Type="http://schemas.openxmlformats.org/officeDocument/2006/relationships/image" Target="media/9eafd0d5e90b428339c4c9e0fa29773ea6dbe0af.png"/><Relationship Id="rId50" Type="http://schemas.openxmlformats.org/officeDocument/2006/relationships/image" Target="media/ecf250b88ce4e932f341793b2cea2ae715a3552a.png"/><Relationship Id="rId51" Type="http://schemas.openxmlformats.org/officeDocument/2006/relationships/image" Target="media/8638e5a68b7996efe56e7418d682680181f97ba5.png"/><Relationship Id="rId52" Type="http://schemas.openxmlformats.org/officeDocument/2006/relationships/image" Target="media/26cbbd279305c47e275e9c1975eea03b4f0f07ef.png"/><Relationship Id="rId53" Type="http://schemas.openxmlformats.org/officeDocument/2006/relationships/image" Target="media/5391086b1579d3519e3acb8bf0af2607c30ca09e.png"/><Relationship Id="rId54" Type="http://schemas.openxmlformats.org/officeDocument/2006/relationships/image" Target="media/cdfcbe503dace0c18f5ed5dbdffe301c77969e72.png"/><Relationship Id="rId55" Type="http://schemas.openxmlformats.org/officeDocument/2006/relationships/image" Target="media/e670680c4eafee85ffbf3aeacb44deae0c58b063.jpg"/><Relationship Id="rId56" Type="http://schemas.openxmlformats.org/officeDocument/2006/relationships/image" Target="media/0bbd3e5e64ea959a56c44f66cd76ca4b82369c83.jpg"/><Relationship Id="rId57" Type="http://schemas.openxmlformats.org/officeDocument/2006/relationships/image" Target="media/7c655a3d3c72e2dbfb7fa1cb111725c6ccc1d5b5.jpg"/><Relationship Id="rId58" Type="http://schemas.openxmlformats.org/officeDocument/2006/relationships/image" Target="media/10969c41caf7b550ae65399a693e429516c1ae97.jpg"/><Relationship Id="rId59" Type="http://schemas.openxmlformats.org/officeDocument/2006/relationships/image" Target="media/a887b816e91d77b4b23484420add1cfdf478e22c.jp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UMT 예비 실사 보고서</dc:title>
  <dc:creator>컨설팅사</dc:creator>
  <dc:description>한국 투자자용 UMT 보고서</dc:description>
  <cp:lastModifiedBy>Un-named</cp:lastModifiedBy>
  <cp:revision>1</cp:revision>
  <dcterms:created xsi:type="dcterms:W3CDTF">2026-10-27T13:20:08.238Z</dcterms:created>
  <dcterms:modified xsi:type="dcterms:W3CDTF">2026-10-27T13:20:08.238Z</dcterms:modified>
</cp:coreProperties>
</file>

<file path=docProps/custom.xml><?xml version="1.0" encoding="utf-8"?>
<Properties xmlns="http://schemas.openxmlformats.org/officeDocument/2006/custom-properties" xmlns:vt="http://schemas.openxmlformats.org/officeDocument/2006/docPropsVTypes"/>
</file>